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340" w:lineRule="exact"/>
        <w:textAlignment w:val="auto"/>
        <w:rPr>
          <w:rFonts w:hint="eastAsia" w:ascii="黑体" w:hAnsi="黑体" w:eastAsia="黑体" w:cs="黑体"/>
          <w:color w:val="auto"/>
          <w:sz w:val="28"/>
          <w:szCs w:val="28"/>
          <w:lang w:val="en-US" w:eastAsia="zh-CN"/>
        </w:rPr>
      </w:pPr>
    </w:p>
    <w:p>
      <w:pPr>
        <w:pStyle w:val="2"/>
        <w:keepNext w:val="0"/>
        <w:keepLines w:val="0"/>
        <w:pageBreakBefore w:val="0"/>
        <w:kinsoku/>
        <w:wordWrap/>
        <w:overflowPunct/>
        <w:topLinePunct w:val="0"/>
        <w:autoSpaceDE/>
        <w:autoSpaceDN/>
        <w:bidi w:val="0"/>
        <w:adjustRightInd/>
        <w:snapToGrid/>
        <w:spacing w:line="340" w:lineRule="exact"/>
        <w:textAlignment w:val="auto"/>
        <w:rPr>
          <w:rFonts w:hint="default" w:ascii="宋体" w:hAnsi="宋体" w:cs="宋体"/>
          <w:b/>
          <w:bCs/>
          <w:i w:val="0"/>
          <w:iCs w:val="0"/>
          <w:caps w:val="0"/>
          <w:color w:val="auto"/>
          <w:spacing w:val="0"/>
          <w:sz w:val="28"/>
          <w:szCs w:val="28"/>
          <w:u w:val="none"/>
          <w:shd w:val="clear" w:color="auto" w:fill="FFFFFF"/>
          <w:lang w:val="en-US" w:eastAsia="zh-CN"/>
        </w:rPr>
      </w:pPr>
      <w:r>
        <w:rPr>
          <w:rFonts w:hint="eastAsia" w:ascii="黑体" w:hAnsi="黑体" w:eastAsia="黑体" w:cs="黑体"/>
          <w:color w:val="auto"/>
          <w:sz w:val="28"/>
          <w:szCs w:val="28"/>
          <w:lang w:val="en-US" w:eastAsia="zh-CN"/>
        </w:rPr>
        <w:t>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10" w:afterAutospacing="0" w:line="34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32"/>
          <w:szCs w:val="32"/>
          <w:u w:val="none"/>
          <w:shd w:val="clear" w:color="auto" w:fill="FFFFFF"/>
        </w:rPr>
      </w:pPr>
      <w:r>
        <w:rPr>
          <w:rFonts w:hint="eastAsia" w:ascii="方正小标宋_GBK" w:hAnsi="方正小标宋_GBK" w:eastAsia="方正小标宋_GBK" w:cs="方正小标宋_GBK"/>
          <w:b w:val="0"/>
          <w:bCs w:val="0"/>
          <w:i w:val="0"/>
          <w:iCs w:val="0"/>
          <w:caps w:val="0"/>
          <w:color w:val="auto"/>
          <w:spacing w:val="0"/>
          <w:sz w:val="32"/>
          <w:szCs w:val="32"/>
          <w:u w:val="none"/>
          <w:shd w:val="clear" w:color="auto" w:fill="FFFFFF"/>
          <w:lang w:val="en-US" w:eastAsia="zh-CN"/>
        </w:rPr>
        <w:t>三亚</w:t>
      </w:r>
      <w:r>
        <w:rPr>
          <w:rFonts w:hint="eastAsia" w:ascii="方正小标宋_GBK" w:hAnsi="方正小标宋_GBK" w:eastAsia="方正小标宋_GBK" w:cs="方正小标宋_GBK"/>
          <w:b w:val="0"/>
          <w:bCs w:val="0"/>
          <w:i w:val="0"/>
          <w:iCs w:val="0"/>
          <w:caps w:val="0"/>
          <w:color w:val="auto"/>
          <w:spacing w:val="0"/>
          <w:sz w:val="32"/>
          <w:szCs w:val="32"/>
          <w:u w:val="none"/>
          <w:shd w:val="clear" w:color="auto" w:fill="FFFFFF"/>
        </w:rPr>
        <w:t>市义务教育阶段政策性优待办理程序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340" w:lineRule="exact"/>
        <w:ind w:left="0" w:right="0" w:firstLine="0"/>
        <w:jc w:val="both"/>
        <w:textAlignment w:val="auto"/>
        <w:rPr>
          <w:rFonts w:hint="eastAsia" w:ascii="仿宋_GB2312" w:hAnsi="仿宋_GB2312" w:eastAsia="仿宋_GB2312" w:cs="仿宋_GB2312"/>
          <w:i w:val="0"/>
          <w:iCs w:val="0"/>
          <w:caps w:val="0"/>
          <w:color w:val="auto"/>
          <w:spacing w:val="0"/>
          <w:sz w:val="24"/>
          <w:szCs w:val="24"/>
          <w:u w:val="none"/>
          <w:shd w:val="clear" w:color="auto" w:fill="FFFFFF"/>
          <w:lang w:eastAsia="zh-CN"/>
        </w:rPr>
      </w:pPr>
      <w:r>
        <w:rPr>
          <w:rFonts w:hint="eastAsia" w:ascii="宋体" w:hAnsi="宋体" w:eastAsia="宋体" w:cs="宋体"/>
          <w:i w:val="0"/>
          <w:iCs w:val="0"/>
          <w:caps w:val="0"/>
          <w:color w:val="auto"/>
          <w:spacing w:val="0"/>
          <w:sz w:val="24"/>
          <w:szCs w:val="24"/>
          <w:u w:val="none"/>
          <w:shd w:val="clear" w:color="auto" w:fill="FFFFFF"/>
        </w:rPr>
        <w:t> </w:t>
      </w:r>
      <w:r>
        <w:rPr>
          <w:rFonts w:hint="eastAsia" w:ascii="宋体" w:hAnsi="宋体" w:eastAsia="宋体" w:cs="宋体"/>
          <w:i w:val="0"/>
          <w:iCs w:val="0"/>
          <w:caps w:val="0"/>
          <w:color w:val="auto"/>
          <w:spacing w:val="0"/>
          <w:sz w:val="28"/>
          <w:szCs w:val="28"/>
          <w:u w:val="none"/>
          <w:shd w:val="clear" w:color="auto" w:fill="FFFFFF"/>
        </w:rPr>
        <w:t>  </w:t>
      </w:r>
      <w:r>
        <w:rPr>
          <w:rFonts w:hint="eastAsia" w:ascii="宋体" w:hAnsi="宋体" w:eastAsia="宋体" w:cs="宋体"/>
          <w:i w:val="0"/>
          <w:iCs w:val="0"/>
          <w:caps w:val="0"/>
          <w:color w:val="auto"/>
          <w:spacing w:val="0"/>
          <w:sz w:val="24"/>
          <w:szCs w:val="24"/>
          <w:u w:val="none"/>
          <w:shd w:val="clear" w:color="auto" w:fill="FFFFFF"/>
        </w:rPr>
        <w:t> </w:t>
      </w:r>
      <w:r>
        <w:rPr>
          <w:rFonts w:hint="eastAsia" w:ascii="仿宋_GB2312" w:hAnsi="仿宋_GB2312" w:eastAsia="仿宋_GB2312" w:cs="仿宋_GB2312"/>
          <w:i w:val="0"/>
          <w:iCs w:val="0"/>
          <w:caps w:val="0"/>
          <w:color w:val="auto"/>
          <w:spacing w:val="0"/>
          <w:sz w:val="24"/>
          <w:szCs w:val="24"/>
          <w:u w:val="none"/>
          <w:shd w:val="clear" w:color="auto" w:fill="FFFFFF"/>
        </w:rPr>
        <w:t>一、</w:t>
      </w:r>
      <w:r>
        <w:rPr>
          <w:rFonts w:hint="eastAsia" w:ascii="仿宋_GB2312" w:hAnsi="仿宋_GB2312" w:eastAsia="仿宋_GB2312" w:cs="仿宋_GB2312"/>
          <w:i w:val="0"/>
          <w:iCs w:val="0"/>
          <w:caps w:val="0"/>
          <w:color w:val="auto"/>
          <w:spacing w:val="0"/>
          <w:sz w:val="24"/>
          <w:szCs w:val="24"/>
          <w:u w:val="none"/>
          <w:shd w:val="clear" w:color="auto" w:fill="FFFFFF"/>
          <w:lang w:val="en-US" w:eastAsia="zh-CN"/>
        </w:rPr>
        <w:t>线下</w:t>
      </w:r>
      <w:r>
        <w:rPr>
          <w:rFonts w:hint="eastAsia" w:ascii="仿宋_GB2312" w:hAnsi="仿宋_GB2312" w:eastAsia="仿宋_GB2312" w:cs="仿宋_GB2312"/>
          <w:i w:val="0"/>
          <w:iCs w:val="0"/>
          <w:caps w:val="0"/>
          <w:color w:val="auto"/>
          <w:spacing w:val="0"/>
          <w:sz w:val="24"/>
          <w:szCs w:val="24"/>
          <w:u w:val="none"/>
          <w:shd w:val="clear" w:color="auto" w:fill="FFFFFF"/>
        </w:rPr>
        <w:t>报名。</w:t>
      </w:r>
      <w:r>
        <w:rPr>
          <w:rFonts w:hint="eastAsia" w:ascii="仿宋_GB2312" w:hAnsi="仿宋_GB2312" w:eastAsia="仿宋_GB2312" w:cs="仿宋_GB2312"/>
          <w:i w:val="0"/>
          <w:iCs w:val="0"/>
          <w:caps w:val="0"/>
          <w:color w:val="auto"/>
          <w:spacing w:val="0"/>
          <w:sz w:val="24"/>
          <w:szCs w:val="24"/>
          <w:u w:val="none"/>
          <w:shd w:val="clear" w:color="auto" w:fill="FFFFFF"/>
          <w:lang w:val="en-US" w:eastAsia="zh-CN"/>
        </w:rPr>
        <w:t>线下</w:t>
      </w:r>
      <w:r>
        <w:rPr>
          <w:rFonts w:hint="eastAsia" w:ascii="仿宋_GB2312" w:hAnsi="仿宋_GB2312" w:eastAsia="仿宋_GB2312" w:cs="仿宋_GB2312"/>
          <w:i w:val="0"/>
          <w:iCs w:val="0"/>
          <w:caps w:val="0"/>
          <w:color w:val="auto"/>
          <w:spacing w:val="0"/>
          <w:sz w:val="24"/>
          <w:szCs w:val="24"/>
          <w:u w:val="none"/>
          <w:shd w:val="clear" w:color="auto" w:fill="FFFFFF"/>
        </w:rPr>
        <w:t>申请学位</w:t>
      </w:r>
      <w:r>
        <w:rPr>
          <w:rFonts w:hint="eastAsia" w:ascii="仿宋_GB2312" w:hAnsi="仿宋_GB2312" w:eastAsia="仿宋_GB2312" w:cs="仿宋_GB2312"/>
          <w:i w:val="0"/>
          <w:iCs w:val="0"/>
          <w:caps w:val="0"/>
          <w:color w:val="auto"/>
          <w:spacing w:val="0"/>
          <w:sz w:val="24"/>
          <w:szCs w:val="24"/>
          <w:u w:val="none"/>
          <w:shd w:val="clear" w:color="auto" w:fill="FFFFFF"/>
          <w:lang w:val="en-US" w:eastAsia="zh-CN"/>
        </w:rPr>
        <w:t>时间为7</w:t>
      </w:r>
      <w:r>
        <w:rPr>
          <w:rFonts w:hint="eastAsia" w:ascii="仿宋_GB2312" w:hAnsi="仿宋_GB2312" w:eastAsia="仿宋_GB2312" w:cs="仿宋_GB2312"/>
          <w:i w:val="0"/>
          <w:iCs w:val="0"/>
          <w:caps w:val="0"/>
          <w:color w:val="auto"/>
          <w:spacing w:val="0"/>
          <w:sz w:val="24"/>
          <w:szCs w:val="24"/>
          <w:u w:val="none"/>
          <w:shd w:val="clear" w:color="auto" w:fill="FFFFFF"/>
        </w:rPr>
        <w:t>月</w:t>
      </w:r>
      <w:r>
        <w:rPr>
          <w:rFonts w:hint="eastAsia" w:ascii="仿宋_GB2312" w:hAnsi="仿宋_GB2312" w:eastAsia="仿宋_GB2312" w:cs="仿宋_GB2312"/>
          <w:i w:val="0"/>
          <w:iCs w:val="0"/>
          <w:caps w:val="0"/>
          <w:color w:val="auto"/>
          <w:spacing w:val="0"/>
          <w:sz w:val="24"/>
          <w:szCs w:val="24"/>
          <w:u w:val="none"/>
          <w:shd w:val="clear" w:color="auto" w:fill="FFFFFF"/>
          <w:lang w:val="en-US" w:eastAsia="zh-CN"/>
        </w:rPr>
        <w:t>22</w:t>
      </w:r>
      <w:r>
        <w:rPr>
          <w:rFonts w:hint="eastAsia" w:ascii="仿宋_GB2312" w:hAnsi="仿宋_GB2312" w:eastAsia="仿宋_GB2312" w:cs="仿宋_GB2312"/>
          <w:i w:val="0"/>
          <w:iCs w:val="0"/>
          <w:caps w:val="0"/>
          <w:color w:val="auto"/>
          <w:spacing w:val="0"/>
          <w:sz w:val="24"/>
          <w:szCs w:val="24"/>
          <w:u w:val="none"/>
          <w:shd w:val="clear" w:color="auto" w:fill="FFFFFF"/>
        </w:rPr>
        <w:t>日至</w:t>
      </w:r>
      <w:r>
        <w:rPr>
          <w:rFonts w:hint="eastAsia" w:ascii="仿宋_GB2312" w:hAnsi="仿宋_GB2312" w:eastAsia="仿宋_GB2312" w:cs="仿宋_GB2312"/>
          <w:i w:val="0"/>
          <w:iCs w:val="0"/>
          <w:caps w:val="0"/>
          <w:color w:val="auto"/>
          <w:spacing w:val="0"/>
          <w:sz w:val="24"/>
          <w:szCs w:val="24"/>
          <w:u w:val="none"/>
          <w:shd w:val="clear" w:color="auto" w:fill="FFFFFF"/>
          <w:lang w:val="en-US" w:eastAsia="zh-CN"/>
        </w:rPr>
        <w:t>7月28</w:t>
      </w:r>
      <w:r>
        <w:rPr>
          <w:rFonts w:hint="eastAsia" w:ascii="仿宋_GB2312" w:hAnsi="仿宋_GB2312" w:eastAsia="仿宋_GB2312" w:cs="仿宋_GB2312"/>
          <w:i w:val="0"/>
          <w:iCs w:val="0"/>
          <w:caps w:val="0"/>
          <w:color w:val="auto"/>
          <w:spacing w:val="0"/>
          <w:sz w:val="24"/>
          <w:szCs w:val="24"/>
          <w:u w:val="none"/>
          <w:shd w:val="clear" w:color="auto" w:fill="FFFFFF"/>
        </w:rPr>
        <w:t>日</w:t>
      </w:r>
      <w:r>
        <w:rPr>
          <w:rFonts w:hint="eastAsia" w:ascii="仿宋_GB2312" w:hAnsi="仿宋_GB2312" w:eastAsia="仿宋_GB2312" w:cs="仿宋_GB2312"/>
          <w:i w:val="0"/>
          <w:iCs w:val="0"/>
          <w:caps w:val="0"/>
          <w:color w:val="auto"/>
          <w:spacing w:val="0"/>
          <w:sz w:val="24"/>
          <w:szCs w:val="24"/>
          <w:u w:val="none"/>
          <w:shd w:val="clear" w:color="auto" w:fill="FFFFFF"/>
          <w:lang w:val="en-US" w:eastAsia="zh-CN"/>
        </w:rPr>
        <w:t>（上午8:30-12:00，下午15:30-18:00）</w:t>
      </w:r>
      <w:r>
        <w:rPr>
          <w:rFonts w:hint="eastAsia" w:ascii="仿宋_GB2312" w:hAnsi="仿宋_GB2312" w:eastAsia="仿宋_GB2312" w:cs="仿宋_GB2312"/>
          <w:i w:val="0"/>
          <w:iCs w:val="0"/>
          <w:caps w:val="0"/>
          <w:color w:val="auto"/>
          <w:spacing w:val="0"/>
          <w:sz w:val="24"/>
          <w:szCs w:val="24"/>
          <w:u w:val="none"/>
          <w:shd w:val="clear" w:color="auto" w:fill="FFFFFF"/>
        </w:rPr>
        <w:t>。所有符合教育优待政策的适龄儿童少年须在规定时间内</w:t>
      </w:r>
      <w:r>
        <w:rPr>
          <w:rFonts w:hint="eastAsia" w:ascii="仿宋_GB2312" w:hAnsi="仿宋_GB2312" w:eastAsia="仿宋_GB2312" w:cs="仿宋_GB2312"/>
          <w:i w:val="0"/>
          <w:iCs w:val="0"/>
          <w:caps w:val="0"/>
          <w:color w:val="auto"/>
          <w:spacing w:val="0"/>
          <w:sz w:val="24"/>
          <w:szCs w:val="24"/>
          <w:u w:val="none"/>
          <w:shd w:val="clear" w:color="auto" w:fill="FFFFFF"/>
          <w:lang w:val="en-US" w:eastAsia="zh-CN"/>
        </w:rPr>
        <w:t>向对应的受理单位</w:t>
      </w:r>
      <w:r>
        <w:rPr>
          <w:rFonts w:hint="eastAsia" w:ascii="仿宋_GB2312" w:hAnsi="仿宋_GB2312" w:eastAsia="仿宋_GB2312" w:cs="仿宋_GB2312"/>
          <w:i w:val="0"/>
          <w:iCs w:val="0"/>
          <w:caps w:val="0"/>
          <w:color w:val="auto"/>
          <w:spacing w:val="0"/>
          <w:sz w:val="24"/>
          <w:szCs w:val="24"/>
          <w:u w:val="none"/>
          <w:shd w:val="clear" w:color="auto" w:fill="FFFFFF"/>
        </w:rPr>
        <w:t>申请学位。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340" w:lineRule="exact"/>
        <w:ind w:left="0" w:right="0" w:firstLine="0"/>
        <w:jc w:val="both"/>
        <w:textAlignment w:val="auto"/>
        <w:rPr>
          <w:rFonts w:hint="eastAsia" w:ascii="仿宋_GB2312" w:hAnsi="仿宋_GB2312" w:eastAsia="仿宋_GB2312" w:cs="仿宋_GB2312"/>
          <w:i w:val="0"/>
          <w:iCs w:val="0"/>
          <w:caps w:val="0"/>
          <w:color w:val="auto"/>
          <w:spacing w:val="0"/>
          <w:sz w:val="24"/>
          <w:szCs w:val="24"/>
          <w:u w:val="none"/>
          <w:shd w:val="clear" w:color="auto" w:fill="FFFFFF"/>
          <w:lang w:eastAsia="zh-CN"/>
        </w:rPr>
      </w:pPr>
      <w:r>
        <w:rPr>
          <w:rFonts w:hint="eastAsia" w:ascii="仿宋_GB2312" w:hAnsi="仿宋_GB2312" w:eastAsia="仿宋_GB2312" w:cs="仿宋_GB2312"/>
          <w:i w:val="0"/>
          <w:iCs w:val="0"/>
          <w:caps w:val="0"/>
          <w:color w:val="auto"/>
          <w:spacing w:val="0"/>
          <w:sz w:val="24"/>
          <w:szCs w:val="24"/>
          <w:u w:val="none"/>
          <w:shd w:val="clear" w:color="auto" w:fill="FFFFFF"/>
        </w:rPr>
        <w:t>    二、资格审核。教育优待对象向受理单位提出申请，并提供相关材料。受理单位依照国家、省市有关政策进行审核，将审核通过名单制成名册并</w:t>
      </w:r>
      <w:r>
        <w:rPr>
          <w:rFonts w:hint="eastAsia" w:ascii="仿宋_GB2312" w:hAnsi="仿宋_GB2312" w:eastAsia="仿宋_GB2312" w:cs="仿宋_GB2312"/>
          <w:i w:val="0"/>
          <w:iCs w:val="0"/>
          <w:caps w:val="0"/>
          <w:color w:val="auto"/>
          <w:spacing w:val="0"/>
          <w:sz w:val="24"/>
          <w:szCs w:val="24"/>
          <w:u w:val="none"/>
          <w:shd w:val="clear" w:color="auto" w:fill="FFFFFF"/>
          <w:lang w:val="en-US" w:eastAsia="zh-CN"/>
        </w:rPr>
        <w:t>附上有关证明材料、</w:t>
      </w:r>
      <w:r>
        <w:rPr>
          <w:rFonts w:hint="eastAsia" w:ascii="仿宋_GB2312" w:hAnsi="仿宋_GB2312" w:eastAsia="仿宋_GB2312" w:cs="仿宋_GB2312"/>
          <w:color w:val="auto"/>
          <w:sz w:val="24"/>
          <w:szCs w:val="24"/>
        </w:rPr>
        <w:t>家庭信息户口簿</w:t>
      </w:r>
      <w:r>
        <w:rPr>
          <w:rFonts w:hint="eastAsia" w:ascii="仿宋_GB2312" w:hAnsi="仿宋_GB2312" w:eastAsia="仿宋_GB2312" w:cs="仿宋_GB2312"/>
          <w:color w:val="auto"/>
          <w:sz w:val="24"/>
          <w:szCs w:val="24"/>
          <w:lang w:eastAsia="zh-CN"/>
        </w:rPr>
        <w:t>（户口本首页、父母页、学生页）、</w:t>
      </w:r>
      <w:r>
        <w:rPr>
          <w:rFonts w:hint="eastAsia" w:ascii="仿宋_GB2312" w:hAnsi="仿宋_GB2312" w:eastAsia="仿宋_GB2312" w:cs="仿宋_GB2312"/>
          <w:color w:val="auto"/>
          <w:sz w:val="24"/>
          <w:szCs w:val="24"/>
          <w:lang w:val="en-US" w:eastAsia="zh-CN"/>
        </w:rPr>
        <w:t>出生证明、</w:t>
      </w:r>
      <w:r>
        <w:rPr>
          <w:rFonts w:hint="eastAsia" w:ascii="仿宋_GB2312" w:hAnsi="仿宋_GB2312" w:eastAsia="仿宋_GB2312" w:cs="仿宋_GB2312"/>
          <w:color w:val="auto"/>
          <w:sz w:val="24"/>
          <w:szCs w:val="24"/>
        </w:rPr>
        <w:t>法定监护人身份证</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住房信息等材料</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i w:val="0"/>
          <w:iCs w:val="0"/>
          <w:caps w:val="0"/>
          <w:color w:val="auto"/>
          <w:spacing w:val="0"/>
          <w:sz w:val="24"/>
          <w:szCs w:val="24"/>
          <w:u w:val="none"/>
          <w:shd w:val="clear" w:color="auto" w:fill="FFFFFF"/>
        </w:rPr>
        <w:t>在</w:t>
      </w:r>
      <w:r>
        <w:rPr>
          <w:rFonts w:hint="eastAsia" w:ascii="仿宋_GB2312" w:hAnsi="仿宋_GB2312" w:eastAsia="仿宋_GB2312" w:cs="仿宋_GB2312"/>
          <w:i w:val="0"/>
          <w:iCs w:val="0"/>
          <w:caps w:val="0"/>
          <w:color w:val="auto"/>
          <w:spacing w:val="0"/>
          <w:sz w:val="24"/>
          <w:szCs w:val="24"/>
          <w:u w:val="none"/>
          <w:shd w:val="clear" w:color="auto" w:fill="FFFFFF"/>
          <w:lang w:val="en-US" w:eastAsia="zh-CN"/>
        </w:rPr>
        <w:t>7</w:t>
      </w:r>
      <w:r>
        <w:rPr>
          <w:rFonts w:hint="eastAsia" w:ascii="仿宋_GB2312" w:hAnsi="仿宋_GB2312" w:eastAsia="仿宋_GB2312" w:cs="仿宋_GB2312"/>
          <w:i w:val="0"/>
          <w:iCs w:val="0"/>
          <w:caps w:val="0"/>
          <w:color w:val="auto"/>
          <w:spacing w:val="0"/>
          <w:sz w:val="24"/>
          <w:szCs w:val="24"/>
          <w:u w:val="none"/>
          <w:shd w:val="clear" w:color="auto" w:fill="FFFFFF"/>
        </w:rPr>
        <w:t>月</w:t>
      </w:r>
      <w:r>
        <w:rPr>
          <w:rFonts w:hint="eastAsia" w:ascii="仿宋_GB2312" w:hAnsi="仿宋_GB2312" w:eastAsia="仿宋_GB2312" w:cs="仿宋_GB2312"/>
          <w:i w:val="0"/>
          <w:iCs w:val="0"/>
          <w:caps w:val="0"/>
          <w:color w:val="auto"/>
          <w:spacing w:val="0"/>
          <w:sz w:val="24"/>
          <w:szCs w:val="24"/>
          <w:u w:val="none"/>
          <w:shd w:val="clear" w:color="auto" w:fill="FFFFFF"/>
          <w:lang w:val="en-US" w:eastAsia="zh-CN"/>
        </w:rPr>
        <w:t>30</w:t>
      </w:r>
      <w:r>
        <w:rPr>
          <w:rFonts w:hint="eastAsia" w:ascii="仿宋_GB2312" w:hAnsi="仿宋_GB2312" w:eastAsia="仿宋_GB2312" w:cs="仿宋_GB2312"/>
          <w:i w:val="0"/>
          <w:iCs w:val="0"/>
          <w:caps w:val="0"/>
          <w:color w:val="auto"/>
          <w:spacing w:val="0"/>
          <w:sz w:val="24"/>
          <w:szCs w:val="24"/>
          <w:u w:val="none"/>
          <w:shd w:val="clear" w:color="auto" w:fill="FFFFFF"/>
        </w:rPr>
        <w:t>日前送至市、区教育局。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340" w:lineRule="exact"/>
        <w:ind w:left="0" w:right="0" w:firstLine="0"/>
        <w:jc w:val="both"/>
        <w:textAlignment w:val="auto"/>
        <w:rPr>
          <w:rFonts w:hint="eastAsia" w:ascii="宋体" w:hAnsi="宋体" w:eastAsia="宋体" w:cs="宋体"/>
          <w:i w:val="0"/>
          <w:iCs w:val="0"/>
          <w:caps w:val="0"/>
          <w:color w:val="auto"/>
          <w:spacing w:val="0"/>
          <w:sz w:val="24"/>
          <w:szCs w:val="24"/>
          <w:u w:val="none"/>
        </w:rPr>
      </w:pPr>
      <w:r>
        <w:rPr>
          <w:rFonts w:hint="eastAsia" w:ascii="仿宋_GB2312" w:hAnsi="仿宋_GB2312" w:eastAsia="仿宋_GB2312" w:cs="仿宋_GB2312"/>
          <w:i w:val="0"/>
          <w:iCs w:val="0"/>
          <w:caps w:val="0"/>
          <w:color w:val="auto"/>
          <w:spacing w:val="0"/>
          <w:sz w:val="24"/>
          <w:szCs w:val="24"/>
          <w:u w:val="none"/>
          <w:shd w:val="clear" w:color="auto" w:fill="FFFFFF"/>
        </w:rPr>
        <w:t>    三、统筹入学。市、区教育局</w:t>
      </w:r>
      <w:r>
        <w:rPr>
          <w:rFonts w:hint="eastAsia" w:ascii="仿宋_GB2312" w:hAnsi="仿宋_GB2312" w:eastAsia="仿宋_GB2312" w:cs="仿宋_GB2312"/>
          <w:i w:val="0"/>
          <w:iCs w:val="0"/>
          <w:caps w:val="0"/>
          <w:color w:val="auto"/>
          <w:spacing w:val="0"/>
          <w:sz w:val="24"/>
          <w:szCs w:val="24"/>
          <w:u w:val="none"/>
          <w:shd w:val="clear" w:color="auto" w:fill="FFFFFF"/>
          <w:lang w:eastAsia="zh-CN"/>
        </w:rPr>
        <w:t>审核后</w:t>
      </w:r>
      <w:r>
        <w:rPr>
          <w:rFonts w:hint="eastAsia" w:ascii="仿宋_GB2312" w:hAnsi="仿宋_GB2312" w:eastAsia="仿宋_GB2312" w:cs="仿宋_GB2312"/>
          <w:i w:val="0"/>
          <w:iCs w:val="0"/>
          <w:caps w:val="0"/>
          <w:color w:val="auto"/>
          <w:spacing w:val="0"/>
          <w:sz w:val="24"/>
          <w:szCs w:val="24"/>
          <w:u w:val="none"/>
          <w:shd w:val="clear" w:color="auto" w:fill="FFFFFF"/>
        </w:rPr>
        <w:t>按照政策于8月</w:t>
      </w:r>
      <w:r>
        <w:rPr>
          <w:rFonts w:hint="eastAsia" w:ascii="仿宋_GB2312" w:hAnsi="仿宋_GB2312" w:eastAsia="仿宋_GB2312" w:cs="仿宋_GB2312"/>
          <w:i w:val="0"/>
          <w:iCs w:val="0"/>
          <w:caps w:val="0"/>
          <w:color w:val="auto"/>
          <w:spacing w:val="0"/>
          <w:sz w:val="24"/>
          <w:szCs w:val="24"/>
          <w:u w:val="none"/>
          <w:shd w:val="clear" w:color="auto" w:fill="FFFFFF"/>
          <w:lang w:val="en-US" w:eastAsia="zh-CN"/>
        </w:rPr>
        <w:t>24</w:t>
      </w:r>
      <w:r>
        <w:rPr>
          <w:rFonts w:hint="eastAsia" w:ascii="仿宋_GB2312" w:hAnsi="仿宋_GB2312" w:eastAsia="仿宋_GB2312" w:cs="仿宋_GB2312"/>
          <w:i w:val="0"/>
          <w:iCs w:val="0"/>
          <w:caps w:val="0"/>
          <w:color w:val="auto"/>
          <w:spacing w:val="0"/>
          <w:sz w:val="24"/>
          <w:szCs w:val="24"/>
          <w:u w:val="none"/>
          <w:shd w:val="clear" w:color="auto" w:fill="FFFFFF"/>
        </w:rPr>
        <w:t>日前将优待对象名单发至相关学校。</w:t>
      </w:r>
    </w:p>
    <w:tbl>
      <w:tblPr>
        <w:tblStyle w:val="4"/>
        <w:tblW w:w="9259" w:type="dxa"/>
        <w:jc w:val="center"/>
        <w:tblInd w:w="-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4"/>
        <w:gridCol w:w="1254"/>
        <w:gridCol w:w="3673"/>
        <w:gridCol w:w="1313"/>
        <w:gridCol w:w="1395"/>
        <w:gridCol w:w="1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52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color w:val="auto"/>
                <w:u w:val="none"/>
              </w:rPr>
            </w:pPr>
            <w:r>
              <w:rPr>
                <w:rFonts w:ascii="黑体" w:hAnsi="宋体" w:eastAsia="黑体" w:cs="黑体"/>
                <w:color w:val="auto"/>
                <w:kern w:val="0"/>
                <w:sz w:val="24"/>
                <w:szCs w:val="24"/>
                <w:u w:val="none"/>
                <w:lang w:val="en-US" w:eastAsia="zh-CN" w:bidi="ar"/>
              </w:rPr>
              <w:t>序号</w:t>
            </w:r>
          </w:p>
        </w:tc>
        <w:tc>
          <w:tcPr>
            <w:tcW w:w="125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color w:val="auto"/>
                <w:u w:val="none"/>
              </w:rPr>
            </w:pPr>
            <w:r>
              <w:rPr>
                <w:rFonts w:hint="eastAsia" w:ascii="黑体" w:hAnsi="宋体" w:eastAsia="黑体" w:cs="黑体"/>
                <w:color w:val="auto"/>
                <w:kern w:val="0"/>
                <w:sz w:val="24"/>
                <w:szCs w:val="24"/>
                <w:u w:val="none"/>
                <w:lang w:val="en-US" w:eastAsia="zh-CN" w:bidi="ar"/>
              </w:rPr>
              <w:t>优待类别</w:t>
            </w:r>
          </w:p>
        </w:tc>
        <w:tc>
          <w:tcPr>
            <w:tcW w:w="367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color w:val="auto"/>
                <w:u w:val="none"/>
              </w:rPr>
            </w:pPr>
            <w:r>
              <w:rPr>
                <w:rFonts w:hint="eastAsia" w:ascii="黑体" w:hAnsi="宋体" w:eastAsia="黑体" w:cs="黑体"/>
                <w:color w:val="auto"/>
                <w:kern w:val="0"/>
                <w:sz w:val="24"/>
                <w:szCs w:val="24"/>
                <w:u w:val="none"/>
                <w:lang w:val="en-US" w:eastAsia="zh-CN" w:bidi="ar"/>
              </w:rPr>
              <w:t>政策依据</w:t>
            </w:r>
          </w:p>
        </w:tc>
        <w:tc>
          <w:tcPr>
            <w:tcW w:w="131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color w:val="auto"/>
                <w:u w:val="none"/>
              </w:rPr>
            </w:pPr>
            <w:r>
              <w:rPr>
                <w:rFonts w:hint="eastAsia" w:ascii="黑体" w:hAnsi="宋体" w:eastAsia="黑体" w:cs="黑体"/>
                <w:color w:val="auto"/>
                <w:kern w:val="0"/>
                <w:sz w:val="24"/>
                <w:szCs w:val="24"/>
                <w:u w:val="none"/>
                <w:lang w:val="en-US" w:eastAsia="zh-CN" w:bidi="ar"/>
              </w:rPr>
              <w:t>受理单位</w:t>
            </w:r>
          </w:p>
        </w:tc>
        <w:tc>
          <w:tcPr>
            <w:tcW w:w="139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color w:val="auto"/>
                <w:u w:val="none"/>
              </w:rPr>
            </w:pPr>
            <w:r>
              <w:rPr>
                <w:rFonts w:hint="eastAsia" w:ascii="黑体" w:hAnsi="宋体" w:eastAsia="黑体" w:cs="黑体"/>
                <w:color w:val="auto"/>
                <w:kern w:val="0"/>
                <w:sz w:val="24"/>
                <w:szCs w:val="24"/>
                <w:u w:val="none"/>
                <w:lang w:val="en-US" w:eastAsia="zh-CN" w:bidi="ar"/>
              </w:rPr>
              <w:t>详细地址</w:t>
            </w:r>
          </w:p>
        </w:tc>
        <w:tc>
          <w:tcPr>
            <w:tcW w:w="110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color w:val="auto"/>
                <w:u w:val="none"/>
              </w:rPr>
            </w:pPr>
            <w:r>
              <w:rPr>
                <w:rFonts w:hint="eastAsia" w:ascii="黑体" w:hAnsi="宋体" w:eastAsia="黑体" w:cs="黑体"/>
                <w:color w:val="auto"/>
                <w:kern w:val="0"/>
                <w:sz w:val="24"/>
                <w:szCs w:val="24"/>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52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b w:val="0"/>
                <w:bCs w:val="0"/>
                <w:color w:val="auto"/>
                <w:kern w:val="0"/>
                <w:sz w:val="24"/>
                <w:szCs w:val="24"/>
                <w:u w:val="none"/>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u w:val="none"/>
              </w:rPr>
            </w:pPr>
            <w:r>
              <w:rPr>
                <w:rFonts w:hint="eastAsia" w:ascii="仿宋_GB2312" w:hAnsi="仿宋_GB2312" w:eastAsia="仿宋_GB2312" w:cs="仿宋_GB2312"/>
                <w:b w:val="0"/>
                <w:bCs w:val="0"/>
                <w:color w:val="auto"/>
                <w:kern w:val="0"/>
                <w:sz w:val="24"/>
                <w:szCs w:val="24"/>
                <w:u w:val="none"/>
                <w:vertAlign w:val="baseline"/>
                <w:lang w:val="en-US" w:eastAsia="zh-CN" w:bidi="ar"/>
              </w:rPr>
              <w:t>1</w:t>
            </w:r>
          </w:p>
        </w:tc>
        <w:tc>
          <w:tcPr>
            <w:tcW w:w="125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kern w:val="0"/>
                <w:sz w:val="21"/>
                <w:szCs w:val="21"/>
                <w:u w:val="none"/>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kern w:val="0"/>
                <w:sz w:val="21"/>
                <w:szCs w:val="21"/>
                <w:u w:val="none"/>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kern w:val="0"/>
                <w:sz w:val="21"/>
                <w:szCs w:val="21"/>
                <w:u w:val="none"/>
                <w:vertAlign w:val="baseline"/>
                <w:lang w:val="en-US" w:eastAsia="zh-CN" w:bidi="ar"/>
              </w:rPr>
              <w:t>军人子女</w:t>
            </w:r>
          </w:p>
        </w:tc>
        <w:tc>
          <w:tcPr>
            <w:tcW w:w="367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kern w:val="0"/>
                <w:sz w:val="21"/>
                <w:szCs w:val="21"/>
                <w:u w:val="none"/>
                <w:vertAlign w:val="baseline"/>
                <w:lang w:val="en-US" w:eastAsia="zh-CN" w:bidi="ar"/>
              </w:rPr>
              <w:t>海南省军区政治部海南省教育厅《关于印发</w:t>
            </w:r>
            <w:r>
              <w:rPr>
                <w:rFonts w:hint="eastAsia" w:ascii="汉仪平安行粗简" w:hAnsi="汉仪平安行粗简" w:eastAsia="汉仪平安行粗简" w:cs="汉仪平安行粗简"/>
                <w:color w:val="auto"/>
                <w:kern w:val="0"/>
                <w:sz w:val="21"/>
                <w:szCs w:val="21"/>
                <w:u w:val="none"/>
                <w:vertAlign w:val="baseline"/>
                <w:lang w:val="en-US" w:eastAsia="zh-CN" w:bidi="ar"/>
              </w:rPr>
              <w:t>〈</w:t>
            </w:r>
            <w:r>
              <w:rPr>
                <w:rFonts w:hint="eastAsia" w:ascii="仿宋_GB2312" w:hAnsi="仿宋_GB2312" w:eastAsia="仿宋_GB2312" w:cs="仿宋_GB2312"/>
                <w:color w:val="auto"/>
                <w:kern w:val="0"/>
                <w:sz w:val="21"/>
                <w:szCs w:val="21"/>
                <w:u w:val="none"/>
                <w:vertAlign w:val="baseline"/>
                <w:lang w:val="en-US" w:eastAsia="zh-CN" w:bidi="ar"/>
              </w:rPr>
              <w:t>海南省军人子女教育优待办法〉的通知》（政干〔2013〕33号）。</w:t>
            </w:r>
          </w:p>
        </w:tc>
        <w:tc>
          <w:tcPr>
            <w:tcW w:w="131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sz w:val="21"/>
                <w:szCs w:val="21"/>
                <w:u w:val="none"/>
                <w:lang w:eastAsia="zh-CN"/>
              </w:rPr>
            </w:pPr>
            <w:r>
              <w:rPr>
                <w:rFonts w:hint="eastAsia" w:ascii="仿宋_GB2312" w:hAnsi="仿宋_GB2312" w:eastAsia="仿宋_GB2312" w:cs="仿宋_GB2312"/>
                <w:color w:val="auto"/>
                <w:sz w:val="21"/>
                <w:szCs w:val="21"/>
                <w:u w:val="none"/>
                <w:lang w:eastAsia="zh-CN"/>
              </w:rPr>
              <w:t>各部队相关部门</w:t>
            </w:r>
          </w:p>
        </w:tc>
        <w:tc>
          <w:tcPr>
            <w:tcW w:w="139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sz w:val="21"/>
                <w:szCs w:val="21"/>
                <w:u w:val="none"/>
              </w:rPr>
            </w:pPr>
          </w:p>
        </w:tc>
        <w:tc>
          <w:tcPr>
            <w:tcW w:w="110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52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b w:val="0"/>
                <w:bCs w:val="0"/>
                <w:color w:val="auto"/>
                <w:kern w:val="0"/>
                <w:sz w:val="24"/>
                <w:szCs w:val="24"/>
                <w:u w:val="none"/>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b w:val="0"/>
                <w:bCs w:val="0"/>
                <w:color w:val="auto"/>
                <w:kern w:val="0"/>
                <w:sz w:val="24"/>
                <w:szCs w:val="24"/>
                <w:u w:val="none"/>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b w:val="0"/>
                <w:bCs w:val="0"/>
                <w:color w:val="auto"/>
                <w:kern w:val="0"/>
                <w:sz w:val="24"/>
                <w:szCs w:val="24"/>
                <w:u w:val="none"/>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u w:val="none"/>
              </w:rPr>
            </w:pPr>
            <w:r>
              <w:rPr>
                <w:rFonts w:hint="eastAsia" w:ascii="仿宋_GB2312" w:hAnsi="仿宋_GB2312" w:eastAsia="仿宋_GB2312" w:cs="仿宋_GB2312"/>
                <w:b w:val="0"/>
                <w:bCs w:val="0"/>
                <w:color w:val="auto"/>
                <w:kern w:val="0"/>
                <w:sz w:val="24"/>
                <w:szCs w:val="24"/>
                <w:u w:val="none"/>
                <w:vertAlign w:val="baseline"/>
                <w:lang w:val="en-US" w:eastAsia="zh-CN" w:bidi="ar"/>
              </w:rPr>
              <w:t>2</w:t>
            </w:r>
          </w:p>
        </w:tc>
        <w:tc>
          <w:tcPr>
            <w:tcW w:w="125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kern w:val="0"/>
                <w:sz w:val="21"/>
                <w:szCs w:val="21"/>
                <w:u w:val="none"/>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kern w:val="0"/>
                <w:sz w:val="21"/>
                <w:szCs w:val="21"/>
                <w:u w:val="none"/>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kern w:val="0"/>
                <w:sz w:val="21"/>
                <w:szCs w:val="21"/>
                <w:u w:val="none"/>
                <w:vertAlign w:val="baseline"/>
                <w:lang w:val="en-US" w:eastAsia="zh-CN" w:bidi="ar"/>
              </w:rPr>
              <w:t>公安英烈和因公牺牲伤残公安民警子女</w:t>
            </w:r>
          </w:p>
        </w:tc>
        <w:tc>
          <w:tcPr>
            <w:tcW w:w="367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kern w:val="0"/>
                <w:sz w:val="21"/>
                <w:szCs w:val="21"/>
                <w:u w:val="none"/>
                <w:vertAlign w:val="baseline"/>
                <w:lang w:val="en-US" w:eastAsia="zh-CN" w:bidi="ar"/>
              </w:rPr>
              <w:t>1.民政部等九部门关于印发《人民警察抚恤优待办法》的通知（民发〔2014〕101号）。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kern w:val="0"/>
                <w:sz w:val="21"/>
                <w:szCs w:val="21"/>
                <w:u w:val="none"/>
                <w:vertAlign w:val="baseline"/>
                <w:lang w:val="en-US" w:eastAsia="zh-CN" w:bidi="ar"/>
              </w:rPr>
              <w:t>2.公安部教育部《关于进一步加强和改进公安英烈和因公牺牲伤残公安民警子女优待工作的通知》（公政治〔2018〕27号）。</w:t>
            </w:r>
          </w:p>
        </w:tc>
        <w:tc>
          <w:tcPr>
            <w:tcW w:w="131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kern w:val="0"/>
                <w:sz w:val="21"/>
                <w:szCs w:val="21"/>
                <w:u w:val="none"/>
                <w:vertAlign w:val="baseline"/>
                <w:lang w:val="en-US" w:eastAsia="zh-CN" w:bidi="ar"/>
              </w:rPr>
              <w:t>三亚市公安局政治部</w:t>
            </w:r>
          </w:p>
        </w:tc>
        <w:tc>
          <w:tcPr>
            <w:tcW w:w="139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default" w:ascii="仿宋_GB2312" w:hAnsi="仿宋_GB2312" w:eastAsia="仿宋_GB2312" w:cs="仿宋_GB2312"/>
                <w:color w:val="auto"/>
                <w:sz w:val="21"/>
                <w:szCs w:val="21"/>
                <w:u w:val="none"/>
                <w:lang w:val="en"/>
              </w:rPr>
            </w:pPr>
            <w:r>
              <w:rPr>
                <w:rFonts w:hint="default" w:ascii="仿宋_GB2312" w:hAnsi="仿宋_GB2312" w:eastAsia="仿宋_GB2312" w:cs="仿宋_GB2312"/>
                <w:color w:val="auto"/>
                <w:kern w:val="0"/>
                <w:sz w:val="21"/>
                <w:szCs w:val="21"/>
                <w:u w:val="none"/>
                <w:vertAlign w:val="baseline"/>
                <w:lang w:val="en" w:eastAsia="zh-CN" w:bidi="ar"/>
              </w:rPr>
              <w:t>三亚市吉阳区迎宾路362号市公安局政治部</w:t>
            </w:r>
          </w:p>
        </w:tc>
        <w:tc>
          <w:tcPr>
            <w:tcW w:w="110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default" w:ascii="仿宋_GB2312" w:hAnsi="仿宋_GB2312" w:eastAsia="仿宋_GB2312" w:cs="仿宋_GB2312"/>
                <w:color w:val="auto"/>
                <w:kern w:val="0"/>
                <w:sz w:val="21"/>
                <w:szCs w:val="21"/>
                <w:u w:val="none"/>
                <w:vertAlign w:val="baseline"/>
                <w:lang w:val="en"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default" w:ascii="仿宋_GB2312" w:hAnsi="仿宋_GB2312" w:eastAsia="仿宋_GB2312" w:cs="仿宋_GB2312"/>
                <w:color w:val="auto"/>
                <w:kern w:val="0"/>
                <w:sz w:val="21"/>
                <w:szCs w:val="21"/>
                <w:u w:val="none"/>
                <w:vertAlign w:val="baseline"/>
                <w:lang w:val="en"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default" w:ascii="仿宋_GB2312" w:hAnsi="仿宋_GB2312" w:eastAsia="仿宋_GB2312" w:cs="仿宋_GB2312"/>
                <w:color w:val="auto"/>
                <w:sz w:val="21"/>
                <w:szCs w:val="21"/>
                <w:u w:val="none"/>
                <w:lang w:val="en"/>
              </w:rPr>
            </w:pPr>
            <w:r>
              <w:rPr>
                <w:rFonts w:hint="default" w:ascii="仿宋_GB2312" w:hAnsi="仿宋_GB2312" w:eastAsia="仿宋_GB2312" w:cs="仿宋_GB2312"/>
                <w:color w:val="auto"/>
                <w:kern w:val="0"/>
                <w:sz w:val="21"/>
                <w:szCs w:val="21"/>
                <w:u w:val="none"/>
                <w:vertAlign w:val="baseline"/>
                <w:lang w:val="en" w:eastAsia="zh-CN" w:bidi="ar"/>
              </w:rPr>
              <w:t>88869677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52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b w:val="0"/>
                <w:bCs w:val="0"/>
                <w:color w:val="auto"/>
                <w:kern w:val="0"/>
                <w:sz w:val="24"/>
                <w:szCs w:val="24"/>
                <w:u w:val="none"/>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b w:val="0"/>
                <w:bCs w:val="0"/>
                <w:color w:val="auto"/>
                <w:kern w:val="0"/>
                <w:sz w:val="24"/>
                <w:szCs w:val="24"/>
                <w:u w:val="none"/>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u w:val="none"/>
              </w:rPr>
            </w:pPr>
            <w:r>
              <w:rPr>
                <w:rFonts w:hint="eastAsia" w:ascii="仿宋_GB2312" w:hAnsi="仿宋_GB2312" w:eastAsia="仿宋_GB2312" w:cs="仿宋_GB2312"/>
                <w:b w:val="0"/>
                <w:bCs w:val="0"/>
                <w:color w:val="auto"/>
                <w:kern w:val="0"/>
                <w:sz w:val="24"/>
                <w:szCs w:val="24"/>
                <w:u w:val="none"/>
                <w:vertAlign w:val="baseline"/>
                <w:lang w:val="en-US" w:eastAsia="zh-CN" w:bidi="ar"/>
              </w:rPr>
              <w:t>3</w:t>
            </w:r>
          </w:p>
        </w:tc>
        <w:tc>
          <w:tcPr>
            <w:tcW w:w="125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kern w:val="0"/>
                <w:sz w:val="21"/>
                <w:szCs w:val="21"/>
                <w:u w:val="none"/>
                <w:vertAlign w:val="baseline"/>
                <w:lang w:val="en-US" w:eastAsia="zh-CN" w:bidi="ar"/>
              </w:rPr>
              <w:t>国家综合性消防救援队伍人员及其子女</w:t>
            </w:r>
          </w:p>
        </w:tc>
        <w:tc>
          <w:tcPr>
            <w:tcW w:w="367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kern w:val="0"/>
                <w:sz w:val="21"/>
                <w:szCs w:val="21"/>
                <w:u w:val="none"/>
                <w:vertAlign w:val="baseline"/>
                <w:lang w:val="en-US" w:eastAsia="zh-CN" w:bidi="ar"/>
              </w:rPr>
              <w:t>应急管理部教育部《关于做好国家综合性消防救援队伍人员及其子女教育优待工作的通知》（应急〔2019〕37号）。</w:t>
            </w:r>
          </w:p>
        </w:tc>
        <w:tc>
          <w:tcPr>
            <w:tcW w:w="131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rPr>
              <w:t>三亚市消防救援支队政治部</w:t>
            </w:r>
          </w:p>
        </w:tc>
        <w:tc>
          <w:tcPr>
            <w:tcW w:w="139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lang w:val="en-US" w:eastAsia="zh-CN"/>
              </w:rPr>
              <w:t>三亚</w:t>
            </w:r>
            <w:r>
              <w:rPr>
                <w:rFonts w:hint="eastAsia" w:ascii="仿宋_GB2312" w:hAnsi="仿宋_GB2312" w:eastAsia="仿宋_GB2312" w:cs="仿宋_GB2312"/>
                <w:color w:val="auto"/>
                <w:sz w:val="21"/>
                <w:szCs w:val="21"/>
              </w:rPr>
              <w:t>市凤凰路133号</w:t>
            </w:r>
          </w:p>
        </w:tc>
        <w:tc>
          <w:tcPr>
            <w:tcW w:w="110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sz w:val="21"/>
                <w:szCs w:val="21"/>
                <w:u w:val="none"/>
              </w:rPr>
            </w:pPr>
            <w:r>
              <w:rPr>
                <w:rFonts w:hint="eastAsia" w:ascii="仿宋_GB2312" w:hAnsi="仿宋_GB2312" w:eastAsia="仿宋_GB2312" w:cs="仿宋_GB2312"/>
                <w:color w:val="auto"/>
                <w:sz w:val="21"/>
                <w:szCs w:val="21"/>
              </w:rPr>
              <w:t>88956204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524" w:type="dxa"/>
            <w:vMerge w:val="restart"/>
            <w:tcBorders>
              <w:top w:val="single" w:color="auto" w:sz="4" w:space="0"/>
              <w:left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b w:val="0"/>
                <w:bCs w:val="0"/>
                <w:color w:val="auto"/>
                <w:kern w:val="0"/>
                <w:sz w:val="24"/>
                <w:szCs w:val="24"/>
                <w:u w:val="none"/>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b w:val="0"/>
                <w:bCs w:val="0"/>
                <w:color w:val="auto"/>
                <w:kern w:val="0"/>
                <w:sz w:val="24"/>
                <w:szCs w:val="24"/>
                <w:u w:val="none"/>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both"/>
              <w:textAlignment w:val="baseline"/>
              <w:rPr>
                <w:rFonts w:hint="default" w:ascii="仿宋_GB2312" w:hAnsi="仿宋_GB2312" w:eastAsia="仿宋_GB2312" w:cs="仿宋_GB2312"/>
                <w:b w:val="0"/>
                <w:bCs w:val="0"/>
                <w:color w:val="auto"/>
                <w:kern w:val="0"/>
                <w:sz w:val="24"/>
                <w:szCs w:val="24"/>
                <w:u w:val="none"/>
                <w:vertAlign w:val="baseline"/>
                <w:lang w:val="en-US" w:eastAsia="zh-CN" w:bidi="ar"/>
              </w:rPr>
            </w:pPr>
            <w:r>
              <w:rPr>
                <w:rFonts w:hint="eastAsia" w:ascii="仿宋_GB2312" w:hAnsi="仿宋_GB2312" w:eastAsia="仿宋_GB2312" w:cs="仿宋_GB2312"/>
                <w:b w:val="0"/>
                <w:bCs w:val="0"/>
                <w:color w:val="auto"/>
                <w:kern w:val="0"/>
                <w:sz w:val="24"/>
                <w:szCs w:val="24"/>
                <w:u w:val="none"/>
                <w:vertAlign w:val="baseline"/>
                <w:lang w:val="en-US" w:eastAsia="zh-CN" w:bidi="ar"/>
              </w:rPr>
              <w:t>4</w:t>
            </w:r>
          </w:p>
        </w:tc>
        <w:tc>
          <w:tcPr>
            <w:tcW w:w="1254" w:type="dxa"/>
            <w:vMerge w:val="restart"/>
            <w:tcBorders>
              <w:top w:val="single" w:color="auto" w:sz="4" w:space="0"/>
              <w:left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kern w:val="0"/>
                <w:sz w:val="21"/>
                <w:szCs w:val="21"/>
                <w:u w:val="none"/>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kern w:val="0"/>
                <w:sz w:val="21"/>
                <w:szCs w:val="21"/>
                <w:u w:val="none"/>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kern w:val="0"/>
                <w:sz w:val="21"/>
                <w:szCs w:val="21"/>
                <w:u w:val="none"/>
                <w:vertAlign w:val="baseline"/>
                <w:lang w:val="en-US" w:eastAsia="zh-CN" w:bidi="ar"/>
              </w:rPr>
            </w:pPr>
            <w:r>
              <w:rPr>
                <w:rFonts w:hint="eastAsia" w:ascii="仿宋_GB2312" w:hAnsi="仿宋_GB2312" w:eastAsia="仿宋_GB2312" w:cs="仿宋_GB2312"/>
                <w:color w:val="auto"/>
                <w:kern w:val="0"/>
                <w:sz w:val="21"/>
                <w:szCs w:val="21"/>
                <w:u w:val="none"/>
                <w:vertAlign w:val="baseline"/>
                <w:lang w:val="en-US" w:eastAsia="zh-CN" w:bidi="ar"/>
              </w:rPr>
              <w:t>高层次人才子女</w:t>
            </w:r>
          </w:p>
        </w:tc>
        <w:tc>
          <w:tcPr>
            <w:tcW w:w="3673" w:type="dxa"/>
            <w:vMerge w:val="restart"/>
            <w:tcBorders>
              <w:top w:val="single" w:color="auto" w:sz="4" w:space="0"/>
              <w:left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kern w:val="0"/>
                <w:sz w:val="21"/>
                <w:szCs w:val="21"/>
                <w:u w:val="none"/>
                <w:vertAlign w:val="baseline"/>
                <w:lang w:val="en-US" w:eastAsia="zh-CN" w:bidi="ar"/>
              </w:rPr>
            </w:pPr>
            <w:r>
              <w:rPr>
                <w:rFonts w:hint="eastAsia" w:ascii="仿宋_GB2312" w:hAnsi="仿宋_GB2312" w:eastAsia="仿宋_GB2312" w:cs="仿宋_GB2312"/>
                <w:color w:val="auto"/>
                <w:kern w:val="0"/>
                <w:sz w:val="21"/>
                <w:szCs w:val="21"/>
                <w:u w:val="none"/>
                <w:vertAlign w:val="baseline"/>
                <w:lang w:val="en-US" w:eastAsia="zh-CN" w:bidi="ar"/>
              </w:rPr>
              <w:t>1.海南省教育厅海南省人力资源和社会保障厅《关于印发《海南省高层次人才子女入学实施办法（试行）》的通知》（琼教基〔2018〕29号）。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kern w:val="0"/>
                <w:sz w:val="21"/>
                <w:szCs w:val="21"/>
                <w:u w:val="none"/>
                <w:vertAlign w:val="baseline"/>
                <w:lang w:val="en-US" w:eastAsia="zh-CN" w:bidi="ar"/>
              </w:rPr>
            </w:pPr>
            <w:r>
              <w:rPr>
                <w:rFonts w:hint="eastAsia" w:ascii="仿宋_GB2312" w:hAnsi="仿宋_GB2312" w:eastAsia="仿宋_GB2312" w:cs="仿宋_GB2312"/>
                <w:color w:val="auto"/>
                <w:kern w:val="0"/>
                <w:sz w:val="21"/>
                <w:szCs w:val="21"/>
                <w:u w:val="none"/>
                <w:vertAlign w:val="baseline"/>
                <w:lang w:val="en-US" w:eastAsia="zh-CN" w:bidi="ar"/>
              </w:rPr>
              <w:t>2.《三亚市教育局关于做好高层次人才子女入学工作的通知》（三教基〔2019〕174号）。</w:t>
            </w:r>
          </w:p>
        </w:tc>
        <w:tc>
          <w:tcPr>
            <w:tcW w:w="131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kern w:val="0"/>
                <w:sz w:val="21"/>
                <w:szCs w:val="21"/>
                <w:u w:val="none"/>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kern w:val="0"/>
                <w:sz w:val="21"/>
                <w:szCs w:val="21"/>
                <w:u w:val="none"/>
                <w:vertAlign w:val="baseline"/>
                <w:lang w:val="en-US" w:eastAsia="zh-CN" w:bidi="ar"/>
              </w:rPr>
            </w:pPr>
            <w:r>
              <w:rPr>
                <w:rFonts w:hint="eastAsia" w:ascii="仿宋_GB2312" w:hAnsi="仿宋_GB2312" w:eastAsia="仿宋_GB2312" w:cs="仿宋_GB2312"/>
                <w:color w:val="auto"/>
                <w:kern w:val="0"/>
                <w:sz w:val="21"/>
                <w:szCs w:val="21"/>
                <w:u w:val="none"/>
                <w:vertAlign w:val="baseline"/>
                <w:lang w:val="en-US" w:eastAsia="zh-CN" w:bidi="ar"/>
              </w:rPr>
              <w:t>三亚市教育局</w:t>
            </w:r>
          </w:p>
        </w:tc>
        <w:tc>
          <w:tcPr>
            <w:tcW w:w="139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三亚市河东路60号市教育局综合楼一楼103室</w:t>
            </w:r>
          </w:p>
          <w:p>
            <w:pPr>
              <w:pStyle w:val="2"/>
              <w:jc w:val="both"/>
              <w:rPr>
                <w:rFonts w:hint="eastAsia" w:ascii="仿宋" w:hAnsi="仿宋" w:eastAsia="仿宋" w:cs="仿宋"/>
                <w:sz w:val="21"/>
                <w:szCs w:val="21"/>
                <w:lang w:val="en-US" w:eastAsia="zh-CN"/>
              </w:rPr>
            </w:pPr>
          </w:p>
        </w:tc>
        <w:tc>
          <w:tcPr>
            <w:tcW w:w="110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88657827</w:t>
            </w:r>
          </w:p>
          <w:p>
            <w:pPr>
              <w:pStyle w:val="2"/>
              <w:jc w:val="both"/>
              <w:rPr>
                <w:rFonts w:hint="eastAsia" w:ascii="仿宋" w:hAnsi="仿宋" w:eastAsia="仿宋" w:cs="仿宋"/>
                <w:color w:val="auto"/>
                <w:kern w:val="0"/>
                <w:sz w:val="21"/>
                <w:szCs w:val="21"/>
                <w:u w:val="none"/>
                <w:vertAlign w:val="baseline"/>
                <w:lang w:val="en-US" w:eastAsia="zh-CN" w:bidi="ar"/>
              </w:rPr>
            </w:pPr>
            <w:r>
              <w:rPr>
                <w:rFonts w:hint="eastAsia" w:ascii="仿宋" w:hAnsi="仿宋" w:eastAsia="仿宋" w:cs="仿宋"/>
                <w:color w:val="auto"/>
                <w:kern w:val="0"/>
                <w:sz w:val="21"/>
                <w:szCs w:val="21"/>
                <w:u w:val="none"/>
                <w:vertAlign w:val="baseline"/>
                <w:lang w:val="en-US" w:eastAsia="zh-CN" w:bidi="ar"/>
              </w:rPr>
              <w:t>88657815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524" w:type="dxa"/>
            <w:vMerge w:val="continue"/>
            <w:tcBorders>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b w:val="0"/>
                <w:bCs w:val="0"/>
                <w:color w:val="auto"/>
                <w:kern w:val="0"/>
                <w:sz w:val="24"/>
                <w:szCs w:val="24"/>
                <w:u w:val="none"/>
                <w:vertAlign w:val="baseline"/>
                <w:lang w:val="en-US" w:eastAsia="zh-CN" w:bidi="ar"/>
              </w:rPr>
            </w:pPr>
          </w:p>
        </w:tc>
        <w:tc>
          <w:tcPr>
            <w:tcW w:w="1254" w:type="dxa"/>
            <w:vMerge w:val="continue"/>
            <w:tcBorders>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kern w:val="0"/>
                <w:sz w:val="21"/>
                <w:szCs w:val="21"/>
                <w:u w:val="none"/>
                <w:vertAlign w:val="baseline"/>
                <w:lang w:val="en-US" w:eastAsia="zh-CN" w:bidi="ar"/>
              </w:rPr>
            </w:pPr>
          </w:p>
        </w:tc>
        <w:tc>
          <w:tcPr>
            <w:tcW w:w="3673" w:type="dxa"/>
            <w:vMerge w:val="continue"/>
            <w:tcBorders>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eastAsia" w:ascii="仿宋_GB2312" w:hAnsi="仿宋_GB2312" w:eastAsia="仿宋_GB2312" w:cs="仿宋_GB2312"/>
                <w:color w:val="auto"/>
                <w:kern w:val="0"/>
                <w:sz w:val="21"/>
                <w:szCs w:val="21"/>
                <w:u w:val="none"/>
                <w:vertAlign w:val="baseline"/>
                <w:lang w:val="en-US" w:eastAsia="zh-CN" w:bidi="ar"/>
              </w:rPr>
            </w:pPr>
          </w:p>
        </w:tc>
        <w:tc>
          <w:tcPr>
            <w:tcW w:w="131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default" w:ascii="仿宋_GB2312" w:hAnsi="仿宋_GB2312" w:eastAsia="仿宋_GB2312" w:cs="仿宋_GB2312"/>
                <w:color w:val="auto"/>
                <w:kern w:val="0"/>
                <w:sz w:val="21"/>
                <w:szCs w:val="21"/>
                <w:u w:val="none"/>
                <w:vertAlign w:val="baseline"/>
                <w:lang w:val="en-US" w:eastAsia="zh-CN" w:bidi="ar"/>
              </w:rPr>
            </w:pPr>
            <w:r>
              <w:rPr>
                <w:rFonts w:hint="eastAsia" w:ascii="仿宋_GB2312" w:hAnsi="仿宋_GB2312" w:eastAsia="仿宋_GB2312" w:cs="仿宋_GB2312"/>
                <w:color w:val="auto"/>
                <w:kern w:val="0"/>
                <w:sz w:val="21"/>
                <w:szCs w:val="21"/>
                <w:u w:val="none"/>
                <w:vertAlign w:val="baseline"/>
                <w:lang w:val="en-US" w:eastAsia="zh-CN" w:bidi="ar"/>
              </w:rPr>
              <w:t>三亚市崖州区教育局</w:t>
            </w:r>
          </w:p>
        </w:tc>
        <w:tc>
          <w:tcPr>
            <w:tcW w:w="1395"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both"/>
              <w:textAlignment w:val="baseline"/>
              <w:rPr>
                <w:rFonts w:hint="default" w:ascii="仿宋_GB2312" w:hAnsi="仿宋_GB2312" w:eastAsia="仿宋_GB2312" w:cs="仿宋_GB2312"/>
                <w:color w:val="auto"/>
                <w:kern w:val="0"/>
                <w:sz w:val="21"/>
                <w:szCs w:val="21"/>
                <w:u w:val="none"/>
                <w:vertAlign w:val="baseline"/>
                <w:lang w:val="en-US" w:eastAsia="zh-CN" w:bidi="ar"/>
              </w:rPr>
            </w:pPr>
            <w:r>
              <w:rPr>
                <w:rFonts w:hint="eastAsia" w:ascii="仿宋_GB2312" w:hAnsi="仿宋_GB2312" w:eastAsia="仿宋_GB2312" w:cs="仿宋_GB2312"/>
                <w:color w:val="auto"/>
                <w:kern w:val="0"/>
                <w:sz w:val="21"/>
                <w:szCs w:val="21"/>
                <w:u w:val="none"/>
                <w:vertAlign w:val="baseline"/>
                <w:lang w:val="en-US" w:eastAsia="zh-CN" w:bidi="ar"/>
              </w:rPr>
              <w:t>三亚市崖州区崖州大道288号崖州区政府旁万科金色家园7号楼5楼</w:t>
            </w:r>
          </w:p>
        </w:tc>
        <w:tc>
          <w:tcPr>
            <w:tcW w:w="110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
              <w:jc w:val="both"/>
              <w:rPr>
                <w:rFonts w:hint="default" w:ascii="仿宋_GB2312" w:hAnsi="仿宋_GB2312" w:eastAsia="仿宋_GB2312" w:cs="仿宋_GB2312"/>
                <w:color w:val="auto"/>
                <w:kern w:val="0"/>
                <w:sz w:val="21"/>
                <w:szCs w:val="21"/>
                <w:u w:val="none"/>
                <w:vertAlign w:val="baseline"/>
                <w:lang w:val="en-US" w:eastAsia="zh-CN" w:bidi="ar"/>
              </w:rPr>
            </w:pPr>
            <w:r>
              <w:rPr>
                <w:rFonts w:hint="eastAsia" w:ascii="仿宋_GB2312" w:hAnsi="仿宋_GB2312" w:eastAsia="仿宋_GB2312" w:cs="仿宋_GB2312"/>
                <w:color w:val="auto"/>
                <w:kern w:val="0"/>
                <w:sz w:val="21"/>
                <w:szCs w:val="21"/>
                <w:u w:val="none"/>
                <w:vertAlign w:val="baseline"/>
                <w:lang w:val="en-US" w:eastAsia="zh-CN" w:bidi="ar"/>
              </w:rPr>
              <w:t>88823056  88823053</w:t>
            </w:r>
          </w:p>
        </w:tc>
      </w:tr>
    </w:tbl>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汉仪平安行粗简">
    <w:altName w:val="宋体"/>
    <w:panose1 w:val="00020600040101010101"/>
    <w:charset w:val="86"/>
    <w:family w:val="auto"/>
    <w:pitch w:val="default"/>
    <w:sig w:usb0="00000000" w:usb1="00000000"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230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qFormat/>
    <w:uiPriority w:val="0"/>
    <w:pPr>
      <w:keepNext w:val="0"/>
      <w:keepLines w:val="0"/>
      <w:widowControl w:val="0"/>
      <w:suppressLineNumbers w:val="0"/>
      <w:spacing w:before="0" w:beforeLines="0" w:beforeAutospacing="0" w:after="0" w:afterLines="0" w:afterAutospacing="0" w:line="560" w:lineRule="exact"/>
      <w:ind w:left="0" w:right="0"/>
      <w:jc w:val="both"/>
    </w:pPr>
    <w:rPr>
      <w:rFonts w:ascii="Times New Roman" w:hAnsi="Times New Roman" w:eastAsia="仿宋" w:cs="Times New Roman"/>
      <w:sz w:val="32"/>
      <w:szCs w:val="24"/>
      <w:lang w:bidi="ar"/>
    </w:r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2023-08-02T02:56:31Z</dcterms:created>
  <dc:creator>Administrator</dc:creator>
  <cp:lastModifiedBy>Administrator</cp:lastModifiedBy>
  <dcterms:modified xsi:type="dcterms:W3CDTF">2023-08-02T02:56:38Z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