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崖州区城市书房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扶持补助办法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总 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为全面推进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公共图书馆事业高质量发展，进一步鼓励和引导社会力量参与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城市书房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建设，不断提升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城市书房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服务水平，规范和加强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城市书房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扶持补助资金（以下简称“扶持补助资金”）管理，提高资金使用效益，根据《中华人民共和国预算法》《中华人民共和国公共图书馆法》和《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中华人民共和国公共文化服务保障法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》以及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崖州区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关于加快构建现代公共文化服务体系建设等有关规定，结合本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实际，制定本办法。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本办法所称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城市书房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，是指由政府主导，社会力量参与，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依托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级公共图书馆，采用自动化设备和无线射频技术，实现一体化服务，具备24小时开放条件的场馆型自助公共图书馆。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城市书房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是公共图书馆总分馆服务体系的重要组成部分，应当将推动、引导、服务全民阅读作为重要任务，坚持社会主义先进文化前进方向，坚持以人民为中心，坚持以社会主义核心价值观为引领，传承发展中华优秀传统文化，继承革命文化，发展社会主义先进文化，助力塑造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品质，提高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民文化素养，助推文化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崖州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扶持补助资金由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级财政安排，纳入年度部门预算，主要用于对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城市书房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建设和免费开放的补助，保障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我区城市书房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建设和服务质量。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财政局负责扶持补助资金的预算管理、监督检查和指导预算绩效管理工作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区旅游和文化广电体育局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负责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城市书房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设监督和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管理，提出建设规划和年度新建建议方案，组织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城市书房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建成验收和开展免费开放效能考核；编制年度扶持补助资金预算和使用管理，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并会同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财政局开展预算绩效管理。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扶持补助资金的使用应符合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公共图书馆总分馆服务体系建设规划以及公共财政的基本要求，突出社会力量参与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城市书房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建设特色，遵循“公平公正、科学规范、统筹安排、讲究绩效”的原则，确保资金使用合理、安全、高效。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建设补助资金与标准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第七条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公共图书馆总分馆服务体系建设规划和公共财政预算管理要求，确定每年新建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城市书房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第八条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城市书房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的选址应具备以下条件: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（一）符合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崖州地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区公共图书馆事业发展规划，能产生良好社会效益;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（二）满足“15分钟阅读圈”服务网络要求。除特殊需求外，一般不重复设点；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（三）位于一楼临街、人口集中、交通便利、环境安静，符合安全、卫生及环保标准的区域，周边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政配套设施条件良好。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城市书房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与其他文化设施合建时，必须满足其使用功能和环境要求，并自成一区，单独设置出入口。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第九条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对符合选址条件的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城市书房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，建成并通过验收合格的，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一次性给予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0万元建设补助资金和配备自助借还设备以及图书防盗安全门禁系统。建设补助资金主要用于阅读空间的环境装饰，书架、阅览桌椅等服务设施购置等。自助借还设备和图书防盗安全门禁系统由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图书馆统一招标采购，产权归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图书馆所有。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免费开放补助资金与标准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每年依据《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崖州区城市书房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绩效考核指标》（附件1），对运行满一年的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城市书房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免费开放服务效能开展考核。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第十一条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按照考核指标对考核合格的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城市书房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予以星级评定，设五星、四星、三星共三个等级。考核结果向社会公示。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第十二条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城市书房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免费开放补助资金根据星级评定结果予以补助，主要用于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城市书房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免费开放日常运行所需支出。补助标准为：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年度考核被评为五星的补助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万元，四星的补助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万元，三星的补助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万元。考核未达三星等次的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城市书房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不予补助。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资金申报与审批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第十三条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发布申报通知。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区旅游和文化广电体育局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通过网络平台公开发布申报时间、申报程序及评审考核流程。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第十四条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申报及审批流程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（一）申报方每年10月底前，提交申请表格（附件2）及相关证明材料到区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图书馆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（二）区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图书馆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负责项目申报材料的收集和初审，必要时可进行实地考察核实情况，出具初审意见并加盖公章后送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区旅游和文化广电体育局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（三）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区旅游和文化广电体育局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成立评审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小组集中评审，确定补助单位和金额。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（四）评审结果在网上公示，公示期为7天。公示无异议的，予以下达扶持补助资金。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资金监督与管理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第十五条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崖州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财政局和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崖州区旅游和文化广电体育局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负责对扶持补助资金的使用情况进行监督管理和绩效考评。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第十六条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扶持补助资金必须专款专用，任何单位或者个人不得截留、挪用扶持补助资金。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第十七条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受补助单位有违反法律、法规、规章和本办法行为的，取消当年补助资格，并依法追究有关单位和个人的法律责任。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第十八条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城市书房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退出机制。对于连续三年考核不合格的，或合同期满双方协商不续签的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城市书房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予以退出，并按程序向社会公示。对退出的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城市书房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，不再予以资金补助，并收回图书资料、自助借还设备以及图书防盗安全门禁系统等资产。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附 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第十九条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本办法适用范围为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崖州区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城市书房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本办法由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崖州区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财政局、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崖州区旅游和文化广电体育局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第二十一条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本办法自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XXXX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日起施行，有效期为三年。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崖州区城市书房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绩效考核指标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崖州区城市书房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建设/免费开放补助资金申报表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  <w:lang w:eastAsia="zh-CN"/>
        </w:rPr>
        <w:t>崖州区城市书房</w:t>
      </w:r>
      <w:r>
        <w:rPr>
          <w:rFonts w:hint="eastAsia" w:ascii="黑体" w:hAnsi="黑体" w:eastAsia="黑体" w:cs="黑体"/>
          <w:sz w:val="28"/>
          <w:szCs w:val="36"/>
        </w:rPr>
        <w:t>绩效考核指标</w:t>
      </w:r>
    </w:p>
    <w:tbl>
      <w:tblPr>
        <w:tblStyle w:val="5"/>
        <w:tblW w:w="9078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1200"/>
        <w:gridCol w:w="6435"/>
        <w:gridCol w:w="81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项目</w:t>
            </w:r>
          </w:p>
        </w:tc>
        <w:tc>
          <w:tcPr>
            <w:tcW w:w="64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8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分值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开放时间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每周开放时间</w:t>
            </w:r>
            <w:r>
              <w:rPr>
                <w:rFonts w:hint="eastAsia"/>
                <w:color w:val="auto"/>
              </w:rPr>
              <w:t>不少于84小时，错时</w:t>
            </w:r>
            <w:r>
              <w:rPr>
                <w:rFonts w:hint="eastAsia"/>
              </w:rPr>
              <w:t>开放时间不少于1/3;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严格按公示时间开放。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6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设施维护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确保设施干净整洁，运行维护良好，如：照明、空调、借还设备等；保持电压稳定，网络通畅。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  <w:jc w:val="center"/>
        </w:trPr>
        <w:tc>
          <w:tcPr>
            <w:tcW w:w="6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安全保障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（1）消防设施完好，标志清晰；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（2）属地安保人员对</w:t>
            </w:r>
            <w:r>
              <w:rPr>
                <w:rFonts w:hint="eastAsia"/>
                <w:lang w:eastAsia="zh-CN"/>
              </w:rPr>
              <w:t>城市书房</w:t>
            </w:r>
            <w:r>
              <w:rPr>
                <w:rFonts w:hint="eastAsia"/>
              </w:rPr>
              <w:t>内消防器材、防火设备、电源电器设备等进行日常自查，重大时间节点开展综合检查，并保存相关记录及工作总结；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（3）申请人与属地图书馆联合制定突发事件及自然灾害的应急预案。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服务环境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（1）窗明几净，图书排架整齐有序，桌、椅、书架及地面无破损，照明亮度符合国家阅读标准；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（2）标识标牌符合《</w:t>
            </w:r>
            <w:r>
              <w:rPr>
                <w:rFonts w:hint="eastAsia"/>
                <w:lang w:eastAsia="zh-CN"/>
              </w:rPr>
              <w:t>城市书房</w:t>
            </w:r>
            <w:r>
              <w:rPr>
                <w:rFonts w:hint="eastAsia"/>
              </w:rPr>
              <w:t>服务规范》；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（3）场馆文化氛围营造浓厚，自成特色。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  <w:jc w:val="center"/>
        </w:trPr>
        <w:tc>
          <w:tcPr>
            <w:tcW w:w="6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日常管理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（1）坚持公益性为主、盈利性为辅的原则，做好综合性服务工作，确保读者的公共阅读权益；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（2）文献年更新频率占馆藏总量的1/5以上，要求图书品种全、质量优、出版年代新；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（3）图书排架正确率不低于90%；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（4）建立长效志愿者管理机制，有记录有存档。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" w:hRule="atLeast"/>
          <w:jc w:val="center"/>
        </w:trPr>
        <w:tc>
          <w:tcPr>
            <w:tcW w:w="6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协作协调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（1）申请人及时解决日常运行中的问题，应答迅速、处理及时（3日内）；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（2）双方负责人加入</w:t>
            </w:r>
            <w:r>
              <w:rPr>
                <w:rFonts w:hint="eastAsia"/>
                <w:lang w:eastAsia="zh-CN"/>
              </w:rPr>
              <w:t>崖州区城市书房</w:t>
            </w:r>
            <w:r>
              <w:rPr>
                <w:rFonts w:hint="eastAsia"/>
              </w:rPr>
              <w:t>业务工作微信群，专人管理，做到信息畅通；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（3）配合做好临时性的服务工作。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6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宣传推广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（1）利用新媒体开展</w:t>
            </w:r>
            <w:r>
              <w:rPr>
                <w:rFonts w:hint="eastAsia"/>
                <w:lang w:eastAsia="zh-CN"/>
              </w:rPr>
              <w:t>城市书房</w:t>
            </w:r>
            <w:r>
              <w:rPr>
                <w:rFonts w:hint="eastAsia"/>
              </w:rPr>
              <w:t>宣传工作，如：新书推荐、书房新动态、新信息等；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（2）开展与阅读相关的活动，包括讲座、展览、读书沙龙等。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6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服务效能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统计年流通人次、年文献流通量、年文献更新量、年办证量等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6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读者满意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（1）读者满意度调查：在</w:t>
            </w:r>
            <w:r>
              <w:rPr>
                <w:rFonts w:hint="eastAsia"/>
                <w:lang w:eastAsia="zh-CN"/>
              </w:rPr>
              <w:t>城市书房</w:t>
            </w:r>
            <w:r>
              <w:rPr>
                <w:rFonts w:hint="eastAsia"/>
              </w:rPr>
              <w:t>内及周边区域随机发放调查表，取得有效样本；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（2）本年度读者投诉情况：</w:t>
            </w:r>
            <w:r>
              <w:rPr>
                <w:rFonts w:hint="eastAsia"/>
                <w:lang w:eastAsia="zh-CN"/>
              </w:rPr>
              <w:t>崖州区</w:t>
            </w:r>
            <w:r>
              <w:rPr>
                <w:rFonts w:hint="eastAsia"/>
              </w:rPr>
              <w:t>图书馆收到的投诉电话、邮件及微信公众号平台投诉留言等。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6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日常监管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日常不定期抽查抽检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jc w:val="center"/>
        </w:trPr>
        <w:tc>
          <w:tcPr>
            <w:tcW w:w="6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加分项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（1）书房管理运营或特色工作得到业务主管部门表彰或奖励；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（2）媒体关注度高（包括报纸、电台、电视台、网络等），且有</w:t>
            </w:r>
            <w:r>
              <w:rPr>
                <w:rFonts w:hint="eastAsia"/>
                <w:lang w:eastAsia="zh-CN"/>
              </w:rPr>
              <w:t>区</w:t>
            </w:r>
            <w:r>
              <w:rPr>
                <w:rFonts w:hint="eastAsia"/>
              </w:rPr>
              <w:t>级以上媒体报道；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（3）开展阅读推广活动质量高、影响力大、可持续性强。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  <w:lang w:eastAsia="zh-CN"/>
        </w:rPr>
        <w:t>崖州区城市书房</w:t>
      </w:r>
      <w:r>
        <w:rPr>
          <w:rFonts w:hint="eastAsia" w:ascii="黑体" w:hAnsi="黑体" w:eastAsia="黑体" w:cs="黑体"/>
          <w:sz w:val="28"/>
          <w:szCs w:val="36"/>
        </w:rPr>
        <w:t>建设补助资金申报表</w:t>
      </w:r>
    </w:p>
    <w:p>
      <w:pPr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（年度）</w:t>
      </w:r>
    </w:p>
    <w:p>
      <w:pPr>
        <w:jc w:val="both"/>
        <w:rPr>
          <w:rFonts w:hint="eastAsia"/>
        </w:rPr>
      </w:pPr>
      <w:r>
        <w:rPr>
          <w:rFonts w:hint="eastAsia"/>
        </w:rPr>
        <w:t>申请单位（盖</w:t>
      </w:r>
      <w:r>
        <w:rPr>
          <w:rFonts w:hint="eastAsia"/>
          <w:lang w:eastAsia="zh-CN"/>
        </w:rPr>
        <w:t>章）</w:t>
      </w:r>
      <w:r>
        <w:rPr>
          <w:rFonts w:hint="eastAsia"/>
        </w:rPr>
        <w:t>                                                                                               </w:t>
      </w:r>
    </w:p>
    <w:p>
      <w:pPr>
        <w:jc w:val="both"/>
        <w:rPr>
          <w:rFonts w:hint="eastAsia"/>
        </w:rPr>
      </w:pPr>
      <w:r>
        <w:rPr>
          <w:rFonts w:hint="eastAsia"/>
        </w:rPr>
        <w:t>联系人：                                               </w:t>
      </w: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eastAsia"/>
        </w:rPr>
        <w:t>     </w:t>
      </w:r>
      <w:r>
        <w:rPr>
          <w:rFonts w:hint="eastAsia"/>
          <w:lang w:eastAsia="zh-CN"/>
        </w:rPr>
        <w:t>电</w:t>
      </w:r>
      <w:r>
        <w:rPr>
          <w:rFonts w:hint="eastAsia"/>
        </w:rPr>
        <w:t> 话：                       </w:t>
      </w:r>
    </w:p>
    <w:tbl>
      <w:tblPr>
        <w:tblStyle w:val="5"/>
        <w:tblW w:w="8840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8"/>
        <w:gridCol w:w="592"/>
        <w:gridCol w:w="2051"/>
        <w:gridCol w:w="679"/>
        <w:gridCol w:w="1502"/>
        <w:gridCol w:w="213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城市书房</w:t>
            </w:r>
            <w:r>
              <w:rPr>
                <w:rFonts w:hint="eastAsia"/>
              </w:rPr>
              <w:t>名称</w:t>
            </w:r>
          </w:p>
        </w:tc>
        <w:tc>
          <w:tcPr>
            <w:tcW w:w="26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</w:p>
        </w:tc>
        <w:tc>
          <w:tcPr>
            <w:tcW w:w="3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申请金额（元）</w:t>
            </w:r>
          </w:p>
        </w:tc>
        <w:tc>
          <w:tcPr>
            <w:tcW w:w="69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开放时间</w:t>
            </w:r>
          </w:p>
        </w:tc>
        <w:tc>
          <w:tcPr>
            <w:tcW w:w="26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是否有无线网络</w:t>
            </w:r>
          </w:p>
        </w:tc>
        <w:tc>
          <w:tcPr>
            <w:tcW w:w="2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室内面积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（平方米）</w:t>
            </w:r>
          </w:p>
        </w:tc>
        <w:tc>
          <w:tcPr>
            <w:tcW w:w="26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少儿服务区面积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（平方米）</w:t>
            </w:r>
          </w:p>
        </w:tc>
        <w:tc>
          <w:tcPr>
            <w:tcW w:w="2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藏书（册）  </w:t>
            </w:r>
          </w:p>
        </w:tc>
        <w:tc>
          <w:tcPr>
            <w:tcW w:w="26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阅览座席（个）</w:t>
            </w:r>
          </w:p>
        </w:tc>
        <w:tc>
          <w:tcPr>
            <w:tcW w:w="2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5" w:hRule="atLeast"/>
          <w:jc w:val="center"/>
        </w:trPr>
        <w:tc>
          <w:tcPr>
            <w:tcW w:w="88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建设基本概况：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另附：装修图纸（设计图、效果图、施工图）及相关财务凭据；设施、设备采购清单及财务凭据。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1" w:hRule="atLeast"/>
          <w:jc w:val="center"/>
        </w:trPr>
        <w:tc>
          <w:tcPr>
            <w:tcW w:w="2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区</w:t>
            </w:r>
            <w:r>
              <w:rPr>
                <w:rFonts w:hint="eastAsia"/>
                <w:lang w:eastAsia="zh-CN"/>
              </w:rPr>
              <w:t>图书馆</w:t>
            </w:r>
            <w:r>
              <w:rPr>
                <w:rFonts w:hint="eastAsia"/>
              </w:rPr>
              <w:t>意见</w:t>
            </w:r>
          </w:p>
        </w:tc>
        <w:tc>
          <w:tcPr>
            <w:tcW w:w="63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年     月   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1" w:hRule="atLeast"/>
          <w:jc w:val="center"/>
        </w:trPr>
        <w:tc>
          <w:tcPr>
            <w:tcW w:w="2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区旅游和文化广电体育局</w:t>
            </w:r>
            <w:r>
              <w:rPr>
                <w:rFonts w:hint="eastAsia"/>
              </w:rPr>
              <w:t>意见</w:t>
            </w:r>
          </w:p>
        </w:tc>
        <w:tc>
          <w:tcPr>
            <w:tcW w:w="63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年     月   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7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jc w:val="both"/>
        <w:rPr>
          <w:rFonts w:hint="eastAsia"/>
          <w:sz w:val="28"/>
          <w:szCs w:val="36"/>
          <w:lang w:eastAsia="zh-CN"/>
        </w:rPr>
      </w:pPr>
    </w:p>
    <w:p>
      <w:pPr>
        <w:jc w:val="center"/>
        <w:rPr>
          <w:rFonts w:hint="eastAsia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  <w:lang w:eastAsia="zh-CN"/>
        </w:rPr>
        <w:t>崖州区城市书房</w:t>
      </w:r>
      <w:r>
        <w:rPr>
          <w:rFonts w:hint="eastAsia" w:ascii="黑体" w:hAnsi="黑体" w:eastAsia="黑体" w:cs="黑体"/>
          <w:sz w:val="28"/>
          <w:szCs w:val="36"/>
        </w:rPr>
        <w:t>免费开放补助资金申报表</w:t>
      </w:r>
    </w:p>
    <w:p>
      <w:pPr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（年度）</w:t>
      </w:r>
    </w:p>
    <w:p>
      <w:pPr>
        <w:rPr>
          <w:rFonts w:hint="eastAsia"/>
        </w:rPr>
      </w:pPr>
      <w:r>
        <w:rPr>
          <w:rFonts w:hint="eastAsia"/>
        </w:rPr>
        <w:t>申报单位（盖章）：                                                                                       </w:t>
      </w:r>
    </w:p>
    <w:p>
      <w:pPr>
        <w:rPr>
          <w:rFonts w:hint="eastAsia"/>
        </w:rPr>
      </w:pPr>
      <w:r>
        <w:rPr>
          <w:rFonts w:hint="eastAsia"/>
        </w:rPr>
        <w:t>联系人：                                                                          </w:t>
      </w: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</w:rPr>
        <w:t> 电话：                          </w:t>
      </w:r>
    </w:p>
    <w:tbl>
      <w:tblPr>
        <w:tblStyle w:val="5"/>
        <w:tblW w:w="9020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8"/>
        <w:gridCol w:w="659"/>
        <w:gridCol w:w="1933"/>
        <w:gridCol w:w="704"/>
        <w:gridCol w:w="1843"/>
        <w:gridCol w:w="20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城市书房</w:t>
            </w:r>
            <w:r>
              <w:rPr>
                <w:rFonts w:hint="eastAsia"/>
              </w:rPr>
              <w:t>名称</w:t>
            </w:r>
          </w:p>
        </w:tc>
        <w:tc>
          <w:tcPr>
            <w:tcW w:w="25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</w:p>
        </w:tc>
        <w:tc>
          <w:tcPr>
            <w:tcW w:w="39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申请金额（元）</w:t>
            </w:r>
          </w:p>
        </w:tc>
        <w:tc>
          <w:tcPr>
            <w:tcW w:w="72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开放时间</w:t>
            </w:r>
          </w:p>
        </w:tc>
        <w:tc>
          <w:tcPr>
            <w:tcW w:w="25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本年度绩效考核等次</w:t>
            </w:r>
          </w:p>
        </w:tc>
        <w:tc>
          <w:tcPr>
            <w:tcW w:w="2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室内面积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（平方米）</w:t>
            </w:r>
          </w:p>
        </w:tc>
        <w:tc>
          <w:tcPr>
            <w:tcW w:w="25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少儿服务区面积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（平方米）</w:t>
            </w:r>
          </w:p>
        </w:tc>
        <w:tc>
          <w:tcPr>
            <w:tcW w:w="2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藏书（册）  </w:t>
            </w:r>
          </w:p>
        </w:tc>
        <w:tc>
          <w:tcPr>
            <w:tcW w:w="25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阅览座席（个）</w:t>
            </w:r>
          </w:p>
        </w:tc>
        <w:tc>
          <w:tcPr>
            <w:tcW w:w="2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  <w:jc w:val="center"/>
        </w:trPr>
        <w:tc>
          <w:tcPr>
            <w:tcW w:w="902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免费开放基本概况：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另附：</w:t>
            </w:r>
            <w:r>
              <w:rPr>
                <w:rFonts w:hint="eastAsia"/>
                <w:lang w:eastAsia="zh-CN"/>
              </w:rPr>
              <w:t>城市书房</w:t>
            </w:r>
            <w:r>
              <w:rPr>
                <w:rFonts w:hint="eastAsia"/>
              </w:rPr>
              <w:t>绩效考核工作台账。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9" w:hRule="atLeast"/>
          <w:jc w:val="center"/>
        </w:trPr>
        <w:tc>
          <w:tcPr>
            <w:tcW w:w="24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</w:t>
            </w:r>
            <w:r>
              <w:rPr>
                <w:rFonts w:hint="eastAsia"/>
                <w:lang w:eastAsia="zh-CN"/>
              </w:rPr>
              <w:t>图书馆</w:t>
            </w:r>
            <w:r>
              <w:rPr>
                <w:rFonts w:hint="eastAsia"/>
              </w:rPr>
              <w:t>意见</w:t>
            </w:r>
          </w:p>
        </w:tc>
        <w:tc>
          <w:tcPr>
            <w:tcW w:w="65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年     月   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6" w:hRule="atLeast"/>
          <w:jc w:val="center"/>
        </w:trPr>
        <w:tc>
          <w:tcPr>
            <w:tcW w:w="24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区旅游和文化广电体育局</w:t>
            </w:r>
            <w:r>
              <w:rPr>
                <w:rFonts w:hint="eastAsia"/>
              </w:rPr>
              <w:t>意见</w:t>
            </w:r>
          </w:p>
        </w:tc>
        <w:tc>
          <w:tcPr>
            <w:tcW w:w="65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年     月   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C3CC8"/>
    <w:rsid w:val="05F626D7"/>
    <w:rsid w:val="0C8848F5"/>
    <w:rsid w:val="11A373E1"/>
    <w:rsid w:val="134A4CF7"/>
    <w:rsid w:val="137E3F03"/>
    <w:rsid w:val="145955EC"/>
    <w:rsid w:val="16EF2F2B"/>
    <w:rsid w:val="18624C2A"/>
    <w:rsid w:val="186769A7"/>
    <w:rsid w:val="18811839"/>
    <w:rsid w:val="189928DA"/>
    <w:rsid w:val="19AF32A7"/>
    <w:rsid w:val="1B0F67BB"/>
    <w:rsid w:val="1CC82B81"/>
    <w:rsid w:val="1CEC03D0"/>
    <w:rsid w:val="1EDA2FD2"/>
    <w:rsid w:val="230F4B2A"/>
    <w:rsid w:val="25804ACB"/>
    <w:rsid w:val="284C1C3B"/>
    <w:rsid w:val="289B0536"/>
    <w:rsid w:val="2BB720DE"/>
    <w:rsid w:val="2C3D134F"/>
    <w:rsid w:val="2CBE23FA"/>
    <w:rsid w:val="2D647659"/>
    <w:rsid w:val="2D9D0870"/>
    <w:rsid w:val="2E5F52A1"/>
    <w:rsid w:val="30AD10AA"/>
    <w:rsid w:val="35D552A8"/>
    <w:rsid w:val="37B17BED"/>
    <w:rsid w:val="386A496C"/>
    <w:rsid w:val="3A894236"/>
    <w:rsid w:val="3B122BE5"/>
    <w:rsid w:val="40C23469"/>
    <w:rsid w:val="413412B2"/>
    <w:rsid w:val="424E1B5C"/>
    <w:rsid w:val="430C08AF"/>
    <w:rsid w:val="436B3372"/>
    <w:rsid w:val="45F9439E"/>
    <w:rsid w:val="48686E54"/>
    <w:rsid w:val="4DC470D3"/>
    <w:rsid w:val="50605ABF"/>
    <w:rsid w:val="50A97BC0"/>
    <w:rsid w:val="541567E6"/>
    <w:rsid w:val="598A0C17"/>
    <w:rsid w:val="5D586B00"/>
    <w:rsid w:val="6ABD7AFD"/>
    <w:rsid w:val="6C657C53"/>
    <w:rsid w:val="6D692D65"/>
    <w:rsid w:val="6E96411C"/>
    <w:rsid w:val="72AA29F8"/>
    <w:rsid w:val="73D87FC3"/>
    <w:rsid w:val="73DB3780"/>
    <w:rsid w:val="77F924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区旅游文体局</cp:lastModifiedBy>
  <cp:lastPrinted>2022-07-18T10:01:00Z</cp:lastPrinted>
  <dcterms:modified xsi:type="dcterms:W3CDTF">2022-07-19T01:28:58Z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