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leftChars="0" w:firstLine="0" w:firstLineChars="0"/>
        <w:jc w:val="center"/>
        <w:rPr>
          <w:rFonts w:hint="eastAsia" w:ascii="黑体" w:hAnsi="黑体" w:eastAsia="黑体" w:cs="黑体"/>
          <w:b w:val="0"/>
          <w:bCs w:val="0"/>
          <w:sz w:val="32"/>
          <w:szCs w:val="32"/>
          <w:lang w:val="en-US" w:eastAsia="zh-CN"/>
        </w:rPr>
      </w:pPr>
    </w:p>
    <w:p>
      <w:pPr>
        <w:ind w:left="0" w:leftChars="0" w:firstLine="0" w:firstLineChars="0"/>
        <w:jc w:val="center"/>
        <w:rPr>
          <w:rFonts w:hint="eastAsia" w:ascii="黑体" w:hAnsi="黑体" w:eastAsia="黑体" w:cs="黑体"/>
          <w:b w:val="0"/>
          <w:bCs w:val="0"/>
          <w:sz w:val="32"/>
          <w:szCs w:val="32"/>
          <w:lang w:val="en-US" w:eastAsia="zh-CN"/>
        </w:rPr>
      </w:pPr>
    </w:p>
    <w:p>
      <w:pPr>
        <w:ind w:left="0" w:leftChars="0" w:firstLine="0" w:firstLineChars="0"/>
        <w:jc w:val="center"/>
        <w:rPr>
          <w:rFonts w:hint="eastAsia" w:ascii="黑体" w:hAnsi="黑体" w:eastAsia="黑体" w:cs="黑体"/>
          <w:b w:val="0"/>
          <w:bCs w:val="0"/>
          <w:sz w:val="32"/>
          <w:szCs w:val="32"/>
          <w:lang w:val="en-US" w:eastAsia="zh-CN"/>
        </w:rPr>
      </w:pPr>
    </w:p>
    <w:p>
      <w:pPr>
        <w:ind w:left="0" w:leftChars="0" w:firstLine="0" w:firstLineChars="0"/>
        <w:jc w:val="center"/>
        <w:rPr>
          <w:rFonts w:hint="eastAsia" w:ascii="黑体" w:hAnsi="黑体" w:eastAsia="黑体" w:cs="黑体"/>
          <w:b w:val="0"/>
          <w:bCs w:val="0"/>
          <w:sz w:val="32"/>
          <w:szCs w:val="32"/>
          <w:lang w:val="en-US" w:eastAsia="zh-CN"/>
        </w:rPr>
      </w:pPr>
    </w:p>
    <w:p>
      <w:pPr>
        <w:ind w:left="0" w:leftChars="0" w:firstLine="0" w:firstLineChars="0"/>
        <w:jc w:val="center"/>
        <w:rPr>
          <w:rFonts w:hint="eastAsia" w:ascii="黑体" w:hAnsi="黑体" w:eastAsia="黑体" w:cs="黑体"/>
          <w:b/>
          <w:bCs/>
          <w:sz w:val="52"/>
          <w:szCs w:val="52"/>
          <w:lang w:val="en-US" w:eastAsia="zh-CN"/>
        </w:rPr>
      </w:pPr>
      <w:r>
        <w:rPr>
          <w:rFonts w:hint="eastAsia" w:ascii="黑体" w:hAnsi="黑体" w:eastAsia="黑体" w:cs="黑体"/>
          <w:b/>
          <w:bCs/>
          <w:sz w:val="52"/>
          <w:szCs w:val="52"/>
          <w:lang w:val="en-US" w:eastAsia="zh-CN"/>
        </w:rPr>
        <w:t>三亚市崖州区产业发展规划</w:t>
      </w:r>
    </w:p>
    <w:p>
      <w:pPr>
        <w:ind w:left="0" w:leftChars="0" w:firstLine="0" w:firstLineChars="0"/>
        <w:jc w:val="center"/>
        <w:rPr>
          <w:rFonts w:hint="eastAsia" w:ascii="黑体" w:hAnsi="黑体" w:eastAsia="黑体" w:cs="黑体"/>
          <w:b/>
          <w:bCs/>
          <w:sz w:val="52"/>
          <w:szCs w:val="52"/>
          <w:lang w:val="en-US" w:eastAsia="zh-CN"/>
        </w:rPr>
      </w:pPr>
      <w:r>
        <w:rPr>
          <w:rFonts w:hint="eastAsia" w:ascii="黑体" w:hAnsi="黑体" w:eastAsia="黑体" w:cs="黑体"/>
          <w:b/>
          <w:bCs/>
          <w:sz w:val="52"/>
          <w:szCs w:val="52"/>
          <w:lang w:val="en-US" w:eastAsia="zh-CN"/>
        </w:rPr>
        <w:t>（2021-2035）</w:t>
      </w:r>
    </w:p>
    <w:p>
      <w:pPr>
        <w:ind w:left="0" w:leftChars="0" w:firstLine="0" w:firstLineChars="0"/>
        <w:jc w:val="center"/>
        <w:rPr>
          <w:rFonts w:hint="eastAsia" w:ascii="黑体" w:hAnsi="黑体" w:eastAsia="黑体" w:cs="黑体"/>
          <w:b w:val="0"/>
          <w:bCs w:val="0"/>
          <w:sz w:val="32"/>
          <w:szCs w:val="32"/>
          <w:lang w:val="en-US" w:eastAsia="zh-CN"/>
        </w:rPr>
      </w:pPr>
    </w:p>
    <w:p>
      <w:pPr>
        <w:ind w:left="0" w:leftChars="0" w:firstLine="0" w:firstLineChars="0"/>
        <w:jc w:val="center"/>
        <w:rPr>
          <w:rFonts w:hint="eastAsia" w:ascii="黑体" w:hAnsi="黑体" w:eastAsia="黑体" w:cs="黑体"/>
          <w:b w:val="0"/>
          <w:bCs w:val="0"/>
          <w:sz w:val="32"/>
          <w:szCs w:val="32"/>
          <w:lang w:val="en-US" w:eastAsia="zh-CN"/>
        </w:rPr>
      </w:pPr>
    </w:p>
    <w:p>
      <w:pPr>
        <w:ind w:left="0" w:leftChars="0" w:firstLine="0" w:firstLineChars="0"/>
        <w:jc w:val="center"/>
        <w:rPr>
          <w:rFonts w:hint="eastAsia" w:ascii="黑体" w:hAnsi="黑体" w:eastAsia="黑体" w:cs="黑体"/>
          <w:b w:val="0"/>
          <w:bCs w:val="0"/>
          <w:sz w:val="32"/>
          <w:szCs w:val="32"/>
          <w:lang w:val="en-US" w:eastAsia="zh-CN"/>
        </w:rPr>
      </w:pPr>
      <w:bookmarkStart w:id="759" w:name="_GoBack"/>
      <w:bookmarkEnd w:id="759"/>
    </w:p>
    <w:p>
      <w:pPr>
        <w:ind w:left="0" w:leftChars="0" w:firstLine="0" w:firstLineChars="0"/>
        <w:jc w:val="center"/>
        <w:rPr>
          <w:rFonts w:hint="eastAsia" w:ascii="黑体" w:hAnsi="黑体" w:eastAsia="黑体" w:cs="黑体"/>
          <w:b w:val="0"/>
          <w:bCs w:val="0"/>
          <w:sz w:val="32"/>
          <w:szCs w:val="32"/>
          <w:lang w:val="en-US" w:eastAsia="zh-CN"/>
        </w:rPr>
      </w:pPr>
    </w:p>
    <w:p>
      <w:pPr>
        <w:ind w:left="0" w:leftChars="0" w:firstLine="0" w:firstLineChars="0"/>
        <w:jc w:val="center"/>
        <w:rPr>
          <w:rFonts w:hint="eastAsia" w:ascii="黑体" w:hAnsi="黑体" w:eastAsia="黑体" w:cs="黑体"/>
          <w:b w:val="0"/>
          <w:bCs w:val="0"/>
          <w:sz w:val="32"/>
          <w:szCs w:val="32"/>
          <w:lang w:val="en-US" w:eastAsia="zh-CN"/>
        </w:rPr>
      </w:pPr>
    </w:p>
    <w:p>
      <w:pPr>
        <w:ind w:left="0" w:leftChars="0" w:firstLine="0" w:firstLineChars="0"/>
        <w:jc w:val="center"/>
        <w:rPr>
          <w:rFonts w:hint="eastAsia" w:ascii="黑体" w:hAnsi="黑体" w:eastAsia="黑体" w:cs="黑体"/>
          <w:b w:val="0"/>
          <w:bCs w:val="0"/>
          <w:sz w:val="32"/>
          <w:szCs w:val="32"/>
          <w:lang w:val="en-US" w:eastAsia="zh-CN"/>
        </w:rPr>
      </w:pPr>
    </w:p>
    <w:p>
      <w:pPr>
        <w:ind w:left="0" w:leftChars="0" w:firstLine="0" w:firstLineChars="0"/>
        <w:jc w:val="center"/>
        <w:rPr>
          <w:rFonts w:hint="eastAsia" w:ascii="黑体" w:hAnsi="黑体" w:eastAsia="黑体" w:cs="黑体"/>
          <w:b w:val="0"/>
          <w:bCs w:val="0"/>
          <w:sz w:val="32"/>
          <w:szCs w:val="32"/>
          <w:lang w:val="en-US" w:eastAsia="zh-CN"/>
        </w:rPr>
      </w:pPr>
    </w:p>
    <w:p>
      <w:pPr>
        <w:ind w:left="0" w:leftChars="0" w:firstLine="0" w:firstLineChars="0"/>
        <w:jc w:val="center"/>
        <w:rPr>
          <w:rFonts w:hint="eastAsia" w:ascii="黑体" w:hAnsi="黑体" w:eastAsia="黑体" w:cs="黑体"/>
          <w:b w:val="0"/>
          <w:bCs w:val="0"/>
          <w:sz w:val="32"/>
          <w:szCs w:val="32"/>
          <w:lang w:val="en-US" w:eastAsia="zh-CN"/>
        </w:rPr>
      </w:pPr>
    </w:p>
    <w:p>
      <w:pPr>
        <w:ind w:left="0" w:leftChars="0" w:firstLine="0" w:firstLineChars="0"/>
        <w:jc w:val="center"/>
        <w:rPr>
          <w:rFonts w:hint="eastAsia" w:ascii="黑体" w:hAnsi="黑体" w:eastAsia="黑体" w:cs="黑体"/>
          <w:b w:val="0"/>
          <w:bCs w:val="0"/>
          <w:sz w:val="32"/>
          <w:szCs w:val="32"/>
          <w:lang w:val="en-US" w:eastAsia="zh-CN"/>
        </w:rPr>
      </w:pPr>
    </w:p>
    <w:p>
      <w:pPr>
        <w:ind w:left="0" w:leftChars="0" w:firstLine="0" w:firstLineChars="0"/>
        <w:jc w:val="center"/>
        <w:rPr>
          <w:rFonts w:hint="eastAsia" w:ascii="黑体" w:hAnsi="黑体" w:eastAsia="黑体" w:cs="黑体"/>
          <w:b w:val="0"/>
          <w:bCs w:val="0"/>
          <w:sz w:val="32"/>
          <w:szCs w:val="32"/>
          <w:lang w:val="en-US" w:eastAsia="zh-CN"/>
        </w:rPr>
      </w:pPr>
    </w:p>
    <w:p>
      <w:pPr>
        <w:ind w:left="0" w:leftChars="0" w:firstLine="0" w:firstLineChars="0"/>
        <w:jc w:val="center"/>
        <w:rPr>
          <w:rFonts w:hint="eastAsia" w:ascii="黑体" w:hAnsi="黑体" w:eastAsia="黑体" w:cs="黑体"/>
          <w:b w:val="0"/>
          <w:bCs w:val="0"/>
          <w:sz w:val="32"/>
          <w:szCs w:val="32"/>
          <w:lang w:val="en-US" w:eastAsia="zh-CN"/>
        </w:rPr>
      </w:pPr>
    </w:p>
    <w:p>
      <w:pPr>
        <w:ind w:left="0" w:leftChars="0" w:firstLine="0" w:firstLineChars="0"/>
        <w:jc w:val="center"/>
        <w:rPr>
          <w:rFonts w:hint="default" w:ascii="黑体" w:hAnsi="黑体" w:eastAsia="黑体" w:cs="黑体"/>
          <w:b w:val="0"/>
          <w:bCs w:val="0"/>
          <w:sz w:val="32"/>
          <w:szCs w:val="32"/>
          <w:lang w:val="en-US" w:eastAsia="zh-CN"/>
        </w:rPr>
      </w:pPr>
      <w:r>
        <w:rPr>
          <w:rFonts w:hint="eastAsia" w:ascii="黑体" w:hAnsi="黑体" w:eastAsia="黑体" w:cs="黑体"/>
          <w:b w:val="0"/>
          <w:bCs w:val="0"/>
          <w:sz w:val="32"/>
          <w:szCs w:val="32"/>
          <w:lang w:val="en-US" w:eastAsia="zh-CN"/>
        </w:rPr>
        <w:t>海南省建设项目规划设计研究院</w:t>
      </w:r>
    </w:p>
    <w:p>
      <w:pPr>
        <w:ind w:left="0" w:leftChars="0" w:firstLine="0" w:firstLineChars="0"/>
        <w:jc w:val="center"/>
        <w:rPr>
          <w:rFonts w:hint="eastAsia" w:ascii="黑体" w:hAnsi="黑体" w:eastAsia="黑体" w:cs="黑体"/>
          <w:b w:val="0"/>
          <w:bCs w:val="0"/>
          <w:sz w:val="32"/>
          <w:szCs w:val="32"/>
          <w:lang w:val="en-US" w:eastAsia="zh-CN"/>
        </w:rPr>
      </w:pPr>
      <w:r>
        <w:rPr>
          <w:rFonts w:hint="eastAsia" w:ascii="黑体" w:hAnsi="黑体" w:eastAsia="黑体" w:cs="黑体"/>
          <w:b w:val="0"/>
          <w:bCs w:val="0"/>
          <w:sz w:val="32"/>
          <w:szCs w:val="32"/>
          <w:lang w:val="en-US" w:eastAsia="zh-CN"/>
        </w:rPr>
        <w:t>二〇二一年六月</w:t>
      </w:r>
      <w:r>
        <w:rPr>
          <w:rFonts w:hint="eastAsia" w:ascii="黑体" w:hAnsi="黑体" w:eastAsia="黑体" w:cs="黑体"/>
          <w:b w:val="0"/>
          <w:bCs w:val="0"/>
          <w:sz w:val="32"/>
          <w:szCs w:val="32"/>
          <w:lang w:val="en-US" w:eastAsia="zh-CN"/>
        </w:rPr>
        <w:br w:type="page"/>
      </w:r>
    </w:p>
    <w:p>
      <w:pPr>
        <w:ind w:left="0" w:leftChars="0" w:firstLine="0" w:firstLineChars="0"/>
        <w:jc w:val="center"/>
        <w:rPr>
          <w:rFonts w:hint="eastAsia" w:ascii="黑体" w:hAnsi="黑体" w:eastAsia="黑体" w:cs="黑体"/>
          <w:b w:val="0"/>
          <w:bCs w:val="0"/>
          <w:color w:val="auto"/>
          <w:sz w:val="32"/>
          <w:szCs w:val="32"/>
          <w:lang w:val="en-US" w:eastAsia="zh-CN"/>
        </w:rPr>
      </w:pPr>
      <w:r>
        <w:rPr>
          <w:rFonts w:hint="eastAsia" w:ascii="黑体" w:hAnsi="黑体" w:eastAsia="黑体" w:cs="黑体"/>
          <w:b w:val="0"/>
          <w:bCs w:val="0"/>
          <w:color w:val="auto"/>
          <w:sz w:val="32"/>
          <w:szCs w:val="32"/>
          <w:lang w:val="en-US" w:eastAsia="zh-CN"/>
        </w:rPr>
        <w:t>目  录</w:t>
      </w:r>
    </w:p>
    <w:p>
      <w:pPr>
        <w:pStyle w:val="13"/>
        <w:tabs>
          <w:tab w:val="right" w:leader="dot" w:pos="8306"/>
        </w:tabs>
        <w:ind w:left="0" w:leftChars="0" w:firstLine="0" w:firstLineChars="0"/>
        <w:rPr>
          <w:rFonts w:hint="eastAsia" w:ascii="黑体" w:hAnsi="黑体" w:eastAsia="黑体" w:cs="黑体"/>
          <w:b w:val="0"/>
          <w:bCs w:val="0"/>
          <w:sz w:val="24"/>
          <w:szCs w:val="21"/>
        </w:rPr>
      </w:pPr>
      <w:r>
        <w:rPr>
          <w:rFonts w:hint="eastAsia" w:ascii="楷体" w:hAnsi="楷体" w:eastAsia="楷体" w:cs="楷体"/>
          <w:bCs/>
          <w:color w:val="auto"/>
          <w:sz w:val="20"/>
          <w:szCs w:val="20"/>
          <w:lang w:val="en-US" w:eastAsia="zh-CN"/>
        </w:rPr>
        <w:fldChar w:fldCharType="begin"/>
      </w:r>
      <w:r>
        <w:rPr>
          <w:rFonts w:hint="eastAsia" w:ascii="楷体" w:hAnsi="楷体" w:eastAsia="楷体" w:cs="楷体"/>
          <w:bCs/>
          <w:color w:val="auto"/>
          <w:sz w:val="20"/>
          <w:szCs w:val="20"/>
          <w:lang w:val="en-US" w:eastAsia="zh-CN"/>
        </w:rPr>
        <w:instrText xml:space="preserve">TOC \o "1-4" \h \u </w:instrText>
      </w:r>
      <w:r>
        <w:rPr>
          <w:rFonts w:hint="eastAsia" w:ascii="楷体" w:hAnsi="楷体" w:eastAsia="楷体" w:cs="楷体"/>
          <w:bCs/>
          <w:color w:val="auto"/>
          <w:sz w:val="20"/>
          <w:szCs w:val="20"/>
          <w:lang w:val="en-US" w:eastAsia="zh-CN"/>
        </w:rPr>
        <w:fldChar w:fldCharType="separate"/>
      </w:r>
      <w:r>
        <w:rPr>
          <w:rFonts w:hint="eastAsia" w:ascii="黑体" w:hAnsi="黑体" w:eastAsia="黑体" w:cs="黑体"/>
          <w:b w:val="0"/>
          <w:bCs w:val="0"/>
          <w:color w:val="auto"/>
          <w:sz w:val="24"/>
          <w:szCs w:val="21"/>
          <w:lang w:val="en-US" w:eastAsia="zh-CN"/>
        </w:rPr>
        <w:fldChar w:fldCharType="begin"/>
      </w:r>
      <w:r>
        <w:rPr>
          <w:rFonts w:hint="eastAsia" w:ascii="黑体" w:hAnsi="黑体" w:eastAsia="黑体" w:cs="黑体"/>
          <w:b w:val="0"/>
          <w:bCs w:val="0"/>
          <w:sz w:val="24"/>
          <w:szCs w:val="21"/>
          <w:lang w:val="en-US" w:eastAsia="zh-CN"/>
        </w:rPr>
        <w:instrText xml:space="preserve"> HYPERLINK \l _Toc6740 </w:instrText>
      </w:r>
      <w:r>
        <w:rPr>
          <w:rFonts w:hint="eastAsia" w:ascii="黑体" w:hAnsi="黑体" w:eastAsia="黑体" w:cs="黑体"/>
          <w:b w:val="0"/>
          <w:bCs w:val="0"/>
          <w:sz w:val="24"/>
          <w:szCs w:val="21"/>
          <w:lang w:val="en-US" w:eastAsia="zh-CN"/>
        </w:rPr>
        <w:fldChar w:fldCharType="separate"/>
      </w:r>
      <w:r>
        <w:rPr>
          <w:rFonts w:hint="eastAsia" w:ascii="黑体" w:hAnsi="黑体" w:eastAsia="黑体" w:cs="黑体"/>
          <w:b w:val="0"/>
          <w:bCs w:val="0"/>
          <w:sz w:val="24"/>
          <w:szCs w:val="21"/>
          <w:lang w:val="en-US" w:eastAsia="zh-CN"/>
        </w:rPr>
        <w:t>第一章  导言</w:t>
      </w:r>
      <w:r>
        <w:rPr>
          <w:rFonts w:hint="eastAsia" w:ascii="黑体" w:hAnsi="黑体" w:eastAsia="黑体" w:cs="黑体"/>
          <w:b w:val="0"/>
          <w:bCs w:val="0"/>
          <w:sz w:val="24"/>
          <w:szCs w:val="21"/>
        </w:rPr>
        <w:tab/>
      </w:r>
      <w:r>
        <w:rPr>
          <w:rFonts w:hint="eastAsia" w:ascii="黑体" w:hAnsi="黑体" w:eastAsia="黑体" w:cs="黑体"/>
          <w:b w:val="0"/>
          <w:bCs w:val="0"/>
          <w:sz w:val="24"/>
          <w:szCs w:val="21"/>
        </w:rPr>
        <w:fldChar w:fldCharType="begin"/>
      </w:r>
      <w:r>
        <w:rPr>
          <w:rFonts w:hint="eastAsia" w:ascii="黑体" w:hAnsi="黑体" w:eastAsia="黑体" w:cs="黑体"/>
          <w:b w:val="0"/>
          <w:bCs w:val="0"/>
          <w:sz w:val="24"/>
          <w:szCs w:val="21"/>
        </w:rPr>
        <w:instrText xml:space="preserve"> PAGEREF _Toc6740 \h </w:instrText>
      </w:r>
      <w:r>
        <w:rPr>
          <w:rFonts w:hint="eastAsia" w:ascii="黑体" w:hAnsi="黑体" w:eastAsia="黑体" w:cs="黑体"/>
          <w:b w:val="0"/>
          <w:bCs w:val="0"/>
          <w:sz w:val="24"/>
          <w:szCs w:val="21"/>
        </w:rPr>
        <w:fldChar w:fldCharType="separate"/>
      </w:r>
      <w:r>
        <w:rPr>
          <w:rFonts w:hint="eastAsia" w:ascii="黑体" w:hAnsi="黑体" w:eastAsia="黑体" w:cs="黑体"/>
          <w:b w:val="0"/>
          <w:bCs w:val="0"/>
          <w:sz w:val="24"/>
          <w:szCs w:val="21"/>
        </w:rPr>
        <w:t>1</w:t>
      </w:r>
      <w:r>
        <w:rPr>
          <w:rFonts w:hint="eastAsia" w:ascii="黑体" w:hAnsi="黑体" w:eastAsia="黑体" w:cs="黑体"/>
          <w:b w:val="0"/>
          <w:bCs w:val="0"/>
          <w:sz w:val="24"/>
          <w:szCs w:val="21"/>
        </w:rPr>
        <w:fldChar w:fldCharType="end"/>
      </w:r>
      <w:r>
        <w:rPr>
          <w:rFonts w:hint="eastAsia" w:ascii="黑体" w:hAnsi="黑体" w:eastAsia="黑体" w:cs="黑体"/>
          <w:b w:val="0"/>
          <w:bCs w:val="0"/>
          <w:color w:val="auto"/>
          <w:sz w:val="24"/>
          <w:szCs w:val="21"/>
          <w:lang w:val="en-US" w:eastAsia="zh-CN"/>
        </w:rPr>
        <w:fldChar w:fldCharType="end"/>
      </w:r>
    </w:p>
    <w:p>
      <w:pPr>
        <w:pStyle w:val="16"/>
        <w:tabs>
          <w:tab w:val="right" w:leader="dot" w:pos="8306"/>
        </w:tabs>
        <w:ind w:left="0" w:leftChars="0" w:firstLine="883" w:firstLineChars="400"/>
        <w:rPr>
          <w:rFonts w:hint="eastAsia" w:ascii="楷体" w:hAnsi="楷体" w:eastAsia="楷体" w:cs="楷体"/>
          <w:b/>
          <w:bCs/>
          <w:sz w:val="22"/>
          <w:szCs w:val="20"/>
        </w:rPr>
      </w:pP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sz w:val="22"/>
          <w:szCs w:val="20"/>
          <w:lang w:val="en-US" w:eastAsia="zh-CN"/>
        </w:rPr>
        <w:instrText xml:space="preserve"> HYPERLINK \l _Toc4298 </w:instrText>
      </w:r>
      <w:r>
        <w:rPr>
          <w:rFonts w:hint="eastAsia" w:ascii="楷体" w:hAnsi="楷体" w:eastAsia="楷体" w:cs="楷体"/>
          <w:b/>
          <w:bCs/>
          <w:sz w:val="22"/>
          <w:szCs w:val="20"/>
          <w:lang w:val="en-US" w:eastAsia="zh-CN"/>
        </w:rPr>
        <w:fldChar w:fldCharType="separate"/>
      </w:r>
      <w:r>
        <w:rPr>
          <w:rFonts w:hint="eastAsia" w:ascii="楷体" w:hAnsi="楷体" w:eastAsia="楷体" w:cs="楷体"/>
          <w:b/>
          <w:bCs/>
          <w:sz w:val="22"/>
          <w:szCs w:val="20"/>
          <w:lang w:val="en-US" w:eastAsia="zh-CN"/>
        </w:rPr>
        <w:t>第一节  基本概况</w:t>
      </w:r>
      <w:r>
        <w:rPr>
          <w:rFonts w:hint="eastAsia" w:ascii="楷体" w:hAnsi="楷体" w:eastAsia="楷体" w:cs="楷体"/>
          <w:b/>
          <w:bCs/>
          <w:sz w:val="22"/>
          <w:szCs w:val="20"/>
        </w:rPr>
        <w:tab/>
      </w:r>
      <w:r>
        <w:rPr>
          <w:rFonts w:hint="eastAsia" w:ascii="楷体" w:hAnsi="楷体" w:eastAsia="楷体" w:cs="楷体"/>
          <w:b/>
          <w:bCs/>
          <w:sz w:val="22"/>
          <w:szCs w:val="20"/>
        </w:rPr>
        <w:fldChar w:fldCharType="begin"/>
      </w:r>
      <w:r>
        <w:rPr>
          <w:rFonts w:hint="eastAsia" w:ascii="楷体" w:hAnsi="楷体" w:eastAsia="楷体" w:cs="楷体"/>
          <w:b/>
          <w:bCs/>
          <w:sz w:val="22"/>
          <w:szCs w:val="20"/>
        </w:rPr>
        <w:instrText xml:space="preserve"> PAGEREF _Toc4298 \h </w:instrText>
      </w:r>
      <w:r>
        <w:rPr>
          <w:rFonts w:hint="eastAsia" w:ascii="楷体" w:hAnsi="楷体" w:eastAsia="楷体" w:cs="楷体"/>
          <w:b/>
          <w:bCs/>
          <w:sz w:val="22"/>
          <w:szCs w:val="20"/>
        </w:rPr>
        <w:fldChar w:fldCharType="separate"/>
      </w:r>
      <w:r>
        <w:rPr>
          <w:rFonts w:hint="eastAsia" w:ascii="楷体" w:hAnsi="楷体" w:eastAsia="楷体" w:cs="楷体"/>
          <w:b/>
          <w:bCs/>
          <w:sz w:val="22"/>
          <w:szCs w:val="20"/>
        </w:rPr>
        <w:t>2</w:t>
      </w:r>
      <w:r>
        <w:rPr>
          <w:rFonts w:hint="eastAsia" w:ascii="楷体" w:hAnsi="楷体" w:eastAsia="楷体" w:cs="楷体"/>
          <w:b/>
          <w:bCs/>
          <w:sz w:val="22"/>
          <w:szCs w:val="20"/>
        </w:rPr>
        <w:fldChar w:fldCharType="end"/>
      </w:r>
      <w:r>
        <w:rPr>
          <w:rFonts w:hint="eastAsia" w:ascii="楷体" w:hAnsi="楷体" w:eastAsia="楷体" w:cs="楷体"/>
          <w:b/>
          <w:bCs/>
          <w:color w:val="auto"/>
          <w:sz w:val="22"/>
          <w:szCs w:val="20"/>
          <w:lang w:val="en-US" w:eastAsia="zh-CN"/>
        </w:rPr>
        <w:fldChar w:fldCharType="end"/>
      </w:r>
    </w:p>
    <w:p>
      <w:pPr>
        <w:pStyle w:val="10"/>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_Toc21188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一、背景</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_Toc21188 \h </w:instrText>
      </w:r>
      <w:r>
        <w:rPr>
          <w:rFonts w:hint="eastAsia" w:ascii="楷体" w:hAnsi="楷体" w:eastAsia="楷体" w:cs="楷体"/>
          <w:sz w:val="22"/>
          <w:szCs w:val="20"/>
        </w:rPr>
        <w:fldChar w:fldCharType="separate"/>
      </w:r>
      <w:r>
        <w:rPr>
          <w:rFonts w:hint="eastAsia" w:ascii="楷体" w:hAnsi="楷体" w:eastAsia="楷体" w:cs="楷体"/>
          <w:sz w:val="22"/>
          <w:szCs w:val="20"/>
        </w:rPr>
        <w:t>2</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0"/>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_Toc12599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二、规划范围</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_Toc12599 \h </w:instrText>
      </w:r>
      <w:r>
        <w:rPr>
          <w:rFonts w:hint="eastAsia" w:ascii="楷体" w:hAnsi="楷体" w:eastAsia="楷体" w:cs="楷体"/>
          <w:sz w:val="22"/>
          <w:szCs w:val="20"/>
        </w:rPr>
        <w:fldChar w:fldCharType="separate"/>
      </w:r>
      <w:r>
        <w:rPr>
          <w:rFonts w:hint="eastAsia" w:ascii="楷体" w:hAnsi="楷体" w:eastAsia="楷体" w:cs="楷体"/>
          <w:sz w:val="22"/>
          <w:szCs w:val="20"/>
        </w:rPr>
        <w:t>3</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0"/>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_Toc11115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三、规划期限</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_Toc11115 \h </w:instrText>
      </w:r>
      <w:r>
        <w:rPr>
          <w:rFonts w:hint="eastAsia" w:ascii="楷体" w:hAnsi="楷体" w:eastAsia="楷体" w:cs="楷体"/>
          <w:sz w:val="22"/>
          <w:szCs w:val="20"/>
        </w:rPr>
        <w:fldChar w:fldCharType="separate"/>
      </w:r>
      <w:r>
        <w:rPr>
          <w:rFonts w:hint="eastAsia" w:ascii="楷体" w:hAnsi="楷体" w:eastAsia="楷体" w:cs="楷体"/>
          <w:sz w:val="22"/>
          <w:szCs w:val="20"/>
        </w:rPr>
        <w:t>4</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6"/>
        <w:tabs>
          <w:tab w:val="right" w:leader="dot" w:pos="8306"/>
        </w:tabs>
        <w:ind w:left="0" w:leftChars="0" w:firstLine="883" w:firstLineChars="400"/>
        <w:rPr>
          <w:rFonts w:hint="eastAsia" w:ascii="楷体" w:hAnsi="楷体" w:eastAsia="楷体" w:cs="楷体"/>
          <w:b/>
          <w:bCs/>
          <w:color w:val="auto"/>
          <w:sz w:val="22"/>
          <w:szCs w:val="20"/>
          <w:lang w:val="en-US" w:eastAsia="zh-CN"/>
        </w:rPr>
      </w:pP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HYPERLINK \l _Toc13336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第二节  崖州战略机遇解读</w:t>
      </w:r>
      <w:r>
        <w:rPr>
          <w:rFonts w:hint="eastAsia" w:ascii="楷体" w:hAnsi="楷体" w:eastAsia="楷体" w:cs="楷体"/>
          <w:b/>
          <w:bCs/>
          <w:color w:val="auto"/>
          <w:sz w:val="22"/>
          <w:szCs w:val="20"/>
          <w:lang w:val="en-US" w:eastAsia="zh-CN"/>
        </w:rPr>
        <w:tab/>
      </w: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PAGEREF _Toc13336 \h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4</w:t>
      </w:r>
      <w:r>
        <w:rPr>
          <w:rFonts w:hint="eastAsia" w:ascii="楷体" w:hAnsi="楷体" w:eastAsia="楷体" w:cs="楷体"/>
          <w:b/>
          <w:bCs/>
          <w:color w:val="auto"/>
          <w:sz w:val="22"/>
          <w:szCs w:val="20"/>
          <w:lang w:val="en-US" w:eastAsia="zh-CN"/>
        </w:rPr>
        <w:fldChar w:fldCharType="end"/>
      </w:r>
      <w:r>
        <w:rPr>
          <w:rFonts w:hint="eastAsia" w:ascii="楷体" w:hAnsi="楷体" w:eastAsia="楷体" w:cs="楷体"/>
          <w:b/>
          <w:bCs/>
          <w:color w:val="auto"/>
          <w:sz w:val="22"/>
          <w:szCs w:val="20"/>
          <w:lang w:val="en-US" w:eastAsia="zh-CN"/>
        </w:rPr>
        <w:fldChar w:fldCharType="end"/>
      </w:r>
    </w:p>
    <w:p>
      <w:pPr>
        <w:pStyle w:val="10"/>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_Toc19560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一、 中央决定建设海南自由贸易港，赋予崖州产业发展新机遇</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_Toc19560 \h </w:instrText>
      </w:r>
      <w:r>
        <w:rPr>
          <w:rFonts w:hint="eastAsia" w:ascii="楷体" w:hAnsi="楷体" w:eastAsia="楷体" w:cs="楷体"/>
          <w:sz w:val="22"/>
          <w:szCs w:val="20"/>
        </w:rPr>
        <w:fldChar w:fldCharType="separate"/>
      </w:r>
      <w:r>
        <w:rPr>
          <w:rFonts w:hint="eastAsia" w:ascii="楷体" w:hAnsi="楷体" w:eastAsia="楷体" w:cs="楷体"/>
          <w:sz w:val="22"/>
          <w:szCs w:val="20"/>
        </w:rPr>
        <w:t>4</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0"/>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_Toc25571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二、 国家进一步加快建设海洋强国，赋予崖州服务南海新使命</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_Toc25571 \h </w:instrText>
      </w:r>
      <w:r>
        <w:rPr>
          <w:rFonts w:hint="eastAsia" w:ascii="楷体" w:hAnsi="楷体" w:eastAsia="楷体" w:cs="楷体"/>
          <w:sz w:val="22"/>
          <w:szCs w:val="20"/>
        </w:rPr>
        <w:fldChar w:fldCharType="separate"/>
      </w:r>
      <w:r>
        <w:rPr>
          <w:rFonts w:hint="eastAsia" w:ascii="楷体" w:hAnsi="楷体" w:eastAsia="楷体" w:cs="楷体"/>
          <w:sz w:val="22"/>
          <w:szCs w:val="20"/>
        </w:rPr>
        <w:t>5</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0"/>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_Toc21986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三、 国家布局南繁深海等重大战略，赋予崖州产城融合新任务</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_Toc21986 \h </w:instrText>
      </w:r>
      <w:r>
        <w:rPr>
          <w:rFonts w:hint="eastAsia" w:ascii="楷体" w:hAnsi="楷体" w:eastAsia="楷体" w:cs="楷体"/>
          <w:sz w:val="22"/>
          <w:szCs w:val="20"/>
        </w:rPr>
        <w:fldChar w:fldCharType="separate"/>
      </w:r>
      <w:r>
        <w:rPr>
          <w:rFonts w:hint="eastAsia" w:ascii="楷体" w:hAnsi="楷体" w:eastAsia="楷体" w:cs="楷体"/>
          <w:sz w:val="22"/>
          <w:szCs w:val="20"/>
        </w:rPr>
        <w:t>6</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0"/>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_Toc2437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四、 南繁技术的溢出效应加速释放，赋予崖州热带农业新动力</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_Toc2437 \h </w:instrText>
      </w:r>
      <w:r>
        <w:rPr>
          <w:rFonts w:hint="eastAsia" w:ascii="楷体" w:hAnsi="楷体" w:eastAsia="楷体" w:cs="楷体"/>
          <w:sz w:val="22"/>
          <w:szCs w:val="20"/>
        </w:rPr>
        <w:fldChar w:fldCharType="separate"/>
      </w:r>
      <w:r>
        <w:rPr>
          <w:rFonts w:hint="eastAsia" w:ascii="楷体" w:hAnsi="楷体" w:eastAsia="楷体" w:cs="楷体"/>
          <w:sz w:val="22"/>
          <w:szCs w:val="20"/>
        </w:rPr>
        <w:t>6</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0"/>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_Toc30955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五、 迎接后疫情时代体验消费趋势，赋予崖州旅游产业新空间</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_Toc30955 \h </w:instrText>
      </w:r>
      <w:r>
        <w:rPr>
          <w:rFonts w:hint="eastAsia" w:ascii="楷体" w:hAnsi="楷体" w:eastAsia="楷体" w:cs="楷体"/>
          <w:sz w:val="22"/>
          <w:szCs w:val="20"/>
        </w:rPr>
        <w:fldChar w:fldCharType="separate"/>
      </w:r>
      <w:r>
        <w:rPr>
          <w:rFonts w:hint="eastAsia" w:ascii="楷体" w:hAnsi="楷体" w:eastAsia="楷体" w:cs="楷体"/>
          <w:sz w:val="22"/>
          <w:szCs w:val="20"/>
        </w:rPr>
        <w:t>7</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0"/>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_Toc22073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六、 海南推进大三亚经济圈一体化，赋予崖州西翼支点新功能</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_Toc22073 \h </w:instrText>
      </w:r>
      <w:r>
        <w:rPr>
          <w:rFonts w:hint="eastAsia" w:ascii="楷体" w:hAnsi="楷体" w:eastAsia="楷体" w:cs="楷体"/>
          <w:sz w:val="22"/>
          <w:szCs w:val="20"/>
        </w:rPr>
        <w:fldChar w:fldCharType="separate"/>
      </w:r>
      <w:r>
        <w:rPr>
          <w:rFonts w:hint="eastAsia" w:ascii="楷体" w:hAnsi="楷体" w:eastAsia="楷体" w:cs="楷体"/>
          <w:sz w:val="22"/>
          <w:szCs w:val="20"/>
        </w:rPr>
        <w:t>7</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6"/>
        <w:tabs>
          <w:tab w:val="right" w:leader="dot" w:pos="8306"/>
        </w:tabs>
        <w:ind w:left="0" w:leftChars="0" w:firstLine="883" w:firstLineChars="400"/>
        <w:rPr>
          <w:rFonts w:hint="eastAsia" w:ascii="楷体" w:hAnsi="楷体" w:eastAsia="楷体" w:cs="楷体"/>
          <w:b/>
          <w:bCs/>
          <w:color w:val="auto"/>
          <w:sz w:val="22"/>
          <w:szCs w:val="20"/>
          <w:lang w:val="en-US" w:eastAsia="zh-CN"/>
        </w:rPr>
      </w:pP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HYPERLINK \l _Toc7294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第三节  崖州发展基础解读</w:t>
      </w:r>
      <w:r>
        <w:rPr>
          <w:rFonts w:hint="eastAsia" w:ascii="楷体" w:hAnsi="楷体" w:eastAsia="楷体" w:cs="楷体"/>
          <w:b/>
          <w:bCs/>
          <w:color w:val="auto"/>
          <w:sz w:val="22"/>
          <w:szCs w:val="20"/>
          <w:lang w:val="en-US" w:eastAsia="zh-CN"/>
        </w:rPr>
        <w:tab/>
      </w: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PAGEREF _Toc7294 \h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8</w:t>
      </w:r>
      <w:r>
        <w:rPr>
          <w:rFonts w:hint="eastAsia" w:ascii="楷体" w:hAnsi="楷体" w:eastAsia="楷体" w:cs="楷体"/>
          <w:b/>
          <w:bCs/>
          <w:color w:val="auto"/>
          <w:sz w:val="22"/>
          <w:szCs w:val="20"/>
          <w:lang w:val="en-US" w:eastAsia="zh-CN"/>
        </w:rPr>
        <w:fldChar w:fldCharType="end"/>
      </w:r>
      <w:r>
        <w:rPr>
          <w:rFonts w:hint="eastAsia" w:ascii="楷体" w:hAnsi="楷体" w:eastAsia="楷体" w:cs="楷体"/>
          <w:b/>
          <w:bCs/>
          <w:color w:val="auto"/>
          <w:sz w:val="22"/>
          <w:szCs w:val="20"/>
          <w:lang w:val="en-US" w:eastAsia="zh-CN"/>
        </w:rPr>
        <w:fldChar w:fldCharType="end"/>
      </w:r>
    </w:p>
    <w:p>
      <w:pPr>
        <w:pStyle w:val="10"/>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_Toc19731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一、 悠久的城郡、年轻的辖区，战略意义更重要</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_Toc19731 \h </w:instrText>
      </w:r>
      <w:r>
        <w:rPr>
          <w:rFonts w:hint="eastAsia" w:ascii="楷体" w:hAnsi="楷体" w:eastAsia="楷体" w:cs="楷体"/>
          <w:sz w:val="22"/>
          <w:szCs w:val="20"/>
        </w:rPr>
        <w:fldChar w:fldCharType="separate"/>
      </w:r>
      <w:r>
        <w:rPr>
          <w:rFonts w:hint="eastAsia" w:ascii="楷体" w:hAnsi="楷体" w:eastAsia="楷体" w:cs="楷体"/>
          <w:sz w:val="22"/>
          <w:szCs w:val="20"/>
        </w:rPr>
        <w:t>8</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0"/>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_Toc5977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二、 经济体量较小，经济发展处在起步阶段</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_Toc5977 \h </w:instrText>
      </w:r>
      <w:r>
        <w:rPr>
          <w:rFonts w:hint="eastAsia" w:ascii="楷体" w:hAnsi="楷体" w:eastAsia="楷体" w:cs="楷体"/>
          <w:sz w:val="22"/>
          <w:szCs w:val="20"/>
        </w:rPr>
        <w:fldChar w:fldCharType="separate"/>
      </w:r>
      <w:r>
        <w:rPr>
          <w:rFonts w:hint="eastAsia" w:ascii="楷体" w:hAnsi="楷体" w:eastAsia="楷体" w:cs="楷体"/>
          <w:sz w:val="22"/>
          <w:szCs w:val="20"/>
        </w:rPr>
        <w:t>9</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0"/>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_Toc12775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三、 GDP约占三亚全市的十分之一</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_Toc12775 \h </w:instrText>
      </w:r>
      <w:r>
        <w:rPr>
          <w:rFonts w:hint="eastAsia" w:ascii="楷体" w:hAnsi="楷体" w:eastAsia="楷体" w:cs="楷体"/>
          <w:sz w:val="22"/>
          <w:szCs w:val="20"/>
        </w:rPr>
        <w:fldChar w:fldCharType="separate"/>
      </w:r>
      <w:r>
        <w:rPr>
          <w:rFonts w:hint="eastAsia" w:ascii="楷体" w:hAnsi="楷体" w:eastAsia="楷体" w:cs="楷体"/>
          <w:sz w:val="22"/>
          <w:szCs w:val="20"/>
        </w:rPr>
        <w:t>11</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0"/>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_Toc3527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四、 服务业超过农业成为产业“一哥”，但产业间发展不协调</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_Toc3527 \h </w:instrText>
      </w:r>
      <w:r>
        <w:rPr>
          <w:rFonts w:hint="eastAsia" w:ascii="楷体" w:hAnsi="楷体" w:eastAsia="楷体" w:cs="楷体"/>
          <w:sz w:val="22"/>
          <w:szCs w:val="20"/>
        </w:rPr>
        <w:fldChar w:fldCharType="separate"/>
      </w:r>
      <w:r>
        <w:rPr>
          <w:rFonts w:hint="eastAsia" w:ascii="楷体" w:hAnsi="楷体" w:eastAsia="楷体" w:cs="楷体"/>
          <w:sz w:val="22"/>
          <w:szCs w:val="20"/>
        </w:rPr>
        <w:t>11</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0"/>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_Toc28796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五、 产业发展呈现“一小三慢”特征，爬坡过坎任务重挑战大</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_Toc28796 \h </w:instrText>
      </w:r>
      <w:r>
        <w:rPr>
          <w:rFonts w:hint="eastAsia" w:ascii="楷体" w:hAnsi="楷体" w:eastAsia="楷体" w:cs="楷体"/>
          <w:sz w:val="22"/>
          <w:szCs w:val="20"/>
        </w:rPr>
        <w:fldChar w:fldCharType="separate"/>
      </w:r>
      <w:r>
        <w:rPr>
          <w:rFonts w:hint="eastAsia" w:ascii="楷体" w:hAnsi="楷体" w:eastAsia="楷体" w:cs="楷体"/>
          <w:sz w:val="22"/>
          <w:szCs w:val="20"/>
        </w:rPr>
        <w:t>12</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0"/>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_Toc14994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六、 纵观历史当代，崖州发展找了到“南”，就不难了</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_Toc14994 \h </w:instrText>
      </w:r>
      <w:r>
        <w:rPr>
          <w:rFonts w:hint="eastAsia" w:ascii="楷体" w:hAnsi="楷体" w:eastAsia="楷体" w:cs="楷体"/>
          <w:sz w:val="22"/>
          <w:szCs w:val="20"/>
        </w:rPr>
        <w:fldChar w:fldCharType="separate"/>
      </w:r>
      <w:r>
        <w:rPr>
          <w:rFonts w:hint="eastAsia" w:ascii="楷体" w:hAnsi="楷体" w:eastAsia="楷体" w:cs="楷体"/>
          <w:sz w:val="22"/>
          <w:szCs w:val="20"/>
        </w:rPr>
        <w:t>13</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3"/>
        <w:tabs>
          <w:tab w:val="right" w:leader="dot" w:pos="8306"/>
        </w:tabs>
        <w:ind w:left="0" w:leftChars="0" w:firstLine="0" w:firstLineChars="0"/>
        <w:rPr>
          <w:rFonts w:hint="eastAsia" w:ascii="黑体" w:hAnsi="黑体" w:eastAsia="黑体" w:cs="黑体"/>
          <w:b w:val="0"/>
          <w:bCs w:val="0"/>
          <w:color w:val="auto"/>
          <w:sz w:val="24"/>
          <w:szCs w:val="21"/>
          <w:lang w:val="en-US" w:eastAsia="zh-CN"/>
        </w:rPr>
      </w:pPr>
      <w:r>
        <w:rPr>
          <w:rFonts w:hint="eastAsia" w:ascii="黑体" w:hAnsi="黑体" w:eastAsia="黑体" w:cs="黑体"/>
          <w:b w:val="0"/>
          <w:bCs w:val="0"/>
          <w:color w:val="auto"/>
          <w:sz w:val="24"/>
          <w:szCs w:val="21"/>
          <w:lang w:val="en-US" w:eastAsia="zh-CN"/>
        </w:rPr>
        <w:fldChar w:fldCharType="begin"/>
      </w:r>
      <w:r>
        <w:rPr>
          <w:rFonts w:hint="eastAsia" w:ascii="黑体" w:hAnsi="黑体" w:eastAsia="黑体" w:cs="黑体"/>
          <w:b w:val="0"/>
          <w:bCs w:val="0"/>
          <w:color w:val="auto"/>
          <w:sz w:val="24"/>
          <w:szCs w:val="21"/>
          <w:lang w:val="en-US" w:eastAsia="zh-CN"/>
        </w:rPr>
        <w:instrText xml:space="preserve"> HYPERLINK \l _Toc17951 </w:instrText>
      </w:r>
      <w:r>
        <w:rPr>
          <w:rFonts w:hint="eastAsia" w:ascii="黑体" w:hAnsi="黑体" w:eastAsia="黑体" w:cs="黑体"/>
          <w:b w:val="0"/>
          <w:bCs w:val="0"/>
          <w:color w:val="auto"/>
          <w:sz w:val="24"/>
          <w:szCs w:val="21"/>
          <w:lang w:val="en-US" w:eastAsia="zh-CN"/>
        </w:rPr>
        <w:fldChar w:fldCharType="separate"/>
      </w:r>
      <w:r>
        <w:rPr>
          <w:rFonts w:hint="eastAsia" w:ascii="黑体" w:hAnsi="黑体" w:eastAsia="黑体" w:cs="黑体"/>
          <w:b w:val="0"/>
          <w:bCs w:val="0"/>
          <w:color w:val="auto"/>
          <w:sz w:val="24"/>
          <w:szCs w:val="21"/>
          <w:lang w:val="en-US" w:eastAsia="zh-CN"/>
        </w:rPr>
        <w:t>第二章  发展战略</w:t>
      </w:r>
      <w:r>
        <w:rPr>
          <w:rFonts w:hint="eastAsia" w:ascii="黑体" w:hAnsi="黑体" w:eastAsia="黑体" w:cs="黑体"/>
          <w:b w:val="0"/>
          <w:bCs w:val="0"/>
          <w:color w:val="auto"/>
          <w:sz w:val="24"/>
          <w:szCs w:val="21"/>
          <w:lang w:val="en-US" w:eastAsia="zh-CN"/>
        </w:rPr>
        <w:tab/>
      </w:r>
      <w:r>
        <w:rPr>
          <w:rFonts w:hint="eastAsia" w:ascii="黑体" w:hAnsi="黑体" w:eastAsia="黑体" w:cs="黑体"/>
          <w:b w:val="0"/>
          <w:bCs w:val="0"/>
          <w:color w:val="auto"/>
          <w:sz w:val="24"/>
          <w:szCs w:val="21"/>
          <w:lang w:val="en-US" w:eastAsia="zh-CN"/>
        </w:rPr>
        <w:fldChar w:fldCharType="begin"/>
      </w:r>
      <w:r>
        <w:rPr>
          <w:rFonts w:hint="eastAsia" w:ascii="黑体" w:hAnsi="黑体" w:eastAsia="黑体" w:cs="黑体"/>
          <w:b w:val="0"/>
          <w:bCs w:val="0"/>
          <w:color w:val="auto"/>
          <w:sz w:val="24"/>
          <w:szCs w:val="21"/>
          <w:lang w:val="en-US" w:eastAsia="zh-CN"/>
        </w:rPr>
        <w:instrText xml:space="preserve"> PAGEREF _Toc17951 \h </w:instrText>
      </w:r>
      <w:r>
        <w:rPr>
          <w:rFonts w:hint="eastAsia" w:ascii="黑体" w:hAnsi="黑体" w:eastAsia="黑体" w:cs="黑体"/>
          <w:b w:val="0"/>
          <w:bCs w:val="0"/>
          <w:color w:val="auto"/>
          <w:sz w:val="24"/>
          <w:szCs w:val="21"/>
          <w:lang w:val="en-US" w:eastAsia="zh-CN"/>
        </w:rPr>
        <w:fldChar w:fldCharType="separate"/>
      </w:r>
      <w:r>
        <w:rPr>
          <w:rFonts w:hint="eastAsia" w:ascii="黑体" w:hAnsi="黑体" w:eastAsia="黑体" w:cs="黑体"/>
          <w:b w:val="0"/>
          <w:bCs w:val="0"/>
          <w:color w:val="auto"/>
          <w:sz w:val="24"/>
          <w:szCs w:val="21"/>
          <w:lang w:val="en-US" w:eastAsia="zh-CN"/>
        </w:rPr>
        <w:t>15</w:t>
      </w:r>
      <w:r>
        <w:rPr>
          <w:rFonts w:hint="eastAsia" w:ascii="黑体" w:hAnsi="黑体" w:eastAsia="黑体" w:cs="黑体"/>
          <w:b w:val="0"/>
          <w:bCs w:val="0"/>
          <w:color w:val="auto"/>
          <w:sz w:val="24"/>
          <w:szCs w:val="21"/>
          <w:lang w:val="en-US" w:eastAsia="zh-CN"/>
        </w:rPr>
        <w:fldChar w:fldCharType="end"/>
      </w:r>
      <w:r>
        <w:rPr>
          <w:rFonts w:hint="eastAsia" w:ascii="黑体" w:hAnsi="黑体" w:eastAsia="黑体" w:cs="黑体"/>
          <w:b w:val="0"/>
          <w:bCs w:val="0"/>
          <w:color w:val="auto"/>
          <w:sz w:val="24"/>
          <w:szCs w:val="21"/>
          <w:lang w:val="en-US" w:eastAsia="zh-CN"/>
        </w:rPr>
        <w:fldChar w:fldCharType="end"/>
      </w:r>
    </w:p>
    <w:p>
      <w:pPr>
        <w:pStyle w:val="16"/>
        <w:tabs>
          <w:tab w:val="right" w:leader="dot" w:pos="8306"/>
        </w:tabs>
        <w:ind w:left="0" w:leftChars="0" w:firstLine="883" w:firstLineChars="400"/>
        <w:rPr>
          <w:rFonts w:hint="eastAsia" w:ascii="楷体" w:hAnsi="楷体" w:eastAsia="楷体" w:cs="楷体"/>
          <w:b/>
          <w:bCs/>
          <w:color w:val="auto"/>
          <w:sz w:val="22"/>
          <w:szCs w:val="20"/>
          <w:lang w:val="en-US" w:eastAsia="zh-CN"/>
        </w:rPr>
      </w:pP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HYPERLINK \l _Toc25786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第一节  发展战略</w:t>
      </w:r>
      <w:r>
        <w:rPr>
          <w:rFonts w:hint="eastAsia" w:ascii="楷体" w:hAnsi="楷体" w:eastAsia="楷体" w:cs="楷体"/>
          <w:b/>
          <w:bCs/>
          <w:color w:val="auto"/>
          <w:sz w:val="22"/>
          <w:szCs w:val="20"/>
          <w:lang w:val="en-US" w:eastAsia="zh-CN"/>
        </w:rPr>
        <w:tab/>
      </w: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PAGEREF _Toc25786 \h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16</w:t>
      </w:r>
      <w:r>
        <w:rPr>
          <w:rFonts w:hint="eastAsia" w:ascii="楷体" w:hAnsi="楷体" w:eastAsia="楷体" w:cs="楷体"/>
          <w:b/>
          <w:bCs/>
          <w:color w:val="auto"/>
          <w:sz w:val="22"/>
          <w:szCs w:val="20"/>
          <w:lang w:val="en-US" w:eastAsia="zh-CN"/>
        </w:rPr>
        <w:fldChar w:fldCharType="end"/>
      </w:r>
      <w:r>
        <w:rPr>
          <w:rFonts w:hint="eastAsia" w:ascii="楷体" w:hAnsi="楷体" w:eastAsia="楷体" w:cs="楷体"/>
          <w:b/>
          <w:bCs/>
          <w:color w:val="auto"/>
          <w:sz w:val="22"/>
          <w:szCs w:val="20"/>
          <w:lang w:val="en-US" w:eastAsia="zh-CN"/>
        </w:rPr>
        <w:fldChar w:fldCharType="end"/>
      </w:r>
    </w:p>
    <w:p>
      <w:pPr>
        <w:pStyle w:val="10"/>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_Toc2329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一、总体思路</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_Toc2329 \h </w:instrText>
      </w:r>
      <w:r>
        <w:rPr>
          <w:rFonts w:hint="eastAsia" w:ascii="楷体" w:hAnsi="楷体" w:eastAsia="楷体" w:cs="楷体"/>
          <w:sz w:val="22"/>
          <w:szCs w:val="20"/>
        </w:rPr>
        <w:fldChar w:fldCharType="separate"/>
      </w:r>
      <w:r>
        <w:rPr>
          <w:rFonts w:hint="eastAsia" w:ascii="楷体" w:hAnsi="楷体" w:eastAsia="楷体" w:cs="楷体"/>
          <w:sz w:val="22"/>
          <w:szCs w:val="20"/>
        </w:rPr>
        <w:t>16</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0"/>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_Toc3998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二、战略定位：一区一极一典范</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_Toc3998 \h </w:instrText>
      </w:r>
      <w:r>
        <w:rPr>
          <w:rFonts w:hint="eastAsia" w:ascii="楷体" w:hAnsi="楷体" w:eastAsia="楷体" w:cs="楷体"/>
          <w:sz w:val="22"/>
          <w:szCs w:val="20"/>
        </w:rPr>
        <w:fldChar w:fldCharType="separate"/>
      </w:r>
      <w:r>
        <w:rPr>
          <w:rFonts w:hint="eastAsia" w:ascii="楷体" w:hAnsi="楷体" w:eastAsia="楷体" w:cs="楷体"/>
          <w:sz w:val="22"/>
          <w:szCs w:val="20"/>
        </w:rPr>
        <w:t>16</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_Toc1175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战略定位1：中国南海产业新区</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_Toc1175 \h </w:instrText>
      </w:r>
      <w:r>
        <w:rPr>
          <w:rFonts w:hint="eastAsia" w:ascii="楷体" w:hAnsi="楷体" w:eastAsia="楷体" w:cs="楷体"/>
          <w:sz w:val="22"/>
          <w:szCs w:val="20"/>
        </w:rPr>
        <w:fldChar w:fldCharType="separate"/>
      </w:r>
      <w:r>
        <w:rPr>
          <w:rFonts w:hint="eastAsia" w:ascii="楷体" w:hAnsi="楷体" w:eastAsia="楷体" w:cs="楷体"/>
          <w:sz w:val="22"/>
          <w:szCs w:val="20"/>
        </w:rPr>
        <w:t>16</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_Toc8638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战略定位2：大三亚西翼增长极</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_Toc8638 \h </w:instrText>
      </w:r>
      <w:r>
        <w:rPr>
          <w:rFonts w:hint="eastAsia" w:ascii="楷体" w:hAnsi="楷体" w:eastAsia="楷体" w:cs="楷体"/>
          <w:sz w:val="22"/>
          <w:szCs w:val="20"/>
        </w:rPr>
        <w:fldChar w:fldCharType="separate"/>
      </w:r>
      <w:r>
        <w:rPr>
          <w:rFonts w:hint="eastAsia" w:ascii="楷体" w:hAnsi="楷体" w:eastAsia="楷体" w:cs="楷体"/>
          <w:sz w:val="22"/>
          <w:szCs w:val="20"/>
        </w:rPr>
        <w:t>17</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_Toc21762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战略定位3：产城融合发展典范</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_Toc21762 \h </w:instrText>
      </w:r>
      <w:r>
        <w:rPr>
          <w:rFonts w:hint="eastAsia" w:ascii="楷体" w:hAnsi="楷体" w:eastAsia="楷体" w:cs="楷体"/>
          <w:sz w:val="22"/>
          <w:szCs w:val="20"/>
        </w:rPr>
        <w:fldChar w:fldCharType="separate"/>
      </w:r>
      <w:r>
        <w:rPr>
          <w:rFonts w:hint="eastAsia" w:ascii="楷体" w:hAnsi="楷体" w:eastAsia="楷体" w:cs="楷体"/>
          <w:sz w:val="22"/>
          <w:szCs w:val="20"/>
        </w:rPr>
        <w:t>18</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6"/>
        <w:tabs>
          <w:tab w:val="right" w:leader="dot" w:pos="8306"/>
        </w:tabs>
        <w:ind w:left="0" w:leftChars="0" w:firstLine="883" w:firstLineChars="400"/>
        <w:rPr>
          <w:rFonts w:hint="eastAsia" w:ascii="楷体" w:hAnsi="楷体" w:eastAsia="楷体" w:cs="楷体"/>
          <w:b/>
          <w:bCs/>
          <w:color w:val="auto"/>
          <w:sz w:val="22"/>
          <w:szCs w:val="20"/>
          <w:lang w:val="en-US" w:eastAsia="zh-CN"/>
        </w:rPr>
      </w:pP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HYPERLINK \l _Toc24128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第二节  产业体系</w:t>
      </w:r>
      <w:r>
        <w:rPr>
          <w:rFonts w:hint="eastAsia" w:ascii="楷体" w:hAnsi="楷体" w:eastAsia="楷体" w:cs="楷体"/>
          <w:b/>
          <w:bCs/>
          <w:color w:val="auto"/>
          <w:sz w:val="22"/>
          <w:szCs w:val="20"/>
          <w:lang w:val="en-US" w:eastAsia="zh-CN"/>
        </w:rPr>
        <w:tab/>
      </w: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PAGEREF _Toc24128 \h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19</w:t>
      </w:r>
      <w:r>
        <w:rPr>
          <w:rFonts w:hint="eastAsia" w:ascii="楷体" w:hAnsi="楷体" w:eastAsia="楷体" w:cs="楷体"/>
          <w:b/>
          <w:bCs/>
          <w:color w:val="auto"/>
          <w:sz w:val="22"/>
          <w:szCs w:val="20"/>
          <w:lang w:val="en-US" w:eastAsia="zh-CN"/>
        </w:rPr>
        <w:fldChar w:fldCharType="end"/>
      </w:r>
      <w:r>
        <w:rPr>
          <w:rFonts w:hint="eastAsia" w:ascii="楷体" w:hAnsi="楷体" w:eastAsia="楷体" w:cs="楷体"/>
          <w:b/>
          <w:bCs/>
          <w:color w:val="auto"/>
          <w:sz w:val="22"/>
          <w:szCs w:val="20"/>
          <w:lang w:val="en-US" w:eastAsia="zh-CN"/>
        </w:rPr>
        <w:fldChar w:fldCharType="end"/>
      </w:r>
    </w:p>
    <w:p>
      <w:pPr>
        <w:pStyle w:val="10"/>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_Toc20437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一、产业定位</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_Toc20437 \h </w:instrText>
      </w:r>
      <w:r>
        <w:rPr>
          <w:rFonts w:hint="eastAsia" w:ascii="楷体" w:hAnsi="楷体" w:eastAsia="楷体" w:cs="楷体"/>
          <w:sz w:val="22"/>
          <w:szCs w:val="20"/>
        </w:rPr>
        <w:fldChar w:fldCharType="separate"/>
      </w:r>
      <w:r>
        <w:rPr>
          <w:rFonts w:hint="eastAsia" w:ascii="楷体" w:hAnsi="楷体" w:eastAsia="楷体" w:cs="楷体"/>
          <w:sz w:val="22"/>
          <w:szCs w:val="20"/>
        </w:rPr>
        <w:t>19</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0"/>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_Toc12249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二、产业体系：两主导+两优势+两新兴</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_Toc12249 \h </w:instrText>
      </w:r>
      <w:r>
        <w:rPr>
          <w:rFonts w:hint="eastAsia" w:ascii="楷体" w:hAnsi="楷体" w:eastAsia="楷体" w:cs="楷体"/>
          <w:sz w:val="22"/>
          <w:szCs w:val="20"/>
        </w:rPr>
        <w:fldChar w:fldCharType="separate"/>
      </w:r>
      <w:r>
        <w:rPr>
          <w:rFonts w:hint="eastAsia" w:ascii="楷体" w:hAnsi="楷体" w:eastAsia="楷体" w:cs="楷体"/>
          <w:sz w:val="22"/>
          <w:szCs w:val="20"/>
        </w:rPr>
        <w:t>20</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_Toc7031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——两个主导产业</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_Toc7031 \h </w:instrText>
      </w:r>
      <w:r>
        <w:rPr>
          <w:rFonts w:hint="eastAsia" w:ascii="楷体" w:hAnsi="楷体" w:eastAsia="楷体" w:cs="楷体"/>
          <w:sz w:val="22"/>
          <w:szCs w:val="20"/>
        </w:rPr>
        <w:fldChar w:fldCharType="separate"/>
      </w:r>
      <w:r>
        <w:rPr>
          <w:rFonts w:hint="eastAsia" w:ascii="楷体" w:hAnsi="楷体" w:eastAsia="楷体" w:cs="楷体"/>
          <w:sz w:val="22"/>
          <w:szCs w:val="20"/>
        </w:rPr>
        <w:t>20</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_Toc30670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1． 全域旅游：大三亚旅游圈重要支点</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_Toc30670 \h </w:instrText>
      </w:r>
      <w:r>
        <w:rPr>
          <w:rFonts w:hint="eastAsia" w:ascii="楷体" w:hAnsi="楷体" w:eastAsia="楷体" w:cs="楷体"/>
          <w:sz w:val="22"/>
          <w:szCs w:val="20"/>
        </w:rPr>
        <w:fldChar w:fldCharType="separate"/>
      </w:r>
      <w:r>
        <w:rPr>
          <w:rFonts w:hint="eastAsia" w:ascii="楷体" w:hAnsi="楷体" w:eastAsia="楷体" w:cs="楷体"/>
          <w:sz w:val="22"/>
          <w:szCs w:val="20"/>
        </w:rPr>
        <w:t>20</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_Toc32425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2． 热带农业：国家热带特色高效农业示范区</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_Toc32425 \h </w:instrText>
      </w:r>
      <w:r>
        <w:rPr>
          <w:rFonts w:hint="eastAsia" w:ascii="楷体" w:hAnsi="楷体" w:eastAsia="楷体" w:cs="楷体"/>
          <w:sz w:val="22"/>
          <w:szCs w:val="20"/>
        </w:rPr>
        <w:fldChar w:fldCharType="separate"/>
      </w:r>
      <w:r>
        <w:rPr>
          <w:rFonts w:hint="eastAsia" w:ascii="楷体" w:hAnsi="楷体" w:eastAsia="楷体" w:cs="楷体"/>
          <w:sz w:val="22"/>
          <w:szCs w:val="20"/>
        </w:rPr>
        <w:t>20</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_Toc27774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——两个优势产业</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_Toc27774 \h </w:instrText>
      </w:r>
      <w:r>
        <w:rPr>
          <w:rFonts w:hint="eastAsia" w:ascii="楷体" w:hAnsi="楷体" w:eastAsia="楷体" w:cs="楷体"/>
          <w:sz w:val="22"/>
          <w:szCs w:val="20"/>
        </w:rPr>
        <w:fldChar w:fldCharType="separate"/>
      </w:r>
      <w:r>
        <w:rPr>
          <w:rFonts w:hint="eastAsia" w:ascii="楷体" w:hAnsi="楷体" w:eastAsia="楷体" w:cs="楷体"/>
          <w:sz w:val="22"/>
          <w:szCs w:val="20"/>
        </w:rPr>
        <w:t>21</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_Toc2111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1． 商贸物流业：商贸物流枢纽</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_Toc2111 \h </w:instrText>
      </w:r>
      <w:r>
        <w:rPr>
          <w:rFonts w:hint="eastAsia" w:ascii="楷体" w:hAnsi="楷体" w:eastAsia="楷体" w:cs="楷体"/>
          <w:sz w:val="22"/>
          <w:szCs w:val="20"/>
        </w:rPr>
        <w:fldChar w:fldCharType="separate"/>
      </w:r>
      <w:r>
        <w:rPr>
          <w:rFonts w:hint="eastAsia" w:ascii="楷体" w:hAnsi="楷体" w:eastAsia="楷体" w:cs="楷体"/>
          <w:sz w:val="22"/>
          <w:szCs w:val="20"/>
        </w:rPr>
        <w:t>21</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_Toc14587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2． 现代渔业：南海渔业基地</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_Toc14587 \h </w:instrText>
      </w:r>
      <w:r>
        <w:rPr>
          <w:rFonts w:hint="eastAsia" w:ascii="楷体" w:hAnsi="楷体" w:eastAsia="楷体" w:cs="楷体"/>
          <w:sz w:val="22"/>
          <w:szCs w:val="20"/>
        </w:rPr>
        <w:fldChar w:fldCharType="separate"/>
      </w:r>
      <w:r>
        <w:rPr>
          <w:rFonts w:hint="eastAsia" w:ascii="楷体" w:hAnsi="楷体" w:eastAsia="楷体" w:cs="楷体"/>
          <w:sz w:val="22"/>
          <w:szCs w:val="20"/>
        </w:rPr>
        <w:t>23</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_Toc5500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——两个新兴产业</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_Toc5500 \h </w:instrText>
      </w:r>
      <w:r>
        <w:rPr>
          <w:rFonts w:hint="eastAsia" w:ascii="楷体" w:hAnsi="楷体" w:eastAsia="楷体" w:cs="楷体"/>
          <w:sz w:val="22"/>
          <w:szCs w:val="20"/>
        </w:rPr>
        <w:fldChar w:fldCharType="separate"/>
      </w:r>
      <w:r>
        <w:rPr>
          <w:rFonts w:hint="eastAsia" w:ascii="楷体" w:hAnsi="楷体" w:eastAsia="楷体" w:cs="楷体"/>
          <w:sz w:val="22"/>
          <w:szCs w:val="20"/>
        </w:rPr>
        <w:t>24</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_Toc974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1． 绿色高端制造业：大三亚绿色制造基地</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_Toc974 \h </w:instrText>
      </w:r>
      <w:r>
        <w:rPr>
          <w:rFonts w:hint="eastAsia" w:ascii="楷体" w:hAnsi="楷体" w:eastAsia="楷体" w:cs="楷体"/>
          <w:sz w:val="22"/>
          <w:szCs w:val="20"/>
        </w:rPr>
        <w:fldChar w:fldCharType="separate"/>
      </w:r>
      <w:r>
        <w:rPr>
          <w:rFonts w:hint="eastAsia" w:ascii="楷体" w:hAnsi="楷体" w:eastAsia="楷体" w:cs="楷体"/>
          <w:sz w:val="22"/>
          <w:szCs w:val="20"/>
        </w:rPr>
        <w:t>24</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_Toc32134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2． 农渔产品加工业：大三亚食品加工基地</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_Toc32134 \h </w:instrText>
      </w:r>
      <w:r>
        <w:rPr>
          <w:rFonts w:hint="eastAsia" w:ascii="楷体" w:hAnsi="楷体" w:eastAsia="楷体" w:cs="楷体"/>
          <w:sz w:val="22"/>
          <w:szCs w:val="20"/>
        </w:rPr>
        <w:fldChar w:fldCharType="separate"/>
      </w:r>
      <w:r>
        <w:rPr>
          <w:rFonts w:hint="eastAsia" w:ascii="楷体" w:hAnsi="楷体" w:eastAsia="楷体" w:cs="楷体"/>
          <w:sz w:val="22"/>
          <w:szCs w:val="20"/>
        </w:rPr>
        <w:t>25</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0"/>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_Toc4550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三、发展时序</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_Toc4550 \h </w:instrText>
      </w:r>
      <w:r>
        <w:rPr>
          <w:rFonts w:hint="eastAsia" w:ascii="楷体" w:hAnsi="楷体" w:eastAsia="楷体" w:cs="楷体"/>
          <w:sz w:val="22"/>
          <w:szCs w:val="20"/>
        </w:rPr>
        <w:fldChar w:fldCharType="separate"/>
      </w:r>
      <w:r>
        <w:rPr>
          <w:rFonts w:hint="eastAsia" w:ascii="楷体" w:hAnsi="楷体" w:eastAsia="楷体" w:cs="楷体"/>
          <w:sz w:val="22"/>
          <w:szCs w:val="20"/>
        </w:rPr>
        <w:t>25</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_Toc8827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1． 近期（2021-2023年）</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_Toc8827 \h </w:instrText>
      </w:r>
      <w:r>
        <w:rPr>
          <w:rFonts w:hint="eastAsia" w:ascii="楷体" w:hAnsi="楷体" w:eastAsia="楷体" w:cs="楷体"/>
          <w:sz w:val="22"/>
          <w:szCs w:val="20"/>
        </w:rPr>
        <w:fldChar w:fldCharType="separate"/>
      </w:r>
      <w:r>
        <w:rPr>
          <w:rFonts w:hint="eastAsia" w:ascii="楷体" w:hAnsi="楷体" w:eastAsia="楷体" w:cs="楷体"/>
          <w:sz w:val="22"/>
          <w:szCs w:val="20"/>
        </w:rPr>
        <w:t>25</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_Toc21228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2． 中期（2023-2025年）</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_Toc21228 \h </w:instrText>
      </w:r>
      <w:r>
        <w:rPr>
          <w:rFonts w:hint="eastAsia" w:ascii="楷体" w:hAnsi="楷体" w:eastAsia="楷体" w:cs="楷体"/>
          <w:sz w:val="22"/>
          <w:szCs w:val="20"/>
        </w:rPr>
        <w:fldChar w:fldCharType="separate"/>
      </w:r>
      <w:r>
        <w:rPr>
          <w:rFonts w:hint="eastAsia" w:ascii="楷体" w:hAnsi="楷体" w:eastAsia="楷体" w:cs="楷体"/>
          <w:sz w:val="22"/>
          <w:szCs w:val="20"/>
        </w:rPr>
        <w:t>26</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_Toc31007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3． 长期（2026-2035年）</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_Toc31007 \h </w:instrText>
      </w:r>
      <w:r>
        <w:rPr>
          <w:rFonts w:hint="eastAsia" w:ascii="楷体" w:hAnsi="楷体" w:eastAsia="楷体" w:cs="楷体"/>
          <w:sz w:val="22"/>
          <w:szCs w:val="20"/>
        </w:rPr>
        <w:fldChar w:fldCharType="separate"/>
      </w:r>
      <w:r>
        <w:rPr>
          <w:rFonts w:hint="eastAsia" w:ascii="楷体" w:hAnsi="楷体" w:eastAsia="楷体" w:cs="楷体"/>
          <w:sz w:val="22"/>
          <w:szCs w:val="20"/>
        </w:rPr>
        <w:t>26</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6"/>
        <w:tabs>
          <w:tab w:val="right" w:leader="dot" w:pos="8306"/>
        </w:tabs>
        <w:ind w:left="0" w:leftChars="0" w:firstLine="883" w:firstLineChars="400"/>
        <w:rPr>
          <w:rFonts w:hint="eastAsia" w:ascii="楷体" w:hAnsi="楷体" w:eastAsia="楷体" w:cs="楷体"/>
          <w:b/>
          <w:bCs/>
          <w:color w:val="auto"/>
          <w:sz w:val="22"/>
          <w:szCs w:val="20"/>
          <w:lang w:val="en-US" w:eastAsia="zh-CN"/>
        </w:rPr>
      </w:pP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HYPERLINK \l _Toc613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第三节  发展目标</w:t>
      </w:r>
      <w:r>
        <w:rPr>
          <w:rFonts w:hint="eastAsia" w:ascii="楷体" w:hAnsi="楷体" w:eastAsia="楷体" w:cs="楷体"/>
          <w:b/>
          <w:bCs/>
          <w:color w:val="auto"/>
          <w:sz w:val="22"/>
          <w:szCs w:val="20"/>
          <w:lang w:val="en-US" w:eastAsia="zh-CN"/>
        </w:rPr>
        <w:tab/>
      </w: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PAGEREF _Toc613 \h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26</w:t>
      </w:r>
      <w:r>
        <w:rPr>
          <w:rFonts w:hint="eastAsia" w:ascii="楷体" w:hAnsi="楷体" w:eastAsia="楷体" w:cs="楷体"/>
          <w:b/>
          <w:bCs/>
          <w:color w:val="auto"/>
          <w:sz w:val="22"/>
          <w:szCs w:val="20"/>
          <w:lang w:val="en-US" w:eastAsia="zh-CN"/>
        </w:rPr>
        <w:fldChar w:fldCharType="end"/>
      </w:r>
      <w:r>
        <w:rPr>
          <w:rFonts w:hint="eastAsia" w:ascii="楷体" w:hAnsi="楷体" w:eastAsia="楷体" w:cs="楷体"/>
          <w:b/>
          <w:bCs/>
          <w:color w:val="auto"/>
          <w:sz w:val="22"/>
          <w:szCs w:val="20"/>
          <w:lang w:val="en-US" w:eastAsia="zh-CN"/>
        </w:rPr>
        <w:fldChar w:fldCharType="end"/>
      </w:r>
    </w:p>
    <w:p>
      <w:pPr>
        <w:pStyle w:val="16"/>
        <w:tabs>
          <w:tab w:val="right" w:leader="dot" w:pos="8306"/>
        </w:tabs>
        <w:ind w:left="0" w:leftChars="0" w:firstLine="883" w:firstLineChars="400"/>
        <w:rPr>
          <w:rFonts w:hint="eastAsia" w:ascii="楷体" w:hAnsi="楷体" w:eastAsia="楷体" w:cs="楷体"/>
          <w:b/>
          <w:bCs/>
          <w:color w:val="auto"/>
          <w:sz w:val="22"/>
          <w:szCs w:val="20"/>
          <w:lang w:val="en-US" w:eastAsia="zh-CN"/>
        </w:rPr>
      </w:pP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HYPERLINK \l _Toc19366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第四节  产业空间结构</w:t>
      </w:r>
      <w:r>
        <w:rPr>
          <w:rFonts w:hint="eastAsia" w:ascii="楷体" w:hAnsi="楷体" w:eastAsia="楷体" w:cs="楷体"/>
          <w:b/>
          <w:bCs/>
          <w:color w:val="auto"/>
          <w:sz w:val="22"/>
          <w:szCs w:val="20"/>
          <w:lang w:val="en-US" w:eastAsia="zh-CN"/>
        </w:rPr>
        <w:tab/>
      </w: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PAGEREF _Toc19366 \h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30</w:t>
      </w:r>
      <w:r>
        <w:rPr>
          <w:rFonts w:hint="eastAsia" w:ascii="楷体" w:hAnsi="楷体" w:eastAsia="楷体" w:cs="楷体"/>
          <w:b/>
          <w:bCs/>
          <w:color w:val="auto"/>
          <w:sz w:val="22"/>
          <w:szCs w:val="20"/>
          <w:lang w:val="en-US" w:eastAsia="zh-CN"/>
        </w:rPr>
        <w:fldChar w:fldCharType="end"/>
      </w:r>
      <w:r>
        <w:rPr>
          <w:rFonts w:hint="eastAsia" w:ascii="楷体" w:hAnsi="楷体" w:eastAsia="楷体" w:cs="楷体"/>
          <w:b/>
          <w:bCs/>
          <w:color w:val="auto"/>
          <w:sz w:val="22"/>
          <w:szCs w:val="20"/>
          <w:lang w:val="en-US" w:eastAsia="zh-CN"/>
        </w:rPr>
        <w:fldChar w:fldCharType="end"/>
      </w:r>
    </w:p>
    <w:p>
      <w:pPr>
        <w:pStyle w:val="10"/>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_Toc30356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一、两带六组团</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_Toc30356 \h </w:instrText>
      </w:r>
      <w:r>
        <w:rPr>
          <w:rFonts w:hint="eastAsia" w:ascii="楷体" w:hAnsi="楷体" w:eastAsia="楷体" w:cs="楷体"/>
          <w:sz w:val="22"/>
          <w:szCs w:val="20"/>
        </w:rPr>
        <w:fldChar w:fldCharType="separate"/>
      </w:r>
      <w:r>
        <w:rPr>
          <w:rFonts w:hint="eastAsia" w:ascii="楷体" w:hAnsi="楷体" w:eastAsia="楷体" w:cs="楷体"/>
          <w:sz w:val="22"/>
          <w:szCs w:val="20"/>
        </w:rPr>
        <w:t>30</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0"/>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_Toc32743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二、组团产业发展指引</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_Toc32743 \h </w:instrText>
      </w:r>
      <w:r>
        <w:rPr>
          <w:rFonts w:hint="eastAsia" w:ascii="楷体" w:hAnsi="楷体" w:eastAsia="楷体" w:cs="楷体"/>
          <w:sz w:val="22"/>
          <w:szCs w:val="20"/>
        </w:rPr>
        <w:fldChar w:fldCharType="separate"/>
      </w:r>
      <w:r>
        <w:rPr>
          <w:rFonts w:hint="eastAsia" w:ascii="楷体" w:hAnsi="楷体" w:eastAsia="楷体" w:cs="楷体"/>
          <w:sz w:val="22"/>
          <w:szCs w:val="20"/>
        </w:rPr>
        <w:t>30</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6"/>
        <w:tabs>
          <w:tab w:val="right" w:leader="dot" w:pos="8306"/>
        </w:tabs>
        <w:ind w:left="0" w:leftChars="0" w:firstLine="883" w:firstLineChars="400"/>
        <w:rPr>
          <w:rFonts w:hint="eastAsia" w:ascii="楷体" w:hAnsi="楷体" w:eastAsia="楷体" w:cs="楷体"/>
          <w:b/>
          <w:bCs/>
          <w:color w:val="auto"/>
          <w:sz w:val="22"/>
          <w:szCs w:val="20"/>
          <w:lang w:val="en-US" w:eastAsia="zh-CN"/>
        </w:rPr>
      </w:pP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HYPERLINK \l _Toc11022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第五节  产城融合发展</w:t>
      </w:r>
      <w:r>
        <w:rPr>
          <w:rFonts w:hint="eastAsia" w:ascii="楷体" w:hAnsi="楷体" w:eastAsia="楷体" w:cs="楷体"/>
          <w:b/>
          <w:bCs/>
          <w:color w:val="auto"/>
          <w:sz w:val="22"/>
          <w:szCs w:val="20"/>
          <w:lang w:val="en-US" w:eastAsia="zh-CN"/>
        </w:rPr>
        <w:tab/>
      </w: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PAGEREF _Toc11022 \h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32</w:t>
      </w:r>
      <w:r>
        <w:rPr>
          <w:rFonts w:hint="eastAsia" w:ascii="楷体" w:hAnsi="楷体" w:eastAsia="楷体" w:cs="楷体"/>
          <w:b/>
          <w:bCs/>
          <w:color w:val="auto"/>
          <w:sz w:val="22"/>
          <w:szCs w:val="20"/>
          <w:lang w:val="en-US" w:eastAsia="zh-CN"/>
        </w:rPr>
        <w:fldChar w:fldCharType="end"/>
      </w:r>
      <w:r>
        <w:rPr>
          <w:rFonts w:hint="eastAsia" w:ascii="楷体" w:hAnsi="楷体" w:eastAsia="楷体" w:cs="楷体"/>
          <w:b/>
          <w:bCs/>
          <w:color w:val="auto"/>
          <w:sz w:val="22"/>
          <w:szCs w:val="20"/>
          <w:lang w:val="en-US" w:eastAsia="zh-CN"/>
        </w:rPr>
        <w:fldChar w:fldCharType="end"/>
      </w:r>
    </w:p>
    <w:p>
      <w:pPr>
        <w:pStyle w:val="10"/>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_Toc25576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一、 承接科技城研发成果就近溢出就地转化</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_Toc25576 \h </w:instrText>
      </w:r>
      <w:r>
        <w:rPr>
          <w:rFonts w:hint="eastAsia" w:ascii="楷体" w:hAnsi="楷体" w:eastAsia="楷体" w:cs="楷体"/>
          <w:sz w:val="22"/>
          <w:szCs w:val="20"/>
        </w:rPr>
        <w:fldChar w:fldCharType="separate"/>
      </w:r>
      <w:r>
        <w:rPr>
          <w:rFonts w:hint="eastAsia" w:ascii="楷体" w:hAnsi="楷体" w:eastAsia="楷体" w:cs="楷体"/>
          <w:sz w:val="22"/>
          <w:szCs w:val="20"/>
        </w:rPr>
        <w:t>32</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0"/>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_Toc7002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二、 促进城乡劳动力为科技城提供社会服务</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_Toc7002 \h </w:instrText>
      </w:r>
      <w:r>
        <w:rPr>
          <w:rFonts w:hint="eastAsia" w:ascii="楷体" w:hAnsi="楷体" w:eastAsia="楷体" w:cs="楷体"/>
          <w:sz w:val="22"/>
          <w:szCs w:val="20"/>
        </w:rPr>
        <w:fldChar w:fldCharType="separate"/>
      </w:r>
      <w:r>
        <w:rPr>
          <w:rFonts w:hint="eastAsia" w:ascii="楷体" w:hAnsi="楷体" w:eastAsia="楷体" w:cs="楷体"/>
          <w:sz w:val="22"/>
          <w:szCs w:val="20"/>
        </w:rPr>
        <w:t>33</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0"/>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_Toc23600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三、 满足高知高收人群日常消费和休闲需求</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_Toc23600 \h </w:instrText>
      </w:r>
      <w:r>
        <w:rPr>
          <w:rFonts w:hint="eastAsia" w:ascii="楷体" w:hAnsi="楷体" w:eastAsia="楷体" w:cs="楷体"/>
          <w:sz w:val="22"/>
          <w:szCs w:val="20"/>
        </w:rPr>
        <w:fldChar w:fldCharType="separate"/>
      </w:r>
      <w:r>
        <w:rPr>
          <w:rFonts w:hint="eastAsia" w:ascii="楷体" w:hAnsi="楷体" w:eastAsia="楷体" w:cs="楷体"/>
          <w:sz w:val="22"/>
          <w:szCs w:val="20"/>
        </w:rPr>
        <w:t>34</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0"/>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_Toc31900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四、 打造环境服务俱佳的高品质宜居社区</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_Toc31900 \h </w:instrText>
      </w:r>
      <w:r>
        <w:rPr>
          <w:rFonts w:hint="eastAsia" w:ascii="楷体" w:hAnsi="楷体" w:eastAsia="楷体" w:cs="楷体"/>
          <w:sz w:val="22"/>
          <w:szCs w:val="20"/>
        </w:rPr>
        <w:fldChar w:fldCharType="separate"/>
      </w:r>
      <w:r>
        <w:rPr>
          <w:rFonts w:hint="eastAsia" w:ascii="楷体" w:hAnsi="楷体" w:eastAsia="楷体" w:cs="楷体"/>
          <w:sz w:val="22"/>
          <w:szCs w:val="20"/>
        </w:rPr>
        <w:t>34</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3"/>
        <w:tabs>
          <w:tab w:val="right" w:leader="dot" w:pos="8306"/>
        </w:tabs>
        <w:ind w:left="0" w:leftChars="0" w:firstLine="0" w:firstLineChars="0"/>
        <w:rPr>
          <w:rFonts w:hint="eastAsia" w:ascii="黑体" w:hAnsi="黑体" w:eastAsia="黑体" w:cs="黑体"/>
          <w:b w:val="0"/>
          <w:bCs w:val="0"/>
          <w:color w:val="auto"/>
          <w:sz w:val="24"/>
          <w:szCs w:val="21"/>
          <w:lang w:val="en-US" w:eastAsia="zh-CN"/>
        </w:rPr>
      </w:pPr>
      <w:r>
        <w:rPr>
          <w:rFonts w:hint="eastAsia" w:ascii="黑体" w:hAnsi="黑体" w:eastAsia="黑体" w:cs="黑体"/>
          <w:b w:val="0"/>
          <w:bCs w:val="0"/>
          <w:color w:val="auto"/>
          <w:sz w:val="24"/>
          <w:szCs w:val="21"/>
          <w:lang w:val="en-US" w:eastAsia="zh-CN"/>
        </w:rPr>
        <w:fldChar w:fldCharType="begin"/>
      </w:r>
      <w:r>
        <w:rPr>
          <w:rFonts w:hint="eastAsia" w:ascii="黑体" w:hAnsi="黑体" w:eastAsia="黑体" w:cs="黑体"/>
          <w:b w:val="0"/>
          <w:bCs w:val="0"/>
          <w:color w:val="auto"/>
          <w:sz w:val="24"/>
          <w:szCs w:val="21"/>
          <w:lang w:val="en-US" w:eastAsia="zh-CN"/>
        </w:rPr>
        <w:instrText xml:space="preserve"> HYPERLINK \l _Toc26944 </w:instrText>
      </w:r>
      <w:r>
        <w:rPr>
          <w:rFonts w:hint="eastAsia" w:ascii="黑体" w:hAnsi="黑体" w:eastAsia="黑体" w:cs="黑体"/>
          <w:b w:val="0"/>
          <w:bCs w:val="0"/>
          <w:color w:val="auto"/>
          <w:sz w:val="24"/>
          <w:szCs w:val="21"/>
          <w:lang w:val="en-US" w:eastAsia="zh-CN"/>
        </w:rPr>
        <w:fldChar w:fldCharType="separate"/>
      </w:r>
      <w:r>
        <w:rPr>
          <w:rFonts w:hint="eastAsia" w:ascii="黑体" w:hAnsi="黑体" w:eastAsia="黑体" w:cs="黑体"/>
          <w:b w:val="0"/>
          <w:bCs w:val="0"/>
          <w:color w:val="auto"/>
          <w:sz w:val="24"/>
          <w:szCs w:val="21"/>
          <w:lang w:val="en-US" w:eastAsia="zh-CN"/>
        </w:rPr>
        <w:t>第三章  第一产业</w:t>
      </w:r>
      <w:r>
        <w:rPr>
          <w:rFonts w:hint="eastAsia" w:ascii="黑体" w:hAnsi="黑体" w:eastAsia="黑体" w:cs="黑体"/>
          <w:b w:val="0"/>
          <w:bCs w:val="0"/>
          <w:color w:val="auto"/>
          <w:sz w:val="24"/>
          <w:szCs w:val="21"/>
          <w:lang w:val="en-US" w:eastAsia="zh-CN"/>
        </w:rPr>
        <w:tab/>
      </w:r>
      <w:r>
        <w:rPr>
          <w:rFonts w:hint="eastAsia" w:ascii="黑体" w:hAnsi="黑体" w:eastAsia="黑体" w:cs="黑体"/>
          <w:b w:val="0"/>
          <w:bCs w:val="0"/>
          <w:color w:val="auto"/>
          <w:sz w:val="24"/>
          <w:szCs w:val="21"/>
          <w:lang w:val="en-US" w:eastAsia="zh-CN"/>
        </w:rPr>
        <w:fldChar w:fldCharType="begin"/>
      </w:r>
      <w:r>
        <w:rPr>
          <w:rFonts w:hint="eastAsia" w:ascii="黑体" w:hAnsi="黑体" w:eastAsia="黑体" w:cs="黑体"/>
          <w:b w:val="0"/>
          <w:bCs w:val="0"/>
          <w:color w:val="auto"/>
          <w:sz w:val="24"/>
          <w:szCs w:val="21"/>
          <w:lang w:val="en-US" w:eastAsia="zh-CN"/>
        </w:rPr>
        <w:instrText xml:space="preserve"> PAGEREF _Toc26944 \h </w:instrText>
      </w:r>
      <w:r>
        <w:rPr>
          <w:rFonts w:hint="eastAsia" w:ascii="黑体" w:hAnsi="黑体" w:eastAsia="黑体" w:cs="黑体"/>
          <w:b w:val="0"/>
          <w:bCs w:val="0"/>
          <w:color w:val="auto"/>
          <w:sz w:val="24"/>
          <w:szCs w:val="21"/>
          <w:lang w:val="en-US" w:eastAsia="zh-CN"/>
        </w:rPr>
        <w:fldChar w:fldCharType="separate"/>
      </w:r>
      <w:r>
        <w:rPr>
          <w:rFonts w:hint="eastAsia" w:ascii="黑体" w:hAnsi="黑体" w:eastAsia="黑体" w:cs="黑体"/>
          <w:b w:val="0"/>
          <w:bCs w:val="0"/>
          <w:color w:val="auto"/>
          <w:sz w:val="24"/>
          <w:szCs w:val="21"/>
          <w:lang w:val="en-US" w:eastAsia="zh-CN"/>
        </w:rPr>
        <w:t>35</w:t>
      </w:r>
      <w:r>
        <w:rPr>
          <w:rFonts w:hint="eastAsia" w:ascii="黑体" w:hAnsi="黑体" w:eastAsia="黑体" w:cs="黑体"/>
          <w:b w:val="0"/>
          <w:bCs w:val="0"/>
          <w:color w:val="auto"/>
          <w:sz w:val="24"/>
          <w:szCs w:val="21"/>
          <w:lang w:val="en-US" w:eastAsia="zh-CN"/>
        </w:rPr>
        <w:fldChar w:fldCharType="end"/>
      </w:r>
      <w:r>
        <w:rPr>
          <w:rFonts w:hint="eastAsia" w:ascii="黑体" w:hAnsi="黑体" w:eastAsia="黑体" w:cs="黑体"/>
          <w:b w:val="0"/>
          <w:bCs w:val="0"/>
          <w:color w:val="auto"/>
          <w:sz w:val="24"/>
          <w:szCs w:val="21"/>
          <w:lang w:val="en-US" w:eastAsia="zh-CN"/>
        </w:rPr>
        <w:fldChar w:fldCharType="end"/>
      </w:r>
    </w:p>
    <w:p>
      <w:pPr>
        <w:pStyle w:val="16"/>
        <w:tabs>
          <w:tab w:val="right" w:leader="dot" w:pos="8306"/>
        </w:tabs>
        <w:ind w:left="0" w:leftChars="0" w:firstLine="883" w:firstLineChars="400"/>
        <w:rPr>
          <w:rFonts w:hint="eastAsia" w:ascii="楷体" w:hAnsi="楷体" w:eastAsia="楷体" w:cs="楷体"/>
          <w:b/>
          <w:bCs/>
          <w:color w:val="auto"/>
          <w:sz w:val="22"/>
          <w:szCs w:val="20"/>
          <w:lang w:val="en-US" w:eastAsia="zh-CN"/>
        </w:rPr>
      </w:pP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HYPERLINK \l _Toc5521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第一节  自贸港政策解读</w:t>
      </w:r>
      <w:r>
        <w:rPr>
          <w:rFonts w:hint="eastAsia" w:ascii="楷体" w:hAnsi="楷体" w:eastAsia="楷体" w:cs="楷体"/>
          <w:b/>
          <w:bCs/>
          <w:color w:val="auto"/>
          <w:sz w:val="22"/>
          <w:szCs w:val="20"/>
          <w:lang w:val="en-US" w:eastAsia="zh-CN"/>
        </w:rPr>
        <w:tab/>
      </w: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PAGEREF _Toc5521 \h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36</w:t>
      </w:r>
      <w:r>
        <w:rPr>
          <w:rFonts w:hint="eastAsia" w:ascii="楷体" w:hAnsi="楷体" w:eastAsia="楷体" w:cs="楷体"/>
          <w:b/>
          <w:bCs/>
          <w:color w:val="auto"/>
          <w:sz w:val="22"/>
          <w:szCs w:val="20"/>
          <w:lang w:val="en-US" w:eastAsia="zh-CN"/>
        </w:rPr>
        <w:fldChar w:fldCharType="end"/>
      </w:r>
      <w:r>
        <w:rPr>
          <w:rFonts w:hint="eastAsia" w:ascii="楷体" w:hAnsi="楷体" w:eastAsia="楷体" w:cs="楷体"/>
          <w:b/>
          <w:bCs/>
          <w:color w:val="auto"/>
          <w:sz w:val="22"/>
          <w:szCs w:val="20"/>
          <w:lang w:val="en-US" w:eastAsia="zh-CN"/>
        </w:rPr>
        <w:fldChar w:fldCharType="end"/>
      </w:r>
    </w:p>
    <w:p>
      <w:pPr>
        <w:pStyle w:val="10"/>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_Toc26133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一、热带农业政策解读</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_Toc26133 \h </w:instrText>
      </w:r>
      <w:r>
        <w:rPr>
          <w:rFonts w:hint="eastAsia" w:ascii="楷体" w:hAnsi="楷体" w:eastAsia="楷体" w:cs="楷体"/>
          <w:sz w:val="22"/>
          <w:szCs w:val="20"/>
        </w:rPr>
        <w:fldChar w:fldCharType="separate"/>
      </w:r>
      <w:r>
        <w:rPr>
          <w:rFonts w:hint="eastAsia" w:ascii="楷体" w:hAnsi="楷体" w:eastAsia="楷体" w:cs="楷体"/>
          <w:sz w:val="22"/>
          <w:szCs w:val="20"/>
        </w:rPr>
        <w:t>36</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_Toc12177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1． 南繁是国家战略意志</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_Toc12177 \h </w:instrText>
      </w:r>
      <w:r>
        <w:rPr>
          <w:rFonts w:hint="eastAsia" w:ascii="楷体" w:hAnsi="楷体" w:eastAsia="楷体" w:cs="楷体"/>
          <w:sz w:val="22"/>
          <w:szCs w:val="20"/>
        </w:rPr>
        <w:fldChar w:fldCharType="separate"/>
      </w:r>
      <w:r>
        <w:rPr>
          <w:rFonts w:hint="eastAsia" w:ascii="楷体" w:hAnsi="楷体" w:eastAsia="楷体" w:cs="楷体"/>
          <w:sz w:val="22"/>
          <w:szCs w:val="20"/>
        </w:rPr>
        <w:t>36</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_Toc12214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2． 做强做优热带特色高效农业</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_Toc12214 \h </w:instrText>
      </w:r>
      <w:r>
        <w:rPr>
          <w:rFonts w:hint="eastAsia" w:ascii="楷体" w:hAnsi="楷体" w:eastAsia="楷体" w:cs="楷体"/>
          <w:sz w:val="22"/>
          <w:szCs w:val="20"/>
        </w:rPr>
        <w:fldChar w:fldCharType="separate"/>
      </w:r>
      <w:r>
        <w:rPr>
          <w:rFonts w:hint="eastAsia" w:ascii="楷体" w:hAnsi="楷体" w:eastAsia="楷体" w:cs="楷体"/>
          <w:sz w:val="22"/>
          <w:szCs w:val="20"/>
        </w:rPr>
        <w:t>36</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_Toc12396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3． 建设出口农产品生产基地</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_Toc12396 \h </w:instrText>
      </w:r>
      <w:r>
        <w:rPr>
          <w:rFonts w:hint="eastAsia" w:ascii="楷体" w:hAnsi="楷体" w:eastAsia="楷体" w:cs="楷体"/>
          <w:sz w:val="22"/>
          <w:szCs w:val="20"/>
        </w:rPr>
        <w:fldChar w:fldCharType="separate"/>
      </w:r>
      <w:r>
        <w:rPr>
          <w:rFonts w:hint="eastAsia" w:ascii="楷体" w:hAnsi="楷体" w:eastAsia="楷体" w:cs="楷体"/>
          <w:sz w:val="22"/>
          <w:szCs w:val="20"/>
        </w:rPr>
        <w:t>36</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_Toc9739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4． 强化农业现代化、信息化发展</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_Toc9739 \h </w:instrText>
      </w:r>
      <w:r>
        <w:rPr>
          <w:rFonts w:hint="eastAsia" w:ascii="楷体" w:hAnsi="楷体" w:eastAsia="楷体" w:cs="楷体"/>
          <w:sz w:val="22"/>
          <w:szCs w:val="20"/>
        </w:rPr>
        <w:fldChar w:fldCharType="separate"/>
      </w:r>
      <w:r>
        <w:rPr>
          <w:rFonts w:hint="eastAsia" w:ascii="楷体" w:hAnsi="楷体" w:eastAsia="楷体" w:cs="楷体"/>
          <w:sz w:val="22"/>
          <w:szCs w:val="20"/>
        </w:rPr>
        <w:t>37</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0"/>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_Toc11355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二、现代渔业政策解读</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_Toc11355 \h </w:instrText>
      </w:r>
      <w:r>
        <w:rPr>
          <w:rFonts w:hint="eastAsia" w:ascii="楷体" w:hAnsi="楷体" w:eastAsia="楷体" w:cs="楷体"/>
          <w:sz w:val="22"/>
          <w:szCs w:val="20"/>
        </w:rPr>
        <w:fldChar w:fldCharType="separate"/>
      </w:r>
      <w:r>
        <w:rPr>
          <w:rFonts w:hint="eastAsia" w:ascii="楷体" w:hAnsi="楷体" w:eastAsia="楷体" w:cs="楷体"/>
          <w:sz w:val="22"/>
          <w:szCs w:val="20"/>
        </w:rPr>
        <w:t>38</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_Toc14483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5． 提高战略支撑保障能力</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_Toc14483 \h </w:instrText>
      </w:r>
      <w:r>
        <w:rPr>
          <w:rFonts w:hint="eastAsia" w:ascii="楷体" w:hAnsi="楷体" w:eastAsia="楷体" w:cs="楷体"/>
          <w:sz w:val="22"/>
          <w:szCs w:val="20"/>
        </w:rPr>
        <w:fldChar w:fldCharType="separate"/>
      </w:r>
      <w:r>
        <w:rPr>
          <w:rFonts w:hint="eastAsia" w:ascii="楷体" w:hAnsi="楷体" w:eastAsia="楷体" w:cs="楷体"/>
          <w:sz w:val="22"/>
          <w:szCs w:val="20"/>
        </w:rPr>
        <w:t>38</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_Toc30819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6． 发展渔港经济、建设保税渔港</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_Toc30819 \h </w:instrText>
      </w:r>
      <w:r>
        <w:rPr>
          <w:rFonts w:hint="eastAsia" w:ascii="楷体" w:hAnsi="楷体" w:eastAsia="楷体" w:cs="楷体"/>
          <w:sz w:val="22"/>
          <w:szCs w:val="20"/>
        </w:rPr>
        <w:fldChar w:fldCharType="separate"/>
      </w:r>
      <w:r>
        <w:rPr>
          <w:rFonts w:hint="eastAsia" w:ascii="楷体" w:hAnsi="楷体" w:eastAsia="楷体" w:cs="楷体"/>
          <w:sz w:val="22"/>
          <w:szCs w:val="20"/>
        </w:rPr>
        <w:t>38</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_Toc1465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7． 实现渔业现代化</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_Toc1465 \h </w:instrText>
      </w:r>
      <w:r>
        <w:rPr>
          <w:rFonts w:hint="eastAsia" w:ascii="楷体" w:hAnsi="楷体" w:eastAsia="楷体" w:cs="楷体"/>
          <w:sz w:val="22"/>
          <w:szCs w:val="20"/>
        </w:rPr>
        <w:fldChar w:fldCharType="separate"/>
      </w:r>
      <w:r>
        <w:rPr>
          <w:rFonts w:hint="eastAsia" w:ascii="楷体" w:hAnsi="楷体" w:eastAsia="楷体" w:cs="楷体"/>
          <w:sz w:val="22"/>
          <w:szCs w:val="20"/>
        </w:rPr>
        <w:t>38</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6"/>
        <w:tabs>
          <w:tab w:val="right" w:leader="dot" w:pos="8306"/>
        </w:tabs>
        <w:ind w:left="0" w:leftChars="0" w:firstLine="883" w:firstLineChars="400"/>
        <w:rPr>
          <w:rFonts w:hint="eastAsia" w:ascii="楷体" w:hAnsi="楷体" w:eastAsia="楷体" w:cs="楷体"/>
          <w:b/>
          <w:bCs/>
          <w:color w:val="auto"/>
          <w:sz w:val="22"/>
          <w:szCs w:val="20"/>
          <w:lang w:val="en-US" w:eastAsia="zh-CN"/>
        </w:rPr>
      </w:pP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HYPERLINK \l _Toc18646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第二节  发展条件分析</w:t>
      </w:r>
      <w:r>
        <w:rPr>
          <w:rFonts w:hint="eastAsia" w:ascii="楷体" w:hAnsi="楷体" w:eastAsia="楷体" w:cs="楷体"/>
          <w:b/>
          <w:bCs/>
          <w:color w:val="auto"/>
          <w:sz w:val="22"/>
          <w:szCs w:val="20"/>
          <w:lang w:val="en-US" w:eastAsia="zh-CN"/>
        </w:rPr>
        <w:tab/>
      </w: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PAGEREF _Toc18646 \h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40</w:t>
      </w:r>
      <w:r>
        <w:rPr>
          <w:rFonts w:hint="eastAsia" w:ascii="楷体" w:hAnsi="楷体" w:eastAsia="楷体" w:cs="楷体"/>
          <w:b/>
          <w:bCs/>
          <w:color w:val="auto"/>
          <w:sz w:val="22"/>
          <w:szCs w:val="20"/>
          <w:lang w:val="en-US" w:eastAsia="zh-CN"/>
        </w:rPr>
        <w:fldChar w:fldCharType="end"/>
      </w:r>
      <w:r>
        <w:rPr>
          <w:rFonts w:hint="eastAsia" w:ascii="楷体" w:hAnsi="楷体" w:eastAsia="楷体" w:cs="楷体"/>
          <w:b/>
          <w:bCs/>
          <w:color w:val="auto"/>
          <w:sz w:val="22"/>
          <w:szCs w:val="20"/>
          <w:lang w:val="en-US" w:eastAsia="zh-CN"/>
        </w:rPr>
        <w:fldChar w:fldCharType="end"/>
      </w:r>
    </w:p>
    <w:p>
      <w:pPr>
        <w:pStyle w:val="10"/>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_Toc2513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一、总体分析</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_Toc2513 \h </w:instrText>
      </w:r>
      <w:r>
        <w:rPr>
          <w:rFonts w:hint="eastAsia" w:ascii="楷体" w:hAnsi="楷体" w:eastAsia="楷体" w:cs="楷体"/>
          <w:sz w:val="22"/>
          <w:szCs w:val="20"/>
        </w:rPr>
        <w:fldChar w:fldCharType="separate"/>
      </w:r>
      <w:r>
        <w:rPr>
          <w:rFonts w:hint="eastAsia" w:ascii="楷体" w:hAnsi="楷体" w:eastAsia="楷体" w:cs="楷体"/>
          <w:sz w:val="22"/>
          <w:szCs w:val="20"/>
        </w:rPr>
        <w:t>40</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_Toc1240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1． 一产增速放缓，低于三亚和全省，优势发挥不明显，支撑能力不足</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_Toc1240 \h </w:instrText>
      </w:r>
      <w:r>
        <w:rPr>
          <w:rFonts w:hint="eastAsia" w:ascii="楷体" w:hAnsi="楷体" w:eastAsia="楷体" w:cs="楷体"/>
          <w:sz w:val="22"/>
          <w:szCs w:val="20"/>
        </w:rPr>
        <w:fldChar w:fldCharType="separate"/>
      </w:r>
      <w:r>
        <w:rPr>
          <w:rFonts w:hint="eastAsia" w:ascii="楷体" w:hAnsi="楷体" w:eastAsia="楷体" w:cs="楷体"/>
          <w:sz w:val="22"/>
          <w:szCs w:val="20"/>
        </w:rPr>
        <w:t>40</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0"/>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_Toc778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二、热带农业分析</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_Toc778 \h </w:instrText>
      </w:r>
      <w:r>
        <w:rPr>
          <w:rFonts w:hint="eastAsia" w:ascii="楷体" w:hAnsi="楷体" w:eastAsia="楷体" w:cs="楷体"/>
          <w:sz w:val="22"/>
          <w:szCs w:val="20"/>
        </w:rPr>
        <w:fldChar w:fldCharType="separate"/>
      </w:r>
      <w:r>
        <w:rPr>
          <w:rFonts w:hint="eastAsia" w:ascii="楷体" w:hAnsi="楷体" w:eastAsia="楷体" w:cs="楷体"/>
          <w:sz w:val="22"/>
          <w:szCs w:val="20"/>
        </w:rPr>
        <w:t>41</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_Toc32531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2． 中国南繁在三亚，三亚南繁在崖州，崖州南繁在价值链曲线底端</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_Toc32531 \h </w:instrText>
      </w:r>
      <w:r>
        <w:rPr>
          <w:rFonts w:hint="eastAsia" w:ascii="楷体" w:hAnsi="楷体" w:eastAsia="楷体" w:cs="楷体"/>
          <w:sz w:val="22"/>
          <w:szCs w:val="20"/>
        </w:rPr>
        <w:fldChar w:fldCharType="separate"/>
      </w:r>
      <w:r>
        <w:rPr>
          <w:rFonts w:hint="eastAsia" w:ascii="楷体" w:hAnsi="楷体" w:eastAsia="楷体" w:cs="楷体"/>
          <w:sz w:val="22"/>
          <w:szCs w:val="20"/>
        </w:rPr>
        <w:t>41</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_Toc6609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3． 冬季瓜菜面临气候变暖、竞争激烈、物流成本高等不确定性</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_Toc6609 \h </w:instrText>
      </w:r>
      <w:r>
        <w:rPr>
          <w:rFonts w:hint="eastAsia" w:ascii="楷体" w:hAnsi="楷体" w:eastAsia="楷体" w:cs="楷体"/>
          <w:sz w:val="22"/>
          <w:szCs w:val="20"/>
        </w:rPr>
        <w:fldChar w:fldCharType="separate"/>
      </w:r>
      <w:r>
        <w:rPr>
          <w:rFonts w:hint="eastAsia" w:ascii="楷体" w:hAnsi="楷体" w:eastAsia="楷体" w:cs="楷体"/>
          <w:sz w:val="22"/>
          <w:szCs w:val="20"/>
        </w:rPr>
        <w:t>43</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_Toc1275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4． 土地租金高、短工工资高，规模化农业企业望“崖”生叹</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_Toc1275 \h </w:instrText>
      </w:r>
      <w:r>
        <w:rPr>
          <w:rFonts w:hint="eastAsia" w:ascii="楷体" w:hAnsi="楷体" w:eastAsia="楷体" w:cs="楷体"/>
          <w:sz w:val="22"/>
          <w:szCs w:val="20"/>
        </w:rPr>
        <w:fldChar w:fldCharType="separate"/>
      </w:r>
      <w:r>
        <w:rPr>
          <w:rFonts w:hint="eastAsia" w:ascii="楷体" w:hAnsi="楷体" w:eastAsia="楷体" w:cs="楷体"/>
          <w:sz w:val="22"/>
          <w:szCs w:val="20"/>
        </w:rPr>
        <w:t>45</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_Toc6528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5． 自然条件优越，但农业现代化水平不高，要警惕“资源诅咒”现象</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_Toc6528 \h </w:instrText>
      </w:r>
      <w:r>
        <w:rPr>
          <w:rFonts w:hint="eastAsia" w:ascii="楷体" w:hAnsi="楷体" w:eastAsia="楷体" w:cs="楷体"/>
          <w:sz w:val="22"/>
          <w:szCs w:val="20"/>
        </w:rPr>
        <w:fldChar w:fldCharType="separate"/>
      </w:r>
      <w:r>
        <w:rPr>
          <w:rFonts w:hint="eastAsia" w:ascii="楷体" w:hAnsi="楷体" w:eastAsia="楷体" w:cs="楷体"/>
          <w:sz w:val="22"/>
          <w:szCs w:val="20"/>
        </w:rPr>
        <w:t>46</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_Toc344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6． 知海南不知崖州，存在“有品无牌”现象，酒香也怕巷子深</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_Toc344 \h </w:instrText>
      </w:r>
      <w:r>
        <w:rPr>
          <w:rFonts w:hint="eastAsia" w:ascii="楷体" w:hAnsi="楷体" w:eastAsia="楷体" w:cs="楷体"/>
          <w:sz w:val="22"/>
          <w:szCs w:val="20"/>
        </w:rPr>
        <w:fldChar w:fldCharType="separate"/>
      </w:r>
      <w:r>
        <w:rPr>
          <w:rFonts w:hint="eastAsia" w:ascii="楷体" w:hAnsi="楷体" w:eastAsia="楷体" w:cs="楷体"/>
          <w:sz w:val="22"/>
          <w:szCs w:val="20"/>
        </w:rPr>
        <w:t>47</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0"/>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_Toc9036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三、现代渔业分析</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_Toc9036 \h </w:instrText>
      </w:r>
      <w:r>
        <w:rPr>
          <w:rFonts w:hint="eastAsia" w:ascii="楷体" w:hAnsi="楷体" w:eastAsia="楷体" w:cs="楷体"/>
          <w:sz w:val="22"/>
          <w:szCs w:val="20"/>
        </w:rPr>
        <w:fldChar w:fldCharType="separate"/>
      </w:r>
      <w:r>
        <w:rPr>
          <w:rFonts w:hint="eastAsia" w:ascii="楷体" w:hAnsi="楷体" w:eastAsia="楷体" w:cs="楷体"/>
          <w:sz w:val="22"/>
          <w:szCs w:val="20"/>
        </w:rPr>
        <w:t>49</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_Toc5099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7． 全省海水养殖长期无序发展，海水养殖污染被中央环保督察组点名</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_Toc5099 \h </w:instrText>
      </w:r>
      <w:r>
        <w:rPr>
          <w:rFonts w:hint="eastAsia" w:ascii="楷体" w:hAnsi="楷体" w:eastAsia="楷体" w:cs="楷体"/>
          <w:sz w:val="22"/>
          <w:szCs w:val="20"/>
        </w:rPr>
        <w:fldChar w:fldCharType="separate"/>
      </w:r>
      <w:r>
        <w:rPr>
          <w:rFonts w:hint="eastAsia" w:ascii="楷体" w:hAnsi="楷体" w:eastAsia="楷体" w:cs="楷体"/>
          <w:sz w:val="22"/>
          <w:szCs w:val="20"/>
        </w:rPr>
        <w:t>49</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_Toc21963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8． 崖州在三亚海水养殖面积最大、产量最高，但产业规模出现萎缩</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_Toc21963 \h </w:instrText>
      </w:r>
      <w:r>
        <w:rPr>
          <w:rFonts w:hint="eastAsia" w:ascii="楷体" w:hAnsi="楷体" w:eastAsia="楷体" w:cs="楷体"/>
          <w:sz w:val="22"/>
          <w:szCs w:val="20"/>
        </w:rPr>
        <w:fldChar w:fldCharType="separate"/>
      </w:r>
      <w:r>
        <w:rPr>
          <w:rFonts w:hint="eastAsia" w:ascii="楷体" w:hAnsi="楷体" w:eastAsia="楷体" w:cs="楷体"/>
          <w:sz w:val="22"/>
          <w:szCs w:val="20"/>
        </w:rPr>
        <w:t>50</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_Toc20327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9． 海水养殖单位产出低、生产效率低、养殖方式比较落后</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_Toc20327 \h </w:instrText>
      </w:r>
      <w:r>
        <w:rPr>
          <w:rFonts w:hint="eastAsia" w:ascii="楷体" w:hAnsi="楷体" w:eastAsia="楷体" w:cs="楷体"/>
          <w:sz w:val="22"/>
          <w:szCs w:val="20"/>
        </w:rPr>
        <w:fldChar w:fldCharType="separate"/>
      </w:r>
      <w:r>
        <w:rPr>
          <w:rFonts w:hint="eastAsia" w:ascii="楷体" w:hAnsi="楷体" w:eastAsia="楷体" w:cs="楷体"/>
          <w:sz w:val="22"/>
          <w:szCs w:val="20"/>
        </w:rPr>
        <w:t>51</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_Toc30092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10． 科技支撑能力不足，养殖品种较为传统，科技兴渔任重道远</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_Toc30092 \h </w:instrText>
      </w:r>
      <w:r>
        <w:rPr>
          <w:rFonts w:hint="eastAsia" w:ascii="楷体" w:hAnsi="楷体" w:eastAsia="楷体" w:cs="楷体"/>
          <w:sz w:val="22"/>
          <w:szCs w:val="20"/>
        </w:rPr>
        <w:fldChar w:fldCharType="separate"/>
      </w:r>
      <w:r>
        <w:rPr>
          <w:rFonts w:hint="eastAsia" w:ascii="楷体" w:hAnsi="楷体" w:eastAsia="楷体" w:cs="楷体"/>
          <w:sz w:val="22"/>
          <w:szCs w:val="20"/>
        </w:rPr>
        <w:t>52</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_Toc6174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11． 海洋捕捞规模低位徘徊，在全省海洋生态修复背景下难有起色</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_Toc6174 \h </w:instrText>
      </w:r>
      <w:r>
        <w:rPr>
          <w:rFonts w:hint="eastAsia" w:ascii="楷体" w:hAnsi="楷体" w:eastAsia="楷体" w:cs="楷体"/>
          <w:sz w:val="22"/>
          <w:szCs w:val="20"/>
        </w:rPr>
        <w:fldChar w:fldCharType="separate"/>
      </w:r>
      <w:r>
        <w:rPr>
          <w:rFonts w:hint="eastAsia" w:ascii="楷体" w:hAnsi="楷体" w:eastAsia="楷体" w:cs="楷体"/>
          <w:sz w:val="22"/>
          <w:szCs w:val="20"/>
        </w:rPr>
        <w:t>52</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6"/>
        <w:tabs>
          <w:tab w:val="right" w:leader="dot" w:pos="8306"/>
        </w:tabs>
        <w:ind w:left="0" w:leftChars="0" w:firstLine="883" w:firstLineChars="400"/>
        <w:rPr>
          <w:rFonts w:hint="eastAsia" w:ascii="楷体" w:hAnsi="楷体" w:eastAsia="楷体" w:cs="楷体"/>
          <w:b/>
          <w:bCs/>
          <w:color w:val="auto"/>
          <w:sz w:val="22"/>
          <w:szCs w:val="20"/>
          <w:lang w:val="en-US" w:eastAsia="zh-CN"/>
        </w:rPr>
      </w:pP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HYPERLINK \l _Toc18330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第三节  发展路径</w:t>
      </w:r>
      <w:r>
        <w:rPr>
          <w:rFonts w:hint="eastAsia" w:ascii="楷体" w:hAnsi="楷体" w:eastAsia="楷体" w:cs="楷体"/>
          <w:b/>
          <w:bCs/>
          <w:color w:val="auto"/>
          <w:sz w:val="22"/>
          <w:szCs w:val="20"/>
          <w:lang w:val="en-US" w:eastAsia="zh-CN"/>
        </w:rPr>
        <w:tab/>
      </w: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PAGEREF _Toc18330 \h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53</w:t>
      </w:r>
      <w:r>
        <w:rPr>
          <w:rFonts w:hint="eastAsia" w:ascii="楷体" w:hAnsi="楷体" w:eastAsia="楷体" w:cs="楷体"/>
          <w:b/>
          <w:bCs/>
          <w:color w:val="auto"/>
          <w:sz w:val="22"/>
          <w:szCs w:val="20"/>
          <w:lang w:val="en-US" w:eastAsia="zh-CN"/>
        </w:rPr>
        <w:fldChar w:fldCharType="end"/>
      </w:r>
      <w:r>
        <w:rPr>
          <w:rFonts w:hint="eastAsia" w:ascii="楷体" w:hAnsi="楷体" w:eastAsia="楷体" w:cs="楷体"/>
          <w:b/>
          <w:bCs/>
          <w:color w:val="auto"/>
          <w:sz w:val="22"/>
          <w:szCs w:val="20"/>
          <w:lang w:val="en-US" w:eastAsia="zh-CN"/>
        </w:rPr>
        <w:fldChar w:fldCharType="end"/>
      </w:r>
    </w:p>
    <w:p>
      <w:pPr>
        <w:pStyle w:val="10"/>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_Toc12547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一、热带农业发展路径</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_Toc12547 \h </w:instrText>
      </w:r>
      <w:r>
        <w:rPr>
          <w:rFonts w:hint="eastAsia" w:ascii="楷体" w:hAnsi="楷体" w:eastAsia="楷体" w:cs="楷体"/>
          <w:sz w:val="22"/>
          <w:szCs w:val="20"/>
        </w:rPr>
        <w:fldChar w:fldCharType="separate"/>
      </w:r>
      <w:r>
        <w:rPr>
          <w:rFonts w:hint="eastAsia" w:ascii="楷体" w:hAnsi="楷体" w:eastAsia="楷体" w:cs="楷体"/>
          <w:sz w:val="22"/>
          <w:szCs w:val="20"/>
        </w:rPr>
        <w:t>53</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_Toc5340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1． 建设国家现代农业产业园，创建国家农业高新技术产业示范区</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_Toc5340 \h </w:instrText>
      </w:r>
      <w:r>
        <w:rPr>
          <w:rFonts w:hint="eastAsia" w:ascii="楷体" w:hAnsi="楷体" w:eastAsia="楷体" w:cs="楷体"/>
          <w:sz w:val="22"/>
          <w:szCs w:val="20"/>
        </w:rPr>
        <w:fldChar w:fldCharType="separate"/>
      </w:r>
      <w:r>
        <w:rPr>
          <w:rFonts w:hint="eastAsia" w:ascii="楷体" w:hAnsi="楷体" w:eastAsia="楷体" w:cs="楷体"/>
          <w:sz w:val="22"/>
          <w:szCs w:val="20"/>
        </w:rPr>
        <w:t>53</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_Toc12802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2． 系统性提升全区种植业发展能级，走高质量发展道路</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_Toc12802 \h </w:instrText>
      </w:r>
      <w:r>
        <w:rPr>
          <w:rFonts w:hint="eastAsia" w:ascii="楷体" w:hAnsi="楷体" w:eastAsia="楷体" w:cs="楷体"/>
          <w:sz w:val="22"/>
          <w:szCs w:val="20"/>
        </w:rPr>
        <w:fldChar w:fldCharType="separate"/>
      </w:r>
      <w:r>
        <w:rPr>
          <w:rFonts w:hint="eastAsia" w:ascii="楷体" w:hAnsi="楷体" w:eastAsia="楷体" w:cs="楷体"/>
          <w:sz w:val="22"/>
          <w:szCs w:val="20"/>
        </w:rPr>
        <w:t>54</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_Toc17841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3． 推动南繁育制种与二三产业融合，把更多效益留在本地</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_Toc17841 \h </w:instrText>
      </w:r>
      <w:r>
        <w:rPr>
          <w:rFonts w:hint="eastAsia" w:ascii="楷体" w:hAnsi="楷体" w:eastAsia="楷体" w:cs="楷体"/>
          <w:sz w:val="22"/>
          <w:szCs w:val="20"/>
        </w:rPr>
        <w:fldChar w:fldCharType="separate"/>
      </w:r>
      <w:r>
        <w:rPr>
          <w:rFonts w:hint="eastAsia" w:ascii="楷体" w:hAnsi="楷体" w:eastAsia="楷体" w:cs="楷体"/>
          <w:sz w:val="22"/>
          <w:szCs w:val="20"/>
        </w:rPr>
        <w:t>56</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_Toc14769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4． 加强农业科技推广和技术支撑，支持南繁成果就近就地转化</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_Toc14769 \h </w:instrText>
      </w:r>
      <w:r>
        <w:rPr>
          <w:rFonts w:hint="eastAsia" w:ascii="楷体" w:hAnsi="楷体" w:eastAsia="楷体" w:cs="楷体"/>
          <w:sz w:val="22"/>
          <w:szCs w:val="20"/>
        </w:rPr>
        <w:fldChar w:fldCharType="separate"/>
      </w:r>
      <w:r>
        <w:rPr>
          <w:rFonts w:hint="eastAsia" w:ascii="楷体" w:hAnsi="楷体" w:eastAsia="楷体" w:cs="楷体"/>
          <w:sz w:val="22"/>
          <w:szCs w:val="20"/>
        </w:rPr>
        <w:t>57</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_Toc16189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5． 发挥自贸港优势，打造优质热带水果出口基地</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_Toc16189 \h </w:instrText>
      </w:r>
      <w:r>
        <w:rPr>
          <w:rFonts w:hint="eastAsia" w:ascii="楷体" w:hAnsi="楷体" w:eastAsia="楷体" w:cs="楷体"/>
          <w:sz w:val="22"/>
          <w:szCs w:val="20"/>
        </w:rPr>
        <w:fldChar w:fldCharType="separate"/>
      </w:r>
      <w:r>
        <w:rPr>
          <w:rFonts w:hint="eastAsia" w:ascii="楷体" w:hAnsi="楷体" w:eastAsia="楷体" w:cs="楷体"/>
          <w:sz w:val="22"/>
          <w:szCs w:val="20"/>
        </w:rPr>
        <w:t>58</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_Toc32228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6． 发展现代化畜禽养殖和实验动物养殖，形成特色养殖产业</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_Toc32228 \h </w:instrText>
      </w:r>
      <w:r>
        <w:rPr>
          <w:rFonts w:hint="eastAsia" w:ascii="楷体" w:hAnsi="楷体" w:eastAsia="楷体" w:cs="楷体"/>
          <w:sz w:val="22"/>
          <w:szCs w:val="20"/>
        </w:rPr>
        <w:fldChar w:fldCharType="separate"/>
      </w:r>
      <w:r>
        <w:rPr>
          <w:rFonts w:hint="eastAsia" w:ascii="楷体" w:hAnsi="楷体" w:eastAsia="楷体" w:cs="楷体"/>
          <w:sz w:val="22"/>
          <w:szCs w:val="20"/>
        </w:rPr>
        <w:t>59</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_Toc14395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7． 鼓励农业信息化示范，推进5G+农业项目在崖州率先落地</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_Toc14395 \h </w:instrText>
      </w:r>
      <w:r>
        <w:rPr>
          <w:rFonts w:hint="eastAsia" w:ascii="楷体" w:hAnsi="楷体" w:eastAsia="楷体" w:cs="楷体"/>
          <w:sz w:val="22"/>
          <w:szCs w:val="20"/>
        </w:rPr>
        <w:fldChar w:fldCharType="separate"/>
      </w:r>
      <w:r>
        <w:rPr>
          <w:rFonts w:hint="eastAsia" w:ascii="楷体" w:hAnsi="楷体" w:eastAsia="楷体" w:cs="楷体"/>
          <w:sz w:val="22"/>
          <w:szCs w:val="20"/>
        </w:rPr>
        <w:t>59</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0"/>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_Toc14780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二、现代渔业发展路径</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_Toc14780 \h </w:instrText>
      </w:r>
      <w:r>
        <w:rPr>
          <w:rFonts w:hint="eastAsia" w:ascii="楷体" w:hAnsi="楷体" w:eastAsia="楷体" w:cs="楷体"/>
          <w:sz w:val="22"/>
          <w:szCs w:val="20"/>
        </w:rPr>
        <w:fldChar w:fldCharType="separate"/>
      </w:r>
      <w:r>
        <w:rPr>
          <w:rFonts w:hint="eastAsia" w:ascii="楷体" w:hAnsi="楷体" w:eastAsia="楷体" w:cs="楷体"/>
          <w:sz w:val="22"/>
          <w:szCs w:val="20"/>
        </w:rPr>
        <w:t>60</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_Toc10586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8． 发展工厂化循环水养殖，推进养殖业向集约、高效、生态转变</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_Toc10586 \h </w:instrText>
      </w:r>
      <w:r>
        <w:rPr>
          <w:rFonts w:hint="eastAsia" w:ascii="楷体" w:hAnsi="楷体" w:eastAsia="楷体" w:cs="楷体"/>
          <w:sz w:val="22"/>
          <w:szCs w:val="20"/>
        </w:rPr>
        <w:fldChar w:fldCharType="separate"/>
      </w:r>
      <w:r>
        <w:rPr>
          <w:rFonts w:hint="eastAsia" w:ascii="楷体" w:hAnsi="楷体" w:eastAsia="楷体" w:cs="楷体"/>
          <w:sz w:val="22"/>
          <w:szCs w:val="20"/>
        </w:rPr>
        <w:t>60</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_Toc11538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9． 推进近岸合规养殖区向生态化、现代化、集约化方向升级</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_Toc11538 \h </w:instrText>
      </w:r>
      <w:r>
        <w:rPr>
          <w:rFonts w:hint="eastAsia" w:ascii="楷体" w:hAnsi="楷体" w:eastAsia="楷体" w:cs="楷体"/>
          <w:sz w:val="22"/>
          <w:szCs w:val="20"/>
        </w:rPr>
        <w:fldChar w:fldCharType="separate"/>
      </w:r>
      <w:r>
        <w:rPr>
          <w:rFonts w:hint="eastAsia" w:ascii="楷体" w:hAnsi="楷体" w:eastAsia="楷体" w:cs="楷体"/>
          <w:sz w:val="22"/>
          <w:szCs w:val="20"/>
        </w:rPr>
        <w:t>61</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_Toc23906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10． 发展海洋牧场深水养殖，打造中心渔港基地母港，“往深海走”</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_Toc23906 \h </w:instrText>
      </w:r>
      <w:r>
        <w:rPr>
          <w:rFonts w:hint="eastAsia" w:ascii="楷体" w:hAnsi="楷体" w:eastAsia="楷体" w:cs="楷体"/>
          <w:sz w:val="22"/>
          <w:szCs w:val="20"/>
        </w:rPr>
        <w:fldChar w:fldCharType="separate"/>
      </w:r>
      <w:r>
        <w:rPr>
          <w:rFonts w:hint="eastAsia" w:ascii="楷体" w:hAnsi="楷体" w:eastAsia="楷体" w:cs="楷体"/>
          <w:sz w:val="22"/>
          <w:szCs w:val="20"/>
        </w:rPr>
        <w:t>62</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_Toc16507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11． 对接崖州湾科技城“水产种业硅谷”，发展水产苗种和特色养殖</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_Toc16507 \h </w:instrText>
      </w:r>
      <w:r>
        <w:rPr>
          <w:rFonts w:hint="eastAsia" w:ascii="楷体" w:hAnsi="楷体" w:eastAsia="楷体" w:cs="楷体"/>
          <w:sz w:val="22"/>
          <w:szCs w:val="20"/>
        </w:rPr>
        <w:fldChar w:fldCharType="separate"/>
      </w:r>
      <w:r>
        <w:rPr>
          <w:rFonts w:hint="eastAsia" w:ascii="楷体" w:hAnsi="楷体" w:eastAsia="楷体" w:cs="楷体"/>
          <w:sz w:val="22"/>
          <w:szCs w:val="20"/>
        </w:rPr>
        <w:t>63</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6"/>
        <w:tabs>
          <w:tab w:val="right" w:leader="dot" w:pos="8306"/>
        </w:tabs>
        <w:ind w:left="0" w:leftChars="0" w:firstLine="883" w:firstLineChars="400"/>
        <w:rPr>
          <w:rFonts w:hint="eastAsia" w:ascii="楷体" w:hAnsi="楷体" w:eastAsia="楷体" w:cs="楷体"/>
          <w:b/>
          <w:bCs/>
          <w:color w:val="auto"/>
          <w:sz w:val="22"/>
          <w:szCs w:val="20"/>
          <w:lang w:val="en-US" w:eastAsia="zh-CN"/>
        </w:rPr>
      </w:pP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HYPERLINK \l _Toc1982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第四节  发展目标</w:t>
      </w:r>
      <w:r>
        <w:rPr>
          <w:rFonts w:hint="eastAsia" w:ascii="楷体" w:hAnsi="楷体" w:eastAsia="楷体" w:cs="楷体"/>
          <w:b/>
          <w:bCs/>
          <w:color w:val="auto"/>
          <w:sz w:val="22"/>
          <w:szCs w:val="20"/>
          <w:lang w:val="en-US" w:eastAsia="zh-CN"/>
        </w:rPr>
        <w:tab/>
      </w: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PAGEREF _Toc1982 \h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65</w:t>
      </w:r>
      <w:r>
        <w:rPr>
          <w:rFonts w:hint="eastAsia" w:ascii="楷体" w:hAnsi="楷体" w:eastAsia="楷体" w:cs="楷体"/>
          <w:b/>
          <w:bCs/>
          <w:color w:val="auto"/>
          <w:sz w:val="22"/>
          <w:szCs w:val="20"/>
          <w:lang w:val="en-US" w:eastAsia="zh-CN"/>
        </w:rPr>
        <w:fldChar w:fldCharType="end"/>
      </w:r>
      <w:r>
        <w:rPr>
          <w:rFonts w:hint="eastAsia" w:ascii="楷体" w:hAnsi="楷体" w:eastAsia="楷体" w:cs="楷体"/>
          <w:b/>
          <w:bCs/>
          <w:color w:val="auto"/>
          <w:sz w:val="22"/>
          <w:szCs w:val="20"/>
          <w:lang w:val="en-US" w:eastAsia="zh-CN"/>
        </w:rPr>
        <w:fldChar w:fldCharType="end"/>
      </w:r>
    </w:p>
    <w:p>
      <w:pPr>
        <w:pStyle w:val="10"/>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_Toc14908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一、细分领域</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_Toc14908 \h </w:instrText>
      </w:r>
      <w:r>
        <w:rPr>
          <w:rFonts w:hint="eastAsia" w:ascii="楷体" w:hAnsi="楷体" w:eastAsia="楷体" w:cs="楷体"/>
          <w:sz w:val="22"/>
          <w:szCs w:val="20"/>
        </w:rPr>
        <w:fldChar w:fldCharType="separate"/>
      </w:r>
      <w:r>
        <w:rPr>
          <w:rFonts w:hint="eastAsia" w:ascii="楷体" w:hAnsi="楷体" w:eastAsia="楷体" w:cs="楷体"/>
          <w:sz w:val="22"/>
          <w:szCs w:val="20"/>
        </w:rPr>
        <w:t>65</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0"/>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_Toc15390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二、发展目标</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_Toc15390 \h </w:instrText>
      </w:r>
      <w:r>
        <w:rPr>
          <w:rFonts w:hint="eastAsia" w:ascii="楷体" w:hAnsi="楷体" w:eastAsia="楷体" w:cs="楷体"/>
          <w:sz w:val="22"/>
          <w:szCs w:val="20"/>
        </w:rPr>
        <w:fldChar w:fldCharType="separate"/>
      </w:r>
      <w:r>
        <w:rPr>
          <w:rFonts w:hint="eastAsia" w:ascii="楷体" w:hAnsi="楷体" w:eastAsia="楷体" w:cs="楷体"/>
          <w:sz w:val="22"/>
          <w:szCs w:val="20"/>
        </w:rPr>
        <w:t>66</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6"/>
        <w:tabs>
          <w:tab w:val="right" w:leader="dot" w:pos="8306"/>
        </w:tabs>
        <w:ind w:left="0" w:leftChars="0" w:firstLine="883" w:firstLineChars="400"/>
        <w:rPr>
          <w:rFonts w:hint="eastAsia" w:ascii="楷体" w:hAnsi="楷体" w:eastAsia="楷体" w:cs="楷体"/>
          <w:b/>
          <w:bCs/>
          <w:color w:val="auto"/>
          <w:sz w:val="22"/>
          <w:szCs w:val="20"/>
          <w:lang w:val="en-US" w:eastAsia="zh-CN"/>
        </w:rPr>
      </w:pP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HYPERLINK \l _Toc5078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第五节  产业布局</w:t>
      </w:r>
      <w:r>
        <w:rPr>
          <w:rFonts w:hint="eastAsia" w:ascii="楷体" w:hAnsi="楷体" w:eastAsia="楷体" w:cs="楷体"/>
          <w:b/>
          <w:bCs/>
          <w:color w:val="auto"/>
          <w:sz w:val="22"/>
          <w:szCs w:val="20"/>
          <w:lang w:val="en-US" w:eastAsia="zh-CN"/>
        </w:rPr>
        <w:tab/>
      </w: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PAGEREF _Toc5078 \h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68</w:t>
      </w:r>
      <w:r>
        <w:rPr>
          <w:rFonts w:hint="eastAsia" w:ascii="楷体" w:hAnsi="楷体" w:eastAsia="楷体" w:cs="楷体"/>
          <w:b/>
          <w:bCs/>
          <w:color w:val="auto"/>
          <w:sz w:val="22"/>
          <w:szCs w:val="20"/>
          <w:lang w:val="en-US" w:eastAsia="zh-CN"/>
        </w:rPr>
        <w:fldChar w:fldCharType="end"/>
      </w:r>
      <w:r>
        <w:rPr>
          <w:rFonts w:hint="eastAsia" w:ascii="楷体" w:hAnsi="楷体" w:eastAsia="楷体" w:cs="楷体"/>
          <w:b/>
          <w:bCs/>
          <w:color w:val="auto"/>
          <w:sz w:val="22"/>
          <w:szCs w:val="20"/>
          <w:lang w:val="en-US" w:eastAsia="zh-CN"/>
        </w:rPr>
        <w:fldChar w:fldCharType="end"/>
      </w:r>
    </w:p>
    <w:p>
      <w:pPr>
        <w:pStyle w:val="10"/>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_Toc14405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一、热带农业布局</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_Toc14405 \h </w:instrText>
      </w:r>
      <w:r>
        <w:rPr>
          <w:rFonts w:hint="eastAsia" w:ascii="楷体" w:hAnsi="楷体" w:eastAsia="楷体" w:cs="楷体"/>
          <w:sz w:val="22"/>
          <w:szCs w:val="20"/>
        </w:rPr>
        <w:fldChar w:fldCharType="separate"/>
      </w:r>
      <w:r>
        <w:rPr>
          <w:rFonts w:hint="eastAsia" w:ascii="楷体" w:hAnsi="楷体" w:eastAsia="楷体" w:cs="楷体"/>
          <w:sz w:val="22"/>
          <w:szCs w:val="20"/>
        </w:rPr>
        <w:t>68</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0"/>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_Toc15648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二、现代渔业布局</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_Toc15648 \h </w:instrText>
      </w:r>
      <w:r>
        <w:rPr>
          <w:rFonts w:hint="eastAsia" w:ascii="楷体" w:hAnsi="楷体" w:eastAsia="楷体" w:cs="楷体"/>
          <w:sz w:val="22"/>
          <w:szCs w:val="20"/>
        </w:rPr>
        <w:fldChar w:fldCharType="separate"/>
      </w:r>
      <w:r>
        <w:rPr>
          <w:rFonts w:hint="eastAsia" w:ascii="楷体" w:hAnsi="楷体" w:eastAsia="楷体" w:cs="楷体"/>
          <w:sz w:val="22"/>
          <w:szCs w:val="20"/>
        </w:rPr>
        <w:t>70</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6"/>
        <w:tabs>
          <w:tab w:val="right" w:leader="dot" w:pos="8306"/>
        </w:tabs>
        <w:ind w:left="0" w:leftChars="0" w:firstLine="883" w:firstLineChars="400"/>
        <w:rPr>
          <w:rFonts w:hint="eastAsia" w:ascii="楷体" w:hAnsi="楷体" w:eastAsia="楷体" w:cs="楷体"/>
          <w:b/>
          <w:bCs/>
          <w:color w:val="auto"/>
          <w:sz w:val="22"/>
          <w:szCs w:val="20"/>
          <w:lang w:val="en-US" w:eastAsia="zh-CN"/>
        </w:rPr>
      </w:pP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HYPERLINK \l _Toc14666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第六节  项目策划</w:t>
      </w:r>
      <w:r>
        <w:rPr>
          <w:rFonts w:hint="eastAsia" w:ascii="楷体" w:hAnsi="楷体" w:eastAsia="楷体" w:cs="楷体"/>
          <w:b/>
          <w:bCs/>
          <w:color w:val="auto"/>
          <w:sz w:val="22"/>
          <w:szCs w:val="20"/>
          <w:lang w:val="en-US" w:eastAsia="zh-CN"/>
        </w:rPr>
        <w:tab/>
      </w: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PAGEREF _Toc14666 \h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72</w:t>
      </w:r>
      <w:r>
        <w:rPr>
          <w:rFonts w:hint="eastAsia" w:ascii="楷体" w:hAnsi="楷体" w:eastAsia="楷体" w:cs="楷体"/>
          <w:b/>
          <w:bCs/>
          <w:color w:val="auto"/>
          <w:sz w:val="22"/>
          <w:szCs w:val="20"/>
          <w:lang w:val="en-US" w:eastAsia="zh-CN"/>
        </w:rPr>
        <w:fldChar w:fldCharType="end"/>
      </w:r>
      <w:r>
        <w:rPr>
          <w:rFonts w:hint="eastAsia" w:ascii="楷体" w:hAnsi="楷体" w:eastAsia="楷体" w:cs="楷体"/>
          <w:b/>
          <w:bCs/>
          <w:color w:val="auto"/>
          <w:sz w:val="22"/>
          <w:szCs w:val="20"/>
          <w:lang w:val="en-US" w:eastAsia="zh-CN"/>
        </w:rPr>
        <w:fldChar w:fldCharType="end"/>
      </w:r>
    </w:p>
    <w:p>
      <w:pPr>
        <w:pStyle w:val="10"/>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_Toc16647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一、热带农业项目策划</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_Toc16647 \h </w:instrText>
      </w:r>
      <w:r>
        <w:rPr>
          <w:rFonts w:hint="eastAsia" w:ascii="楷体" w:hAnsi="楷体" w:eastAsia="楷体" w:cs="楷体"/>
          <w:sz w:val="22"/>
          <w:szCs w:val="20"/>
        </w:rPr>
        <w:fldChar w:fldCharType="separate"/>
      </w:r>
      <w:r>
        <w:rPr>
          <w:rFonts w:hint="eastAsia" w:ascii="楷体" w:hAnsi="楷体" w:eastAsia="楷体" w:cs="楷体"/>
          <w:sz w:val="22"/>
          <w:szCs w:val="20"/>
        </w:rPr>
        <w:t>72</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0"/>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_Toc8144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二、现代渔业项目策划</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_Toc8144 \h </w:instrText>
      </w:r>
      <w:r>
        <w:rPr>
          <w:rFonts w:hint="eastAsia" w:ascii="楷体" w:hAnsi="楷体" w:eastAsia="楷体" w:cs="楷体"/>
          <w:sz w:val="22"/>
          <w:szCs w:val="20"/>
        </w:rPr>
        <w:fldChar w:fldCharType="separate"/>
      </w:r>
      <w:r>
        <w:rPr>
          <w:rFonts w:hint="eastAsia" w:ascii="楷体" w:hAnsi="楷体" w:eastAsia="楷体" w:cs="楷体"/>
          <w:sz w:val="22"/>
          <w:szCs w:val="20"/>
        </w:rPr>
        <w:t>75</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6"/>
        <w:tabs>
          <w:tab w:val="right" w:leader="dot" w:pos="8306"/>
        </w:tabs>
        <w:ind w:left="0" w:leftChars="0" w:firstLine="883" w:firstLineChars="400"/>
        <w:rPr>
          <w:rFonts w:hint="eastAsia" w:ascii="楷体" w:hAnsi="楷体" w:eastAsia="楷体" w:cs="楷体"/>
          <w:b/>
          <w:bCs/>
          <w:color w:val="auto"/>
          <w:sz w:val="22"/>
          <w:szCs w:val="20"/>
          <w:lang w:val="en-US" w:eastAsia="zh-CN"/>
        </w:rPr>
      </w:pP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HYPERLINK \l _Toc8551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第七节  招商建议</w:t>
      </w:r>
      <w:r>
        <w:rPr>
          <w:rFonts w:hint="eastAsia" w:ascii="楷体" w:hAnsi="楷体" w:eastAsia="楷体" w:cs="楷体"/>
          <w:b/>
          <w:bCs/>
          <w:color w:val="auto"/>
          <w:sz w:val="22"/>
          <w:szCs w:val="20"/>
          <w:lang w:val="en-US" w:eastAsia="zh-CN"/>
        </w:rPr>
        <w:tab/>
      </w: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PAGEREF _Toc8551 \h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77</w:t>
      </w:r>
      <w:r>
        <w:rPr>
          <w:rFonts w:hint="eastAsia" w:ascii="楷体" w:hAnsi="楷体" w:eastAsia="楷体" w:cs="楷体"/>
          <w:b/>
          <w:bCs/>
          <w:color w:val="auto"/>
          <w:sz w:val="22"/>
          <w:szCs w:val="20"/>
          <w:lang w:val="en-US" w:eastAsia="zh-CN"/>
        </w:rPr>
        <w:fldChar w:fldCharType="end"/>
      </w:r>
      <w:r>
        <w:rPr>
          <w:rFonts w:hint="eastAsia" w:ascii="楷体" w:hAnsi="楷体" w:eastAsia="楷体" w:cs="楷体"/>
          <w:b/>
          <w:bCs/>
          <w:color w:val="auto"/>
          <w:sz w:val="22"/>
          <w:szCs w:val="20"/>
          <w:lang w:val="en-US" w:eastAsia="zh-CN"/>
        </w:rPr>
        <w:fldChar w:fldCharType="end"/>
      </w:r>
    </w:p>
    <w:p>
      <w:pPr>
        <w:pStyle w:val="10"/>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_Toc765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一、热带农业招商建议</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_Toc765 \h </w:instrText>
      </w:r>
      <w:r>
        <w:rPr>
          <w:rFonts w:hint="eastAsia" w:ascii="楷体" w:hAnsi="楷体" w:eastAsia="楷体" w:cs="楷体"/>
          <w:sz w:val="22"/>
          <w:szCs w:val="20"/>
        </w:rPr>
        <w:fldChar w:fldCharType="separate"/>
      </w:r>
      <w:r>
        <w:rPr>
          <w:rFonts w:hint="eastAsia" w:ascii="楷体" w:hAnsi="楷体" w:eastAsia="楷体" w:cs="楷体"/>
          <w:sz w:val="22"/>
          <w:szCs w:val="20"/>
        </w:rPr>
        <w:t>77</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0"/>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_Toc10910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二、现代渔业招商建议</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_Toc10910 \h </w:instrText>
      </w:r>
      <w:r>
        <w:rPr>
          <w:rFonts w:hint="eastAsia" w:ascii="楷体" w:hAnsi="楷体" w:eastAsia="楷体" w:cs="楷体"/>
          <w:sz w:val="22"/>
          <w:szCs w:val="20"/>
        </w:rPr>
        <w:fldChar w:fldCharType="separate"/>
      </w:r>
      <w:r>
        <w:rPr>
          <w:rFonts w:hint="eastAsia" w:ascii="楷体" w:hAnsi="楷体" w:eastAsia="楷体" w:cs="楷体"/>
          <w:sz w:val="22"/>
          <w:szCs w:val="20"/>
        </w:rPr>
        <w:t>80</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3"/>
        <w:tabs>
          <w:tab w:val="right" w:leader="dot" w:pos="8306"/>
        </w:tabs>
        <w:ind w:left="0" w:leftChars="0" w:firstLine="0" w:firstLineChars="0"/>
        <w:rPr>
          <w:rFonts w:hint="eastAsia" w:ascii="黑体" w:hAnsi="黑体" w:eastAsia="黑体" w:cs="黑体"/>
          <w:b w:val="0"/>
          <w:bCs w:val="0"/>
          <w:color w:val="auto"/>
          <w:sz w:val="24"/>
          <w:szCs w:val="21"/>
          <w:lang w:val="en-US" w:eastAsia="zh-CN"/>
        </w:rPr>
      </w:pPr>
      <w:r>
        <w:rPr>
          <w:rFonts w:hint="eastAsia" w:ascii="黑体" w:hAnsi="黑体" w:eastAsia="黑体" w:cs="黑体"/>
          <w:b w:val="0"/>
          <w:bCs w:val="0"/>
          <w:color w:val="auto"/>
          <w:sz w:val="24"/>
          <w:szCs w:val="21"/>
          <w:lang w:val="en-US" w:eastAsia="zh-CN"/>
        </w:rPr>
        <w:fldChar w:fldCharType="begin"/>
      </w:r>
      <w:r>
        <w:rPr>
          <w:rFonts w:hint="eastAsia" w:ascii="黑体" w:hAnsi="黑体" w:eastAsia="黑体" w:cs="黑体"/>
          <w:b w:val="0"/>
          <w:bCs w:val="0"/>
          <w:color w:val="auto"/>
          <w:sz w:val="24"/>
          <w:szCs w:val="21"/>
          <w:lang w:val="en-US" w:eastAsia="zh-CN"/>
        </w:rPr>
        <w:instrText xml:space="preserve"> HYPERLINK \l _Toc4157 </w:instrText>
      </w:r>
      <w:r>
        <w:rPr>
          <w:rFonts w:hint="eastAsia" w:ascii="黑体" w:hAnsi="黑体" w:eastAsia="黑体" w:cs="黑体"/>
          <w:b w:val="0"/>
          <w:bCs w:val="0"/>
          <w:color w:val="auto"/>
          <w:sz w:val="24"/>
          <w:szCs w:val="21"/>
          <w:lang w:val="en-US" w:eastAsia="zh-CN"/>
        </w:rPr>
        <w:fldChar w:fldCharType="separate"/>
      </w:r>
      <w:r>
        <w:rPr>
          <w:rFonts w:hint="eastAsia" w:ascii="黑体" w:hAnsi="黑体" w:eastAsia="黑体" w:cs="黑体"/>
          <w:b w:val="0"/>
          <w:bCs w:val="0"/>
          <w:color w:val="auto"/>
          <w:sz w:val="24"/>
          <w:szCs w:val="21"/>
          <w:lang w:val="en-US" w:eastAsia="zh-CN"/>
        </w:rPr>
        <w:t>第四章  第二产业</w:t>
      </w:r>
      <w:r>
        <w:rPr>
          <w:rFonts w:hint="eastAsia" w:ascii="黑体" w:hAnsi="黑体" w:eastAsia="黑体" w:cs="黑体"/>
          <w:b w:val="0"/>
          <w:bCs w:val="0"/>
          <w:color w:val="auto"/>
          <w:sz w:val="24"/>
          <w:szCs w:val="21"/>
          <w:lang w:val="en-US" w:eastAsia="zh-CN"/>
        </w:rPr>
        <w:tab/>
      </w:r>
      <w:r>
        <w:rPr>
          <w:rFonts w:hint="eastAsia" w:ascii="黑体" w:hAnsi="黑体" w:eastAsia="黑体" w:cs="黑体"/>
          <w:b w:val="0"/>
          <w:bCs w:val="0"/>
          <w:color w:val="auto"/>
          <w:sz w:val="24"/>
          <w:szCs w:val="21"/>
          <w:lang w:val="en-US" w:eastAsia="zh-CN"/>
        </w:rPr>
        <w:fldChar w:fldCharType="begin"/>
      </w:r>
      <w:r>
        <w:rPr>
          <w:rFonts w:hint="eastAsia" w:ascii="黑体" w:hAnsi="黑体" w:eastAsia="黑体" w:cs="黑体"/>
          <w:b w:val="0"/>
          <w:bCs w:val="0"/>
          <w:color w:val="auto"/>
          <w:sz w:val="24"/>
          <w:szCs w:val="21"/>
          <w:lang w:val="en-US" w:eastAsia="zh-CN"/>
        </w:rPr>
        <w:instrText xml:space="preserve"> PAGEREF _Toc4157 \h </w:instrText>
      </w:r>
      <w:r>
        <w:rPr>
          <w:rFonts w:hint="eastAsia" w:ascii="黑体" w:hAnsi="黑体" w:eastAsia="黑体" w:cs="黑体"/>
          <w:b w:val="0"/>
          <w:bCs w:val="0"/>
          <w:color w:val="auto"/>
          <w:sz w:val="24"/>
          <w:szCs w:val="21"/>
          <w:lang w:val="en-US" w:eastAsia="zh-CN"/>
        </w:rPr>
        <w:fldChar w:fldCharType="separate"/>
      </w:r>
      <w:r>
        <w:rPr>
          <w:rFonts w:hint="eastAsia" w:ascii="黑体" w:hAnsi="黑体" w:eastAsia="黑体" w:cs="黑体"/>
          <w:b w:val="0"/>
          <w:bCs w:val="0"/>
          <w:color w:val="auto"/>
          <w:sz w:val="24"/>
          <w:szCs w:val="21"/>
          <w:lang w:val="en-US" w:eastAsia="zh-CN"/>
        </w:rPr>
        <w:t>84</w:t>
      </w:r>
      <w:r>
        <w:rPr>
          <w:rFonts w:hint="eastAsia" w:ascii="黑体" w:hAnsi="黑体" w:eastAsia="黑体" w:cs="黑体"/>
          <w:b w:val="0"/>
          <w:bCs w:val="0"/>
          <w:color w:val="auto"/>
          <w:sz w:val="24"/>
          <w:szCs w:val="21"/>
          <w:lang w:val="en-US" w:eastAsia="zh-CN"/>
        </w:rPr>
        <w:fldChar w:fldCharType="end"/>
      </w:r>
      <w:r>
        <w:rPr>
          <w:rFonts w:hint="eastAsia" w:ascii="黑体" w:hAnsi="黑体" w:eastAsia="黑体" w:cs="黑体"/>
          <w:b w:val="0"/>
          <w:bCs w:val="0"/>
          <w:color w:val="auto"/>
          <w:sz w:val="24"/>
          <w:szCs w:val="21"/>
          <w:lang w:val="en-US" w:eastAsia="zh-CN"/>
        </w:rPr>
        <w:fldChar w:fldCharType="end"/>
      </w:r>
    </w:p>
    <w:p>
      <w:pPr>
        <w:pStyle w:val="16"/>
        <w:tabs>
          <w:tab w:val="right" w:leader="dot" w:pos="8306"/>
        </w:tabs>
        <w:ind w:left="0" w:leftChars="0" w:firstLine="883" w:firstLineChars="400"/>
        <w:rPr>
          <w:rFonts w:hint="eastAsia" w:ascii="楷体" w:hAnsi="楷体" w:eastAsia="楷体" w:cs="楷体"/>
          <w:b/>
          <w:bCs/>
          <w:color w:val="auto"/>
          <w:sz w:val="22"/>
          <w:szCs w:val="20"/>
          <w:lang w:val="en-US" w:eastAsia="zh-CN"/>
        </w:rPr>
      </w:pP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HYPERLINK \l _Toc17609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第一节  自贸港政策解读</w:t>
      </w:r>
      <w:r>
        <w:rPr>
          <w:rFonts w:hint="eastAsia" w:ascii="楷体" w:hAnsi="楷体" w:eastAsia="楷体" w:cs="楷体"/>
          <w:b/>
          <w:bCs/>
          <w:color w:val="auto"/>
          <w:sz w:val="22"/>
          <w:szCs w:val="20"/>
          <w:lang w:val="en-US" w:eastAsia="zh-CN"/>
        </w:rPr>
        <w:tab/>
      </w: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PAGEREF _Toc17609 \h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85</w:t>
      </w:r>
      <w:r>
        <w:rPr>
          <w:rFonts w:hint="eastAsia" w:ascii="楷体" w:hAnsi="楷体" w:eastAsia="楷体" w:cs="楷体"/>
          <w:b/>
          <w:bCs/>
          <w:color w:val="auto"/>
          <w:sz w:val="22"/>
          <w:szCs w:val="20"/>
          <w:lang w:val="en-US" w:eastAsia="zh-CN"/>
        </w:rPr>
        <w:fldChar w:fldCharType="end"/>
      </w:r>
      <w:r>
        <w:rPr>
          <w:rFonts w:hint="eastAsia" w:ascii="楷体" w:hAnsi="楷体" w:eastAsia="楷体" w:cs="楷体"/>
          <w:b/>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_Toc17943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1． 建立开放型经济体系</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_Toc17943 \h </w:instrText>
      </w:r>
      <w:r>
        <w:rPr>
          <w:rFonts w:hint="eastAsia" w:ascii="楷体" w:hAnsi="楷体" w:eastAsia="楷体" w:cs="楷体"/>
          <w:sz w:val="22"/>
          <w:szCs w:val="20"/>
        </w:rPr>
        <w:fldChar w:fldCharType="separate"/>
      </w:r>
      <w:r>
        <w:rPr>
          <w:rFonts w:hint="eastAsia" w:ascii="楷体" w:hAnsi="楷体" w:eastAsia="楷体" w:cs="楷体"/>
          <w:sz w:val="22"/>
          <w:szCs w:val="20"/>
        </w:rPr>
        <w:t>85</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_Toc14280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2． 吸引企业和人才进入</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_Toc14280 \h </w:instrText>
      </w:r>
      <w:r>
        <w:rPr>
          <w:rFonts w:hint="eastAsia" w:ascii="楷体" w:hAnsi="楷体" w:eastAsia="楷体" w:cs="楷体"/>
          <w:sz w:val="22"/>
          <w:szCs w:val="20"/>
        </w:rPr>
        <w:fldChar w:fldCharType="separate"/>
      </w:r>
      <w:r>
        <w:rPr>
          <w:rFonts w:hint="eastAsia" w:ascii="楷体" w:hAnsi="楷体" w:eastAsia="楷体" w:cs="楷体"/>
          <w:sz w:val="22"/>
          <w:szCs w:val="20"/>
        </w:rPr>
        <w:t>85</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_Toc19095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3． 鼓励发展制造业</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_Toc19095 \h </w:instrText>
      </w:r>
      <w:r>
        <w:rPr>
          <w:rFonts w:hint="eastAsia" w:ascii="楷体" w:hAnsi="楷体" w:eastAsia="楷体" w:cs="楷体"/>
          <w:sz w:val="22"/>
          <w:szCs w:val="20"/>
        </w:rPr>
        <w:fldChar w:fldCharType="separate"/>
      </w:r>
      <w:r>
        <w:rPr>
          <w:rFonts w:hint="eastAsia" w:ascii="楷体" w:hAnsi="楷体" w:eastAsia="楷体" w:cs="楷体"/>
          <w:sz w:val="22"/>
          <w:szCs w:val="20"/>
        </w:rPr>
        <w:t>85</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6"/>
        <w:tabs>
          <w:tab w:val="right" w:leader="dot" w:pos="8306"/>
        </w:tabs>
        <w:ind w:left="0" w:leftChars="0" w:firstLine="883" w:firstLineChars="400"/>
        <w:rPr>
          <w:rFonts w:hint="eastAsia" w:ascii="楷体" w:hAnsi="楷体" w:eastAsia="楷体" w:cs="楷体"/>
          <w:b/>
          <w:bCs/>
          <w:color w:val="auto"/>
          <w:sz w:val="22"/>
          <w:szCs w:val="20"/>
          <w:lang w:val="en-US" w:eastAsia="zh-CN"/>
        </w:rPr>
      </w:pP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HYPERLINK \l _Toc16504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第二节  发展条件分析</w:t>
      </w:r>
      <w:r>
        <w:rPr>
          <w:rFonts w:hint="eastAsia" w:ascii="楷体" w:hAnsi="楷体" w:eastAsia="楷体" w:cs="楷体"/>
          <w:b/>
          <w:bCs/>
          <w:color w:val="auto"/>
          <w:sz w:val="22"/>
          <w:szCs w:val="20"/>
          <w:lang w:val="en-US" w:eastAsia="zh-CN"/>
        </w:rPr>
        <w:tab/>
      </w: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PAGEREF _Toc16504 \h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86</w:t>
      </w:r>
      <w:r>
        <w:rPr>
          <w:rFonts w:hint="eastAsia" w:ascii="楷体" w:hAnsi="楷体" w:eastAsia="楷体" w:cs="楷体"/>
          <w:b/>
          <w:bCs/>
          <w:color w:val="auto"/>
          <w:sz w:val="22"/>
          <w:szCs w:val="20"/>
          <w:lang w:val="en-US" w:eastAsia="zh-CN"/>
        </w:rPr>
        <w:fldChar w:fldCharType="end"/>
      </w:r>
      <w:r>
        <w:rPr>
          <w:rFonts w:hint="eastAsia" w:ascii="楷体" w:hAnsi="楷体" w:eastAsia="楷体" w:cs="楷体"/>
          <w:b/>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_Toc25114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1． 第二产业建筑业为主、工业为辅，建筑业受调控影响明显</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_Toc25114 \h </w:instrText>
      </w:r>
      <w:r>
        <w:rPr>
          <w:rFonts w:hint="eastAsia" w:ascii="楷体" w:hAnsi="楷体" w:eastAsia="楷体" w:cs="楷体"/>
          <w:sz w:val="22"/>
          <w:szCs w:val="20"/>
        </w:rPr>
        <w:fldChar w:fldCharType="separate"/>
      </w:r>
      <w:r>
        <w:rPr>
          <w:rFonts w:hint="eastAsia" w:ascii="楷体" w:hAnsi="楷体" w:eastAsia="楷体" w:cs="楷体"/>
          <w:sz w:val="22"/>
          <w:szCs w:val="20"/>
        </w:rPr>
        <w:t>86</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_Toc2256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2． 农产品加工和开发不足，茂盛的草原见不到“纳税奶牛”</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_Toc2256 \h </w:instrText>
      </w:r>
      <w:r>
        <w:rPr>
          <w:rFonts w:hint="eastAsia" w:ascii="楷体" w:hAnsi="楷体" w:eastAsia="楷体" w:cs="楷体"/>
          <w:sz w:val="22"/>
          <w:szCs w:val="20"/>
        </w:rPr>
        <w:fldChar w:fldCharType="separate"/>
      </w:r>
      <w:r>
        <w:rPr>
          <w:rFonts w:hint="eastAsia" w:ascii="楷体" w:hAnsi="楷体" w:eastAsia="楷体" w:cs="楷体"/>
          <w:sz w:val="22"/>
          <w:szCs w:val="20"/>
        </w:rPr>
        <w:t>86</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_Toc29065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3． “无农不稳、无工不富”，崖州应补上制造业这门功课</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_Toc29065 \h </w:instrText>
      </w:r>
      <w:r>
        <w:rPr>
          <w:rFonts w:hint="eastAsia" w:ascii="楷体" w:hAnsi="楷体" w:eastAsia="楷体" w:cs="楷体"/>
          <w:sz w:val="22"/>
          <w:szCs w:val="20"/>
        </w:rPr>
        <w:fldChar w:fldCharType="separate"/>
      </w:r>
      <w:r>
        <w:rPr>
          <w:rFonts w:hint="eastAsia" w:ascii="楷体" w:hAnsi="楷体" w:eastAsia="楷体" w:cs="楷体"/>
          <w:sz w:val="22"/>
          <w:szCs w:val="20"/>
        </w:rPr>
        <w:t>87</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6"/>
        <w:tabs>
          <w:tab w:val="right" w:leader="dot" w:pos="8306"/>
        </w:tabs>
        <w:ind w:left="0" w:leftChars="0" w:firstLine="883" w:firstLineChars="400"/>
        <w:rPr>
          <w:rFonts w:hint="eastAsia" w:ascii="楷体" w:hAnsi="楷体" w:eastAsia="楷体" w:cs="楷体"/>
          <w:b/>
          <w:bCs/>
          <w:color w:val="auto"/>
          <w:sz w:val="22"/>
          <w:szCs w:val="20"/>
          <w:lang w:val="en-US" w:eastAsia="zh-CN"/>
        </w:rPr>
      </w:pP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HYPERLINK \l _Toc25020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第三节  发展路径</w:t>
      </w:r>
      <w:r>
        <w:rPr>
          <w:rFonts w:hint="eastAsia" w:ascii="楷体" w:hAnsi="楷体" w:eastAsia="楷体" w:cs="楷体"/>
          <w:b/>
          <w:bCs/>
          <w:color w:val="auto"/>
          <w:sz w:val="22"/>
          <w:szCs w:val="20"/>
          <w:lang w:val="en-US" w:eastAsia="zh-CN"/>
        </w:rPr>
        <w:tab/>
      </w: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PAGEREF _Toc25020 \h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88</w:t>
      </w:r>
      <w:r>
        <w:rPr>
          <w:rFonts w:hint="eastAsia" w:ascii="楷体" w:hAnsi="楷体" w:eastAsia="楷体" w:cs="楷体"/>
          <w:b/>
          <w:bCs/>
          <w:color w:val="auto"/>
          <w:sz w:val="22"/>
          <w:szCs w:val="20"/>
          <w:lang w:val="en-US" w:eastAsia="zh-CN"/>
        </w:rPr>
        <w:fldChar w:fldCharType="end"/>
      </w:r>
      <w:r>
        <w:rPr>
          <w:rFonts w:hint="eastAsia" w:ascii="楷体" w:hAnsi="楷体" w:eastAsia="楷体" w:cs="楷体"/>
          <w:b/>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_Toc3900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1． 发展农产品保鲜、贮藏、加工、功能性开发等产业</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_Toc3900 \h </w:instrText>
      </w:r>
      <w:r>
        <w:rPr>
          <w:rFonts w:hint="eastAsia" w:ascii="楷体" w:hAnsi="楷体" w:eastAsia="楷体" w:cs="楷体"/>
          <w:sz w:val="22"/>
          <w:szCs w:val="20"/>
        </w:rPr>
        <w:fldChar w:fldCharType="separate"/>
      </w:r>
      <w:r>
        <w:rPr>
          <w:rFonts w:hint="eastAsia" w:ascii="楷体" w:hAnsi="楷体" w:eastAsia="楷体" w:cs="楷体"/>
          <w:sz w:val="22"/>
          <w:szCs w:val="20"/>
        </w:rPr>
        <w:t>88</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_Toc21734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2． 发展水产品初加工、精深加工、新产品开发等产业</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_Toc21734 \h </w:instrText>
      </w:r>
      <w:r>
        <w:rPr>
          <w:rFonts w:hint="eastAsia" w:ascii="楷体" w:hAnsi="楷体" w:eastAsia="楷体" w:cs="楷体"/>
          <w:sz w:val="22"/>
          <w:szCs w:val="20"/>
        </w:rPr>
        <w:fldChar w:fldCharType="separate"/>
      </w:r>
      <w:r>
        <w:rPr>
          <w:rFonts w:hint="eastAsia" w:ascii="楷体" w:hAnsi="楷体" w:eastAsia="楷体" w:cs="楷体"/>
          <w:sz w:val="22"/>
          <w:szCs w:val="20"/>
        </w:rPr>
        <w:t>90</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_Toc25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3． 用好自贸港政策，积极培育发展绿色高端制造业</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_Toc25 \h </w:instrText>
      </w:r>
      <w:r>
        <w:rPr>
          <w:rFonts w:hint="eastAsia" w:ascii="楷体" w:hAnsi="楷体" w:eastAsia="楷体" w:cs="楷体"/>
          <w:sz w:val="22"/>
          <w:szCs w:val="20"/>
        </w:rPr>
        <w:fldChar w:fldCharType="separate"/>
      </w:r>
      <w:r>
        <w:rPr>
          <w:rFonts w:hint="eastAsia" w:ascii="楷体" w:hAnsi="楷体" w:eastAsia="楷体" w:cs="楷体"/>
          <w:sz w:val="22"/>
          <w:szCs w:val="20"/>
        </w:rPr>
        <w:t>91</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_Toc5594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4． 积极推动现有产业转型升级，发展绿色加工产业</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_Toc5594 \h </w:instrText>
      </w:r>
      <w:r>
        <w:rPr>
          <w:rFonts w:hint="eastAsia" w:ascii="楷体" w:hAnsi="楷体" w:eastAsia="楷体" w:cs="楷体"/>
          <w:sz w:val="22"/>
          <w:szCs w:val="20"/>
        </w:rPr>
        <w:fldChar w:fldCharType="separate"/>
      </w:r>
      <w:r>
        <w:rPr>
          <w:rFonts w:hint="eastAsia" w:ascii="楷体" w:hAnsi="楷体" w:eastAsia="楷体" w:cs="楷体"/>
          <w:sz w:val="22"/>
          <w:szCs w:val="20"/>
        </w:rPr>
        <w:t>92</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6"/>
        <w:tabs>
          <w:tab w:val="right" w:leader="dot" w:pos="8306"/>
        </w:tabs>
        <w:ind w:left="0" w:leftChars="0" w:firstLine="883" w:firstLineChars="400"/>
        <w:rPr>
          <w:rFonts w:hint="eastAsia" w:ascii="楷体" w:hAnsi="楷体" w:eastAsia="楷体" w:cs="楷体"/>
          <w:b/>
          <w:bCs/>
          <w:color w:val="auto"/>
          <w:sz w:val="22"/>
          <w:szCs w:val="20"/>
          <w:lang w:val="en-US" w:eastAsia="zh-CN"/>
        </w:rPr>
      </w:pP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HYPERLINK \l _Toc10938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第四节  发展目标</w:t>
      </w:r>
      <w:r>
        <w:rPr>
          <w:rFonts w:hint="eastAsia" w:ascii="楷体" w:hAnsi="楷体" w:eastAsia="楷体" w:cs="楷体"/>
          <w:b/>
          <w:bCs/>
          <w:color w:val="auto"/>
          <w:sz w:val="22"/>
          <w:szCs w:val="20"/>
          <w:lang w:val="en-US" w:eastAsia="zh-CN"/>
        </w:rPr>
        <w:tab/>
      </w: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PAGEREF _Toc10938 \h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92</w:t>
      </w:r>
      <w:r>
        <w:rPr>
          <w:rFonts w:hint="eastAsia" w:ascii="楷体" w:hAnsi="楷体" w:eastAsia="楷体" w:cs="楷体"/>
          <w:b/>
          <w:bCs/>
          <w:color w:val="auto"/>
          <w:sz w:val="22"/>
          <w:szCs w:val="20"/>
          <w:lang w:val="en-US" w:eastAsia="zh-CN"/>
        </w:rPr>
        <w:fldChar w:fldCharType="end"/>
      </w:r>
      <w:r>
        <w:rPr>
          <w:rFonts w:hint="eastAsia" w:ascii="楷体" w:hAnsi="楷体" w:eastAsia="楷体" w:cs="楷体"/>
          <w:b/>
          <w:bCs/>
          <w:color w:val="auto"/>
          <w:sz w:val="22"/>
          <w:szCs w:val="20"/>
          <w:lang w:val="en-US" w:eastAsia="zh-CN"/>
        </w:rPr>
        <w:fldChar w:fldCharType="end"/>
      </w:r>
    </w:p>
    <w:p>
      <w:pPr>
        <w:pStyle w:val="10"/>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_Toc21792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一、细分领域</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_Toc21792 \h </w:instrText>
      </w:r>
      <w:r>
        <w:rPr>
          <w:rFonts w:hint="eastAsia" w:ascii="楷体" w:hAnsi="楷体" w:eastAsia="楷体" w:cs="楷体"/>
          <w:sz w:val="22"/>
          <w:szCs w:val="20"/>
        </w:rPr>
        <w:fldChar w:fldCharType="separate"/>
      </w:r>
      <w:r>
        <w:rPr>
          <w:rFonts w:hint="eastAsia" w:ascii="楷体" w:hAnsi="楷体" w:eastAsia="楷体" w:cs="楷体"/>
          <w:sz w:val="22"/>
          <w:szCs w:val="20"/>
        </w:rPr>
        <w:t>92</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0"/>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_Toc6291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二、发展目标</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_Toc6291 \h </w:instrText>
      </w:r>
      <w:r>
        <w:rPr>
          <w:rFonts w:hint="eastAsia" w:ascii="楷体" w:hAnsi="楷体" w:eastAsia="楷体" w:cs="楷体"/>
          <w:sz w:val="22"/>
          <w:szCs w:val="20"/>
        </w:rPr>
        <w:fldChar w:fldCharType="separate"/>
      </w:r>
      <w:r>
        <w:rPr>
          <w:rFonts w:hint="eastAsia" w:ascii="楷体" w:hAnsi="楷体" w:eastAsia="楷体" w:cs="楷体"/>
          <w:sz w:val="22"/>
          <w:szCs w:val="20"/>
        </w:rPr>
        <w:t>93</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6"/>
        <w:tabs>
          <w:tab w:val="right" w:leader="dot" w:pos="8306"/>
        </w:tabs>
        <w:ind w:left="0" w:leftChars="0" w:firstLine="883" w:firstLineChars="400"/>
        <w:rPr>
          <w:rFonts w:hint="eastAsia" w:ascii="楷体" w:hAnsi="楷体" w:eastAsia="楷体" w:cs="楷体"/>
          <w:b/>
          <w:bCs/>
          <w:color w:val="auto"/>
          <w:sz w:val="22"/>
          <w:szCs w:val="20"/>
          <w:lang w:val="en-US" w:eastAsia="zh-CN"/>
        </w:rPr>
      </w:pP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HYPERLINK \l _Toc19771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第五节  产业布局</w:t>
      </w:r>
      <w:r>
        <w:rPr>
          <w:rFonts w:hint="eastAsia" w:ascii="楷体" w:hAnsi="楷体" w:eastAsia="楷体" w:cs="楷体"/>
          <w:b/>
          <w:bCs/>
          <w:color w:val="auto"/>
          <w:sz w:val="22"/>
          <w:szCs w:val="20"/>
          <w:lang w:val="en-US" w:eastAsia="zh-CN"/>
        </w:rPr>
        <w:tab/>
      </w: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PAGEREF _Toc19771 \h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95</w:t>
      </w:r>
      <w:r>
        <w:rPr>
          <w:rFonts w:hint="eastAsia" w:ascii="楷体" w:hAnsi="楷体" w:eastAsia="楷体" w:cs="楷体"/>
          <w:b/>
          <w:bCs/>
          <w:color w:val="auto"/>
          <w:sz w:val="22"/>
          <w:szCs w:val="20"/>
          <w:lang w:val="en-US" w:eastAsia="zh-CN"/>
        </w:rPr>
        <w:fldChar w:fldCharType="end"/>
      </w:r>
      <w:r>
        <w:rPr>
          <w:rFonts w:hint="eastAsia" w:ascii="楷体" w:hAnsi="楷体" w:eastAsia="楷体" w:cs="楷体"/>
          <w:b/>
          <w:bCs/>
          <w:color w:val="auto"/>
          <w:sz w:val="22"/>
          <w:szCs w:val="20"/>
          <w:lang w:val="en-US" w:eastAsia="zh-CN"/>
        </w:rPr>
        <w:fldChar w:fldCharType="end"/>
      </w:r>
    </w:p>
    <w:p>
      <w:pPr>
        <w:pStyle w:val="16"/>
        <w:tabs>
          <w:tab w:val="right" w:leader="dot" w:pos="8306"/>
        </w:tabs>
        <w:ind w:left="0" w:leftChars="0" w:firstLine="883" w:firstLineChars="400"/>
        <w:rPr>
          <w:rFonts w:hint="eastAsia" w:ascii="楷体" w:hAnsi="楷体" w:eastAsia="楷体" w:cs="楷体"/>
          <w:b/>
          <w:bCs/>
          <w:color w:val="auto"/>
          <w:sz w:val="22"/>
          <w:szCs w:val="20"/>
          <w:lang w:val="en-US" w:eastAsia="zh-CN"/>
        </w:rPr>
      </w:pP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HYPERLINK \l _Toc7534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第六节  项目策划</w:t>
      </w:r>
      <w:r>
        <w:rPr>
          <w:rFonts w:hint="eastAsia" w:ascii="楷体" w:hAnsi="楷体" w:eastAsia="楷体" w:cs="楷体"/>
          <w:b/>
          <w:bCs/>
          <w:color w:val="auto"/>
          <w:sz w:val="22"/>
          <w:szCs w:val="20"/>
          <w:lang w:val="en-US" w:eastAsia="zh-CN"/>
        </w:rPr>
        <w:tab/>
      </w: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PAGEREF _Toc7534 \h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97</w:t>
      </w:r>
      <w:r>
        <w:rPr>
          <w:rFonts w:hint="eastAsia" w:ascii="楷体" w:hAnsi="楷体" w:eastAsia="楷体" w:cs="楷体"/>
          <w:b/>
          <w:bCs/>
          <w:color w:val="auto"/>
          <w:sz w:val="22"/>
          <w:szCs w:val="20"/>
          <w:lang w:val="en-US" w:eastAsia="zh-CN"/>
        </w:rPr>
        <w:fldChar w:fldCharType="end"/>
      </w:r>
      <w:r>
        <w:rPr>
          <w:rFonts w:hint="eastAsia" w:ascii="楷体" w:hAnsi="楷体" w:eastAsia="楷体" w:cs="楷体"/>
          <w:b/>
          <w:bCs/>
          <w:color w:val="auto"/>
          <w:sz w:val="22"/>
          <w:szCs w:val="20"/>
          <w:lang w:val="en-US" w:eastAsia="zh-CN"/>
        </w:rPr>
        <w:fldChar w:fldCharType="end"/>
      </w:r>
    </w:p>
    <w:p>
      <w:pPr>
        <w:pStyle w:val="16"/>
        <w:tabs>
          <w:tab w:val="right" w:leader="dot" w:pos="8306"/>
        </w:tabs>
        <w:ind w:left="0" w:leftChars="0" w:firstLine="883" w:firstLineChars="400"/>
        <w:rPr>
          <w:rFonts w:hint="eastAsia" w:ascii="楷体" w:hAnsi="楷体" w:eastAsia="楷体" w:cs="楷体"/>
          <w:b/>
          <w:bCs/>
          <w:color w:val="auto"/>
          <w:sz w:val="22"/>
          <w:szCs w:val="20"/>
          <w:lang w:val="en-US" w:eastAsia="zh-CN"/>
        </w:rPr>
      </w:pP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HYPERLINK \l _Toc24766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第七节  招商建议</w:t>
      </w:r>
      <w:r>
        <w:rPr>
          <w:rFonts w:hint="eastAsia" w:ascii="楷体" w:hAnsi="楷体" w:eastAsia="楷体" w:cs="楷体"/>
          <w:b/>
          <w:bCs/>
          <w:color w:val="auto"/>
          <w:sz w:val="22"/>
          <w:szCs w:val="20"/>
          <w:lang w:val="en-US" w:eastAsia="zh-CN"/>
        </w:rPr>
        <w:tab/>
      </w: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PAGEREF _Toc24766 \h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99</w:t>
      </w:r>
      <w:r>
        <w:rPr>
          <w:rFonts w:hint="eastAsia" w:ascii="楷体" w:hAnsi="楷体" w:eastAsia="楷体" w:cs="楷体"/>
          <w:b/>
          <w:bCs/>
          <w:color w:val="auto"/>
          <w:sz w:val="22"/>
          <w:szCs w:val="20"/>
          <w:lang w:val="en-US" w:eastAsia="zh-CN"/>
        </w:rPr>
        <w:fldChar w:fldCharType="end"/>
      </w:r>
      <w:r>
        <w:rPr>
          <w:rFonts w:hint="eastAsia" w:ascii="楷体" w:hAnsi="楷体" w:eastAsia="楷体" w:cs="楷体"/>
          <w:b/>
          <w:bCs/>
          <w:color w:val="auto"/>
          <w:sz w:val="22"/>
          <w:szCs w:val="20"/>
          <w:lang w:val="en-US" w:eastAsia="zh-CN"/>
        </w:rPr>
        <w:fldChar w:fldCharType="end"/>
      </w:r>
    </w:p>
    <w:p>
      <w:pPr>
        <w:pStyle w:val="13"/>
        <w:tabs>
          <w:tab w:val="right" w:leader="dot" w:pos="8306"/>
        </w:tabs>
        <w:ind w:left="0" w:leftChars="0" w:firstLine="0" w:firstLineChars="0"/>
        <w:rPr>
          <w:rFonts w:hint="eastAsia" w:ascii="黑体" w:hAnsi="黑体" w:eastAsia="黑体" w:cs="黑体"/>
          <w:b w:val="0"/>
          <w:bCs w:val="0"/>
          <w:color w:val="auto"/>
          <w:sz w:val="24"/>
          <w:szCs w:val="21"/>
          <w:lang w:val="en-US" w:eastAsia="zh-CN"/>
        </w:rPr>
      </w:pPr>
      <w:r>
        <w:rPr>
          <w:rFonts w:hint="eastAsia" w:ascii="黑体" w:hAnsi="黑体" w:eastAsia="黑体" w:cs="黑体"/>
          <w:b w:val="0"/>
          <w:bCs w:val="0"/>
          <w:color w:val="auto"/>
          <w:sz w:val="24"/>
          <w:szCs w:val="21"/>
          <w:lang w:val="en-US" w:eastAsia="zh-CN"/>
        </w:rPr>
        <w:fldChar w:fldCharType="begin"/>
      </w:r>
      <w:r>
        <w:rPr>
          <w:rFonts w:hint="eastAsia" w:ascii="黑体" w:hAnsi="黑体" w:eastAsia="黑体" w:cs="黑体"/>
          <w:b w:val="0"/>
          <w:bCs w:val="0"/>
          <w:color w:val="auto"/>
          <w:sz w:val="24"/>
          <w:szCs w:val="21"/>
          <w:lang w:val="en-US" w:eastAsia="zh-CN"/>
        </w:rPr>
        <w:instrText xml:space="preserve"> HYPERLINK \l _Toc16322 </w:instrText>
      </w:r>
      <w:r>
        <w:rPr>
          <w:rFonts w:hint="eastAsia" w:ascii="黑体" w:hAnsi="黑体" w:eastAsia="黑体" w:cs="黑体"/>
          <w:b w:val="0"/>
          <w:bCs w:val="0"/>
          <w:color w:val="auto"/>
          <w:sz w:val="24"/>
          <w:szCs w:val="21"/>
          <w:lang w:val="en-US" w:eastAsia="zh-CN"/>
        </w:rPr>
        <w:fldChar w:fldCharType="separate"/>
      </w:r>
      <w:r>
        <w:rPr>
          <w:rFonts w:hint="eastAsia" w:ascii="黑体" w:hAnsi="黑体" w:eastAsia="黑体" w:cs="黑体"/>
          <w:b w:val="0"/>
          <w:bCs w:val="0"/>
          <w:color w:val="auto"/>
          <w:sz w:val="24"/>
          <w:szCs w:val="21"/>
          <w:lang w:val="en-US" w:eastAsia="zh-CN"/>
        </w:rPr>
        <w:t>第五章  第三产业</w:t>
      </w:r>
      <w:r>
        <w:rPr>
          <w:rFonts w:hint="eastAsia" w:ascii="黑体" w:hAnsi="黑体" w:eastAsia="黑体" w:cs="黑体"/>
          <w:b w:val="0"/>
          <w:bCs w:val="0"/>
          <w:color w:val="auto"/>
          <w:sz w:val="24"/>
          <w:szCs w:val="21"/>
          <w:lang w:val="en-US" w:eastAsia="zh-CN"/>
        </w:rPr>
        <w:tab/>
      </w:r>
      <w:r>
        <w:rPr>
          <w:rFonts w:hint="eastAsia" w:ascii="黑体" w:hAnsi="黑体" w:eastAsia="黑体" w:cs="黑体"/>
          <w:b w:val="0"/>
          <w:bCs w:val="0"/>
          <w:color w:val="auto"/>
          <w:sz w:val="24"/>
          <w:szCs w:val="21"/>
          <w:lang w:val="en-US" w:eastAsia="zh-CN"/>
        </w:rPr>
        <w:fldChar w:fldCharType="begin"/>
      </w:r>
      <w:r>
        <w:rPr>
          <w:rFonts w:hint="eastAsia" w:ascii="黑体" w:hAnsi="黑体" w:eastAsia="黑体" w:cs="黑体"/>
          <w:b w:val="0"/>
          <w:bCs w:val="0"/>
          <w:color w:val="auto"/>
          <w:sz w:val="24"/>
          <w:szCs w:val="21"/>
          <w:lang w:val="en-US" w:eastAsia="zh-CN"/>
        </w:rPr>
        <w:instrText xml:space="preserve"> PAGEREF _Toc16322 \h </w:instrText>
      </w:r>
      <w:r>
        <w:rPr>
          <w:rFonts w:hint="eastAsia" w:ascii="黑体" w:hAnsi="黑体" w:eastAsia="黑体" w:cs="黑体"/>
          <w:b w:val="0"/>
          <w:bCs w:val="0"/>
          <w:color w:val="auto"/>
          <w:sz w:val="24"/>
          <w:szCs w:val="21"/>
          <w:lang w:val="en-US" w:eastAsia="zh-CN"/>
        </w:rPr>
        <w:fldChar w:fldCharType="separate"/>
      </w:r>
      <w:r>
        <w:rPr>
          <w:rFonts w:hint="eastAsia" w:ascii="黑体" w:hAnsi="黑体" w:eastAsia="黑体" w:cs="黑体"/>
          <w:b w:val="0"/>
          <w:bCs w:val="0"/>
          <w:color w:val="auto"/>
          <w:sz w:val="24"/>
          <w:szCs w:val="21"/>
          <w:lang w:val="en-US" w:eastAsia="zh-CN"/>
        </w:rPr>
        <w:t>102</w:t>
      </w:r>
      <w:r>
        <w:rPr>
          <w:rFonts w:hint="eastAsia" w:ascii="黑体" w:hAnsi="黑体" w:eastAsia="黑体" w:cs="黑体"/>
          <w:b w:val="0"/>
          <w:bCs w:val="0"/>
          <w:color w:val="auto"/>
          <w:sz w:val="24"/>
          <w:szCs w:val="21"/>
          <w:lang w:val="en-US" w:eastAsia="zh-CN"/>
        </w:rPr>
        <w:fldChar w:fldCharType="end"/>
      </w:r>
      <w:r>
        <w:rPr>
          <w:rFonts w:hint="eastAsia" w:ascii="黑体" w:hAnsi="黑体" w:eastAsia="黑体" w:cs="黑体"/>
          <w:b w:val="0"/>
          <w:bCs w:val="0"/>
          <w:color w:val="auto"/>
          <w:sz w:val="24"/>
          <w:szCs w:val="21"/>
          <w:lang w:val="en-US" w:eastAsia="zh-CN"/>
        </w:rPr>
        <w:fldChar w:fldCharType="end"/>
      </w:r>
    </w:p>
    <w:p>
      <w:pPr>
        <w:pStyle w:val="16"/>
        <w:tabs>
          <w:tab w:val="right" w:leader="dot" w:pos="8306"/>
        </w:tabs>
        <w:ind w:left="0" w:leftChars="0" w:firstLine="883" w:firstLineChars="400"/>
        <w:rPr>
          <w:rFonts w:hint="eastAsia" w:ascii="楷体" w:hAnsi="楷体" w:eastAsia="楷体" w:cs="楷体"/>
          <w:b/>
          <w:bCs/>
          <w:color w:val="auto"/>
          <w:sz w:val="22"/>
          <w:szCs w:val="20"/>
          <w:lang w:val="en-US" w:eastAsia="zh-CN"/>
        </w:rPr>
      </w:pP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HYPERLINK \l _Toc6602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第一节  自贸港政策解读</w:t>
      </w:r>
      <w:r>
        <w:rPr>
          <w:rFonts w:hint="eastAsia" w:ascii="楷体" w:hAnsi="楷体" w:eastAsia="楷体" w:cs="楷体"/>
          <w:b/>
          <w:bCs/>
          <w:color w:val="auto"/>
          <w:sz w:val="22"/>
          <w:szCs w:val="20"/>
          <w:lang w:val="en-US" w:eastAsia="zh-CN"/>
        </w:rPr>
        <w:tab/>
      </w: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PAGEREF _Toc6602 \h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103</w:t>
      </w:r>
      <w:r>
        <w:rPr>
          <w:rFonts w:hint="eastAsia" w:ascii="楷体" w:hAnsi="楷体" w:eastAsia="楷体" w:cs="楷体"/>
          <w:b/>
          <w:bCs/>
          <w:color w:val="auto"/>
          <w:sz w:val="22"/>
          <w:szCs w:val="20"/>
          <w:lang w:val="en-US" w:eastAsia="zh-CN"/>
        </w:rPr>
        <w:fldChar w:fldCharType="end"/>
      </w:r>
      <w:r>
        <w:rPr>
          <w:rFonts w:hint="eastAsia" w:ascii="楷体" w:hAnsi="楷体" w:eastAsia="楷体" w:cs="楷体"/>
          <w:b/>
          <w:bCs/>
          <w:color w:val="auto"/>
          <w:sz w:val="22"/>
          <w:szCs w:val="20"/>
          <w:lang w:val="en-US" w:eastAsia="zh-CN"/>
        </w:rPr>
        <w:fldChar w:fldCharType="end"/>
      </w:r>
    </w:p>
    <w:p>
      <w:pPr>
        <w:pStyle w:val="10"/>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_Toc4260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一、自贸港第三产业政策解读</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_Toc4260 \h </w:instrText>
      </w:r>
      <w:r>
        <w:rPr>
          <w:rFonts w:hint="eastAsia" w:ascii="楷体" w:hAnsi="楷体" w:eastAsia="楷体" w:cs="楷体"/>
          <w:sz w:val="22"/>
          <w:szCs w:val="20"/>
        </w:rPr>
        <w:fldChar w:fldCharType="separate"/>
      </w:r>
      <w:r>
        <w:rPr>
          <w:rFonts w:hint="eastAsia" w:ascii="楷体" w:hAnsi="楷体" w:eastAsia="楷体" w:cs="楷体"/>
          <w:sz w:val="22"/>
          <w:szCs w:val="20"/>
        </w:rPr>
        <w:t>103</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_Toc7858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1． 加快服务业对外开放</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_Toc7858 \h </w:instrText>
      </w:r>
      <w:r>
        <w:rPr>
          <w:rFonts w:hint="eastAsia" w:ascii="楷体" w:hAnsi="楷体" w:eastAsia="楷体" w:cs="楷体"/>
          <w:sz w:val="22"/>
          <w:szCs w:val="20"/>
        </w:rPr>
        <w:fldChar w:fldCharType="separate"/>
      </w:r>
      <w:r>
        <w:rPr>
          <w:rFonts w:hint="eastAsia" w:ascii="楷体" w:hAnsi="楷体" w:eastAsia="楷体" w:cs="楷体"/>
          <w:sz w:val="22"/>
          <w:szCs w:val="20"/>
        </w:rPr>
        <w:t>103</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_Toc22630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2． 帮助服务业企业获取境外低成本资金</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_Toc22630 \h </w:instrText>
      </w:r>
      <w:r>
        <w:rPr>
          <w:rFonts w:hint="eastAsia" w:ascii="楷体" w:hAnsi="楷体" w:eastAsia="楷体" w:cs="楷体"/>
          <w:sz w:val="22"/>
          <w:szCs w:val="20"/>
        </w:rPr>
        <w:fldChar w:fldCharType="separate"/>
      </w:r>
      <w:r>
        <w:rPr>
          <w:rFonts w:hint="eastAsia" w:ascii="楷体" w:hAnsi="楷体" w:eastAsia="楷体" w:cs="楷体"/>
          <w:sz w:val="22"/>
          <w:szCs w:val="20"/>
        </w:rPr>
        <w:t>103</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_Toc3230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3． 吸引岛外游客、企业和人才进入</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_Toc3230 \h </w:instrText>
      </w:r>
      <w:r>
        <w:rPr>
          <w:rFonts w:hint="eastAsia" w:ascii="楷体" w:hAnsi="楷体" w:eastAsia="楷体" w:cs="楷体"/>
          <w:sz w:val="22"/>
          <w:szCs w:val="20"/>
        </w:rPr>
        <w:fldChar w:fldCharType="separate"/>
      </w:r>
      <w:r>
        <w:rPr>
          <w:rFonts w:hint="eastAsia" w:ascii="楷体" w:hAnsi="楷体" w:eastAsia="楷体" w:cs="楷体"/>
          <w:sz w:val="22"/>
          <w:szCs w:val="20"/>
        </w:rPr>
        <w:t>103</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0"/>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_Toc25898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二、旅游业政策解读</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_Toc25898 \h </w:instrText>
      </w:r>
      <w:r>
        <w:rPr>
          <w:rFonts w:hint="eastAsia" w:ascii="楷体" w:hAnsi="楷体" w:eastAsia="楷体" w:cs="楷体"/>
          <w:sz w:val="22"/>
          <w:szCs w:val="20"/>
        </w:rPr>
        <w:fldChar w:fldCharType="separate"/>
      </w:r>
      <w:r>
        <w:rPr>
          <w:rFonts w:hint="eastAsia" w:ascii="楷体" w:hAnsi="楷体" w:eastAsia="楷体" w:cs="楷体"/>
          <w:sz w:val="22"/>
          <w:szCs w:val="20"/>
        </w:rPr>
        <w:t>105</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_Toc28768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4． 发展文化旅游</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_Toc28768 \h </w:instrText>
      </w:r>
      <w:r>
        <w:rPr>
          <w:rFonts w:hint="eastAsia" w:ascii="楷体" w:hAnsi="楷体" w:eastAsia="楷体" w:cs="楷体"/>
          <w:sz w:val="22"/>
          <w:szCs w:val="20"/>
        </w:rPr>
        <w:fldChar w:fldCharType="separate"/>
      </w:r>
      <w:r>
        <w:rPr>
          <w:rFonts w:hint="eastAsia" w:ascii="楷体" w:hAnsi="楷体" w:eastAsia="楷体" w:cs="楷体"/>
          <w:sz w:val="22"/>
          <w:szCs w:val="20"/>
        </w:rPr>
        <w:t>105</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_Toc29411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5． 发展体育旅游</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_Toc29411 \h </w:instrText>
      </w:r>
      <w:r>
        <w:rPr>
          <w:rFonts w:hint="eastAsia" w:ascii="楷体" w:hAnsi="楷体" w:eastAsia="楷体" w:cs="楷体"/>
          <w:sz w:val="22"/>
          <w:szCs w:val="20"/>
        </w:rPr>
        <w:fldChar w:fldCharType="separate"/>
      </w:r>
      <w:r>
        <w:rPr>
          <w:rFonts w:hint="eastAsia" w:ascii="楷体" w:hAnsi="楷体" w:eastAsia="楷体" w:cs="楷体"/>
          <w:sz w:val="22"/>
          <w:szCs w:val="20"/>
        </w:rPr>
        <w:t>105</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_Toc5849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6． 发展全域旅游</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_Toc5849 \h </w:instrText>
      </w:r>
      <w:r>
        <w:rPr>
          <w:rFonts w:hint="eastAsia" w:ascii="楷体" w:hAnsi="楷体" w:eastAsia="楷体" w:cs="楷体"/>
          <w:sz w:val="22"/>
          <w:szCs w:val="20"/>
        </w:rPr>
        <w:fldChar w:fldCharType="separate"/>
      </w:r>
      <w:r>
        <w:rPr>
          <w:rFonts w:hint="eastAsia" w:ascii="楷体" w:hAnsi="楷体" w:eastAsia="楷体" w:cs="楷体"/>
          <w:sz w:val="22"/>
          <w:szCs w:val="20"/>
        </w:rPr>
        <w:t>105</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_Toc8358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7． 发展休闲渔业</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_Toc8358 \h </w:instrText>
      </w:r>
      <w:r>
        <w:rPr>
          <w:rFonts w:hint="eastAsia" w:ascii="楷体" w:hAnsi="楷体" w:eastAsia="楷体" w:cs="楷体"/>
          <w:sz w:val="22"/>
          <w:szCs w:val="20"/>
        </w:rPr>
        <w:fldChar w:fldCharType="separate"/>
      </w:r>
      <w:r>
        <w:rPr>
          <w:rFonts w:hint="eastAsia" w:ascii="楷体" w:hAnsi="楷体" w:eastAsia="楷体" w:cs="楷体"/>
          <w:sz w:val="22"/>
          <w:szCs w:val="20"/>
        </w:rPr>
        <w:t>105</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0"/>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_Toc31138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三、商贸物流业政策解读</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_Toc31138 \h </w:instrText>
      </w:r>
      <w:r>
        <w:rPr>
          <w:rFonts w:hint="eastAsia" w:ascii="楷体" w:hAnsi="楷体" w:eastAsia="楷体" w:cs="楷体"/>
          <w:sz w:val="22"/>
          <w:szCs w:val="20"/>
        </w:rPr>
        <w:fldChar w:fldCharType="separate"/>
      </w:r>
      <w:r>
        <w:rPr>
          <w:rFonts w:hint="eastAsia" w:ascii="楷体" w:hAnsi="楷体" w:eastAsia="楷体" w:cs="楷体"/>
          <w:sz w:val="22"/>
          <w:szCs w:val="20"/>
        </w:rPr>
        <w:t>107</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_Toc17719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8． 打造全球性商贸物流节点</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_Toc17719 \h </w:instrText>
      </w:r>
      <w:r>
        <w:rPr>
          <w:rFonts w:hint="eastAsia" w:ascii="楷体" w:hAnsi="楷体" w:eastAsia="楷体" w:cs="楷体"/>
          <w:sz w:val="22"/>
          <w:szCs w:val="20"/>
        </w:rPr>
        <w:fldChar w:fldCharType="separate"/>
      </w:r>
      <w:r>
        <w:rPr>
          <w:rFonts w:hint="eastAsia" w:ascii="楷体" w:hAnsi="楷体" w:eastAsia="楷体" w:cs="楷体"/>
          <w:sz w:val="22"/>
          <w:szCs w:val="20"/>
        </w:rPr>
        <w:t>107</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_Toc29136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9． 发展（跨境）电子商务</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_Toc29136 \h </w:instrText>
      </w:r>
      <w:r>
        <w:rPr>
          <w:rFonts w:hint="eastAsia" w:ascii="楷体" w:hAnsi="楷体" w:eastAsia="楷体" w:cs="楷体"/>
          <w:sz w:val="22"/>
          <w:szCs w:val="20"/>
        </w:rPr>
        <w:fldChar w:fldCharType="separate"/>
      </w:r>
      <w:r>
        <w:rPr>
          <w:rFonts w:hint="eastAsia" w:ascii="楷体" w:hAnsi="楷体" w:eastAsia="楷体" w:cs="楷体"/>
          <w:sz w:val="22"/>
          <w:szCs w:val="20"/>
        </w:rPr>
        <w:t>107</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_Toc17708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10． 建设冷链基础设施网络</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_Toc17708 \h </w:instrText>
      </w:r>
      <w:r>
        <w:rPr>
          <w:rFonts w:hint="eastAsia" w:ascii="楷体" w:hAnsi="楷体" w:eastAsia="楷体" w:cs="楷体"/>
          <w:sz w:val="22"/>
          <w:szCs w:val="20"/>
        </w:rPr>
        <w:fldChar w:fldCharType="separate"/>
      </w:r>
      <w:r>
        <w:rPr>
          <w:rFonts w:hint="eastAsia" w:ascii="楷体" w:hAnsi="楷体" w:eastAsia="楷体" w:cs="楷体"/>
          <w:sz w:val="22"/>
          <w:szCs w:val="20"/>
        </w:rPr>
        <w:t>107</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6"/>
        <w:tabs>
          <w:tab w:val="right" w:leader="dot" w:pos="8306"/>
        </w:tabs>
        <w:ind w:left="0" w:leftChars="0" w:firstLine="883" w:firstLineChars="400"/>
        <w:rPr>
          <w:rFonts w:hint="eastAsia" w:ascii="楷体" w:hAnsi="楷体" w:eastAsia="楷体" w:cs="楷体"/>
          <w:b/>
          <w:bCs/>
          <w:color w:val="auto"/>
          <w:sz w:val="22"/>
          <w:szCs w:val="20"/>
          <w:lang w:val="en-US" w:eastAsia="zh-CN"/>
        </w:rPr>
      </w:pP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HYPERLINK \l _Toc27151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第二节  发展条件分析</w:t>
      </w:r>
      <w:r>
        <w:rPr>
          <w:rFonts w:hint="eastAsia" w:ascii="楷体" w:hAnsi="楷体" w:eastAsia="楷体" w:cs="楷体"/>
          <w:b/>
          <w:bCs/>
          <w:color w:val="auto"/>
          <w:sz w:val="22"/>
          <w:szCs w:val="20"/>
          <w:lang w:val="en-US" w:eastAsia="zh-CN"/>
        </w:rPr>
        <w:tab/>
      </w: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PAGEREF _Toc27151 \h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108</w:t>
      </w:r>
      <w:r>
        <w:rPr>
          <w:rFonts w:hint="eastAsia" w:ascii="楷体" w:hAnsi="楷体" w:eastAsia="楷体" w:cs="楷体"/>
          <w:b/>
          <w:bCs/>
          <w:color w:val="auto"/>
          <w:sz w:val="22"/>
          <w:szCs w:val="20"/>
          <w:lang w:val="en-US" w:eastAsia="zh-CN"/>
        </w:rPr>
        <w:fldChar w:fldCharType="end"/>
      </w:r>
      <w:r>
        <w:rPr>
          <w:rFonts w:hint="eastAsia" w:ascii="楷体" w:hAnsi="楷体" w:eastAsia="楷体" w:cs="楷体"/>
          <w:b/>
          <w:bCs/>
          <w:color w:val="auto"/>
          <w:sz w:val="22"/>
          <w:szCs w:val="20"/>
          <w:lang w:val="en-US" w:eastAsia="zh-CN"/>
        </w:rPr>
        <w:fldChar w:fldCharType="end"/>
      </w:r>
    </w:p>
    <w:p>
      <w:pPr>
        <w:pStyle w:val="10"/>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_Toc24366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一、总体分析</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_Toc24366 \h </w:instrText>
      </w:r>
      <w:r>
        <w:rPr>
          <w:rFonts w:hint="eastAsia" w:ascii="楷体" w:hAnsi="楷体" w:eastAsia="楷体" w:cs="楷体"/>
          <w:sz w:val="22"/>
          <w:szCs w:val="20"/>
        </w:rPr>
        <w:fldChar w:fldCharType="separate"/>
      </w:r>
      <w:r>
        <w:rPr>
          <w:rFonts w:hint="eastAsia" w:ascii="楷体" w:hAnsi="楷体" w:eastAsia="楷体" w:cs="楷体"/>
          <w:sz w:val="22"/>
          <w:szCs w:val="20"/>
        </w:rPr>
        <w:t>108</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_Toc21100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1． 第三产业比重高、但绝对值不大，做大体量是首要任务</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_Toc21100 \h </w:instrText>
      </w:r>
      <w:r>
        <w:rPr>
          <w:rFonts w:hint="eastAsia" w:ascii="楷体" w:hAnsi="楷体" w:eastAsia="楷体" w:cs="楷体"/>
          <w:sz w:val="22"/>
          <w:szCs w:val="20"/>
        </w:rPr>
        <w:fldChar w:fldCharType="separate"/>
      </w:r>
      <w:r>
        <w:rPr>
          <w:rFonts w:hint="eastAsia" w:ascii="楷体" w:hAnsi="楷体" w:eastAsia="楷体" w:cs="楷体"/>
          <w:sz w:val="22"/>
          <w:szCs w:val="20"/>
        </w:rPr>
        <w:t>108</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0"/>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_Toc18192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二、旅游业分析</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_Toc18192 \h </w:instrText>
      </w:r>
      <w:r>
        <w:rPr>
          <w:rFonts w:hint="eastAsia" w:ascii="楷体" w:hAnsi="楷体" w:eastAsia="楷体" w:cs="楷体"/>
          <w:sz w:val="22"/>
          <w:szCs w:val="20"/>
        </w:rPr>
        <w:fldChar w:fldCharType="separate"/>
      </w:r>
      <w:r>
        <w:rPr>
          <w:rFonts w:hint="eastAsia" w:ascii="楷体" w:hAnsi="楷体" w:eastAsia="楷体" w:cs="楷体"/>
          <w:sz w:val="22"/>
          <w:szCs w:val="20"/>
        </w:rPr>
        <w:t>109</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_Toc27517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2． 历史文化旅游资源丰富，集聚多个重量级文旅资源</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_Toc27517 \h </w:instrText>
      </w:r>
      <w:r>
        <w:rPr>
          <w:rFonts w:hint="eastAsia" w:ascii="楷体" w:hAnsi="楷体" w:eastAsia="楷体" w:cs="楷体"/>
          <w:sz w:val="22"/>
          <w:szCs w:val="20"/>
        </w:rPr>
        <w:fldChar w:fldCharType="separate"/>
      </w:r>
      <w:r>
        <w:rPr>
          <w:rFonts w:hint="eastAsia" w:ascii="楷体" w:hAnsi="楷体" w:eastAsia="楷体" w:cs="楷体"/>
          <w:sz w:val="22"/>
          <w:szCs w:val="20"/>
        </w:rPr>
        <w:t>109</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_Toc28377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3． 多数游客南山和洞天“一日游”，未形成完整体系</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_Toc28377 \h </w:instrText>
      </w:r>
      <w:r>
        <w:rPr>
          <w:rFonts w:hint="eastAsia" w:ascii="楷体" w:hAnsi="楷体" w:eastAsia="楷体" w:cs="楷体"/>
          <w:sz w:val="22"/>
          <w:szCs w:val="20"/>
        </w:rPr>
        <w:fldChar w:fldCharType="separate"/>
      </w:r>
      <w:r>
        <w:rPr>
          <w:rFonts w:hint="eastAsia" w:ascii="楷体" w:hAnsi="楷体" w:eastAsia="楷体" w:cs="楷体"/>
          <w:sz w:val="22"/>
          <w:szCs w:val="20"/>
        </w:rPr>
        <w:t>112</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_Toc27600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4． “古韵崖州”需丰富内涵形象，增加亲近感带入感</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_Toc27600 \h </w:instrText>
      </w:r>
      <w:r>
        <w:rPr>
          <w:rFonts w:hint="eastAsia" w:ascii="楷体" w:hAnsi="楷体" w:eastAsia="楷体" w:cs="楷体"/>
          <w:sz w:val="22"/>
          <w:szCs w:val="20"/>
        </w:rPr>
        <w:fldChar w:fldCharType="separate"/>
      </w:r>
      <w:r>
        <w:rPr>
          <w:rFonts w:hint="eastAsia" w:ascii="楷体" w:hAnsi="楷体" w:eastAsia="楷体" w:cs="楷体"/>
          <w:sz w:val="22"/>
          <w:szCs w:val="20"/>
        </w:rPr>
        <w:t>113</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_Toc5369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5． 旅游服务配套数量质量需提升，全域旅游有待提高</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_Toc5369 \h </w:instrText>
      </w:r>
      <w:r>
        <w:rPr>
          <w:rFonts w:hint="eastAsia" w:ascii="楷体" w:hAnsi="楷体" w:eastAsia="楷体" w:cs="楷体"/>
          <w:sz w:val="22"/>
          <w:szCs w:val="20"/>
        </w:rPr>
        <w:fldChar w:fldCharType="separate"/>
      </w:r>
      <w:r>
        <w:rPr>
          <w:rFonts w:hint="eastAsia" w:ascii="楷体" w:hAnsi="楷体" w:eastAsia="楷体" w:cs="楷体"/>
          <w:sz w:val="22"/>
          <w:szCs w:val="20"/>
        </w:rPr>
        <w:t>114</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_Toc22980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6． 休闲农业渔业处于起步阶段，需要导入示范项目</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_Toc22980 \h </w:instrText>
      </w:r>
      <w:r>
        <w:rPr>
          <w:rFonts w:hint="eastAsia" w:ascii="楷体" w:hAnsi="楷体" w:eastAsia="楷体" w:cs="楷体"/>
          <w:sz w:val="22"/>
          <w:szCs w:val="20"/>
        </w:rPr>
        <w:fldChar w:fldCharType="separate"/>
      </w:r>
      <w:r>
        <w:rPr>
          <w:rFonts w:hint="eastAsia" w:ascii="楷体" w:hAnsi="楷体" w:eastAsia="楷体" w:cs="楷体"/>
          <w:sz w:val="22"/>
          <w:szCs w:val="20"/>
        </w:rPr>
        <w:t>115</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0"/>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_Toc10556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三、商贸物流服务业分析</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_Toc10556 \h </w:instrText>
      </w:r>
      <w:r>
        <w:rPr>
          <w:rFonts w:hint="eastAsia" w:ascii="楷体" w:hAnsi="楷体" w:eastAsia="楷体" w:cs="楷体"/>
          <w:sz w:val="22"/>
          <w:szCs w:val="20"/>
        </w:rPr>
        <w:fldChar w:fldCharType="separate"/>
      </w:r>
      <w:r>
        <w:rPr>
          <w:rFonts w:hint="eastAsia" w:ascii="楷体" w:hAnsi="楷体" w:eastAsia="楷体" w:cs="楷体"/>
          <w:sz w:val="22"/>
          <w:szCs w:val="20"/>
        </w:rPr>
        <w:t>115</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_Toc1339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7． 崖州果蔬综合批发市场以传统交易为主，有较大提升空间</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_Toc1339 \h </w:instrText>
      </w:r>
      <w:r>
        <w:rPr>
          <w:rFonts w:hint="eastAsia" w:ascii="楷体" w:hAnsi="楷体" w:eastAsia="楷体" w:cs="楷体"/>
          <w:sz w:val="22"/>
          <w:szCs w:val="20"/>
        </w:rPr>
        <w:fldChar w:fldCharType="separate"/>
      </w:r>
      <w:r>
        <w:rPr>
          <w:rFonts w:hint="eastAsia" w:ascii="楷体" w:hAnsi="楷体" w:eastAsia="楷体" w:cs="楷体"/>
          <w:sz w:val="22"/>
          <w:szCs w:val="20"/>
        </w:rPr>
        <w:t>115</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_Toc26167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8． 三亚崖州中心渔港基础建设需要加快，服务功能需要提升</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_Toc26167 \h </w:instrText>
      </w:r>
      <w:r>
        <w:rPr>
          <w:rFonts w:hint="eastAsia" w:ascii="楷体" w:hAnsi="楷体" w:eastAsia="楷体" w:cs="楷体"/>
          <w:sz w:val="22"/>
          <w:szCs w:val="20"/>
        </w:rPr>
        <w:fldChar w:fldCharType="separate"/>
      </w:r>
      <w:r>
        <w:rPr>
          <w:rFonts w:hint="eastAsia" w:ascii="楷体" w:hAnsi="楷体" w:eastAsia="楷体" w:cs="楷体"/>
          <w:sz w:val="22"/>
          <w:szCs w:val="20"/>
        </w:rPr>
        <w:t>117</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_Toc11079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9． 一般生活服务业需要升级补足短板，应对消费升级新需求</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_Toc11079 \h </w:instrText>
      </w:r>
      <w:r>
        <w:rPr>
          <w:rFonts w:hint="eastAsia" w:ascii="楷体" w:hAnsi="楷体" w:eastAsia="楷体" w:cs="楷体"/>
          <w:sz w:val="22"/>
          <w:szCs w:val="20"/>
        </w:rPr>
        <w:fldChar w:fldCharType="separate"/>
      </w:r>
      <w:r>
        <w:rPr>
          <w:rFonts w:hint="eastAsia" w:ascii="楷体" w:hAnsi="楷体" w:eastAsia="楷体" w:cs="楷体"/>
          <w:sz w:val="22"/>
          <w:szCs w:val="20"/>
        </w:rPr>
        <w:t>118</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6"/>
        <w:tabs>
          <w:tab w:val="right" w:leader="dot" w:pos="8306"/>
        </w:tabs>
        <w:ind w:left="0" w:leftChars="0" w:firstLine="883" w:firstLineChars="400"/>
        <w:rPr>
          <w:rFonts w:hint="eastAsia" w:ascii="楷体" w:hAnsi="楷体" w:eastAsia="楷体" w:cs="楷体"/>
          <w:b/>
          <w:bCs/>
          <w:color w:val="auto"/>
          <w:sz w:val="22"/>
          <w:szCs w:val="20"/>
          <w:lang w:val="en-US" w:eastAsia="zh-CN"/>
        </w:rPr>
      </w:pP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HYPERLINK \l _Toc10032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第三节  发展路径</w:t>
      </w:r>
      <w:r>
        <w:rPr>
          <w:rFonts w:hint="eastAsia" w:ascii="楷体" w:hAnsi="楷体" w:eastAsia="楷体" w:cs="楷体"/>
          <w:b/>
          <w:bCs/>
          <w:color w:val="auto"/>
          <w:sz w:val="22"/>
          <w:szCs w:val="20"/>
          <w:lang w:val="en-US" w:eastAsia="zh-CN"/>
        </w:rPr>
        <w:tab/>
      </w: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PAGEREF _Toc10032 \h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119</w:t>
      </w:r>
      <w:r>
        <w:rPr>
          <w:rFonts w:hint="eastAsia" w:ascii="楷体" w:hAnsi="楷体" w:eastAsia="楷体" w:cs="楷体"/>
          <w:b/>
          <w:bCs/>
          <w:color w:val="auto"/>
          <w:sz w:val="22"/>
          <w:szCs w:val="20"/>
          <w:lang w:val="en-US" w:eastAsia="zh-CN"/>
        </w:rPr>
        <w:fldChar w:fldCharType="end"/>
      </w:r>
      <w:r>
        <w:rPr>
          <w:rFonts w:hint="eastAsia" w:ascii="楷体" w:hAnsi="楷体" w:eastAsia="楷体" w:cs="楷体"/>
          <w:b/>
          <w:bCs/>
          <w:color w:val="auto"/>
          <w:sz w:val="22"/>
          <w:szCs w:val="20"/>
          <w:lang w:val="en-US" w:eastAsia="zh-CN"/>
        </w:rPr>
        <w:fldChar w:fldCharType="end"/>
      </w:r>
    </w:p>
    <w:p>
      <w:pPr>
        <w:pStyle w:val="10"/>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_Toc17239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一、旅游业发展路径</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_Toc17239 \h </w:instrText>
      </w:r>
      <w:r>
        <w:rPr>
          <w:rFonts w:hint="eastAsia" w:ascii="楷体" w:hAnsi="楷体" w:eastAsia="楷体" w:cs="楷体"/>
          <w:sz w:val="22"/>
          <w:szCs w:val="20"/>
        </w:rPr>
        <w:fldChar w:fldCharType="separate"/>
      </w:r>
      <w:r>
        <w:rPr>
          <w:rFonts w:hint="eastAsia" w:ascii="楷体" w:hAnsi="楷体" w:eastAsia="楷体" w:cs="楷体"/>
          <w:sz w:val="22"/>
          <w:szCs w:val="20"/>
        </w:rPr>
        <w:t>119</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_Toc5547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1． 创建国家全域旅游示范区，打造六大全域旅游目的地</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_Toc5547 \h </w:instrText>
      </w:r>
      <w:r>
        <w:rPr>
          <w:rFonts w:hint="eastAsia" w:ascii="楷体" w:hAnsi="楷体" w:eastAsia="楷体" w:cs="楷体"/>
          <w:sz w:val="22"/>
          <w:szCs w:val="20"/>
        </w:rPr>
        <w:fldChar w:fldCharType="separate"/>
      </w:r>
      <w:r>
        <w:rPr>
          <w:rFonts w:hint="eastAsia" w:ascii="楷体" w:hAnsi="楷体" w:eastAsia="楷体" w:cs="楷体"/>
          <w:sz w:val="22"/>
          <w:szCs w:val="20"/>
        </w:rPr>
        <w:t>119</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_Toc26376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2． 再现崖州古城和崖州八景，打造历史文化旅游目的地</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_Toc26376 \h </w:instrText>
      </w:r>
      <w:r>
        <w:rPr>
          <w:rFonts w:hint="eastAsia" w:ascii="楷体" w:hAnsi="楷体" w:eastAsia="楷体" w:cs="楷体"/>
          <w:sz w:val="22"/>
          <w:szCs w:val="20"/>
        </w:rPr>
        <w:fldChar w:fldCharType="separate"/>
      </w:r>
      <w:r>
        <w:rPr>
          <w:rFonts w:hint="eastAsia" w:ascii="楷体" w:hAnsi="楷体" w:eastAsia="楷体" w:cs="楷体"/>
          <w:sz w:val="22"/>
          <w:szCs w:val="20"/>
        </w:rPr>
        <w:t>119</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_Toc9173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3． 推动南山和洞天业态升级，打造宗教文化旅游目的地</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_Toc9173 \h </w:instrText>
      </w:r>
      <w:r>
        <w:rPr>
          <w:rFonts w:hint="eastAsia" w:ascii="楷体" w:hAnsi="楷体" w:eastAsia="楷体" w:cs="楷体"/>
          <w:sz w:val="22"/>
          <w:szCs w:val="20"/>
        </w:rPr>
        <w:fldChar w:fldCharType="separate"/>
      </w:r>
      <w:r>
        <w:rPr>
          <w:rFonts w:hint="eastAsia" w:ascii="楷体" w:hAnsi="楷体" w:eastAsia="楷体" w:cs="楷体"/>
          <w:sz w:val="22"/>
          <w:szCs w:val="20"/>
        </w:rPr>
        <w:t>125</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_Toc31988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4． 发挥南繁和深海特殊优势，打造科普研学旅游目的地</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_Toc31988 \h </w:instrText>
      </w:r>
      <w:r>
        <w:rPr>
          <w:rFonts w:hint="eastAsia" w:ascii="楷体" w:hAnsi="楷体" w:eastAsia="楷体" w:cs="楷体"/>
          <w:sz w:val="22"/>
          <w:szCs w:val="20"/>
        </w:rPr>
        <w:fldChar w:fldCharType="separate"/>
      </w:r>
      <w:r>
        <w:rPr>
          <w:rFonts w:hint="eastAsia" w:ascii="楷体" w:hAnsi="楷体" w:eastAsia="楷体" w:cs="楷体"/>
          <w:sz w:val="22"/>
          <w:szCs w:val="20"/>
        </w:rPr>
        <w:t>126</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_Toc7281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5． 做好休闲农业和休闲渔业，打造农旅度假康养目的地</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_Toc7281 \h </w:instrText>
      </w:r>
      <w:r>
        <w:rPr>
          <w:rFonts w:hint="eastAsia" w:ascii="楷体" w:hAnsi="楷体" w:eastAsia="楷体" w:cs="楷体"/>
          <w:sz w:val="22"/>
          <w:szCs w:val="20"/>
        </w:rPr>
        <w:fldChar w:fldCharType="separate"/>
      </w:r>
      <w:r>
        <w:rPr>
          <w:rFonts w:hint="eastAsia" w:ascii="楷体" w:hAnsi="楷体" w:eastAsia="楷体" w:cs="楷体"/>
          <w:sz w:val="22"/>
          <w:szCs w:val="20"/>
        </w:rPr>
        <w:t>127</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_Toc28958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6． 抓住“水陆空”户外运动机遇，打造体育旅游目的地</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_Toc28958 \h </w:instrText>
      </w:r>
      <w:r>
        <w:rPr>
          <w:rFonts w:hint="eastAsia" w:ascii="楷体" w:hAnsi="楷体" w:eastAsia="楷体" w:cs="楷体"/>
          <w:sz w:val="22"/>
          <w:szCs w:val="20"/>
        </w:rPr>
        <w:fldChar w:fldCharType="separate"/>
      </w:r>
      <w:r>
        <w:rPr>
          <w:rFonts w:hint="eastAsia" w:ascii="楷体" w:hAnsi="楷体" w:eastAsia="楷体" w:cs="楷体"/>
          <w:sz w:val="22"/>
          <w:szCs w:val="20"/>
        </w:rPr>
        <w:t>130</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_Toc32410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7． 建好梅山保平等爱国主义教育基地，打造红色旅游目的地</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_Toc32410 \h </w:instrText>
      </w:r>
      <w:r>
        <w:rPr>
          <w:rFonts w:hint="eastAsia" w:ascii="楷体" w:hAnsi="楷体" w:eastAsia="楷体" w:cs="楷体"/>
          <w:sz w:val="22"/>
          <w:szCs w:val="20"/>
        </w:rPr>
        <w:fldChar w:fldCharType="separate"/>
      </w:r>
      <w:r>
        <w:rPr>
          <w:rFonts w:hint="eastAsia" w:ascii="楷体" w:hAnsi="楷体" w:eastAsia="楷体" w:cs="楷体"/>
          <w:sz w:val="22"/>
          <w:szCs w:val="20"/>
        </w:rPr>
        <w:t>133</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_Toc1232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8． 用好自贸港政策，打造缤纷荟萃的主题乐园集聚地</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_Toc1232 \h </w:instrText>
      </w:r>
      <w:r>
        <w:rPr>
          <w:rFonts w:hint="eastAsia" w:ascii="楷体" w:hAnsi="楷体" w:eastAsia="楷体" w:cs="楷体"/>
          <w:sz w:val="22"/>
          <w:szCs w:val="20"/>
        </w:rPr>
        <w:fldChar w:fldCharType="separate"/>
      </w:r>
      <w:r>
        <w:rPr>
          <w:rFonts w:hint="eastAsia" w:ascii="楷体" w:hAnsi="楷体" w:eastAsia="楷体" w:cs="楷体"/>
          <w:sz w:val="22"/>
          <w:szCs w:val="20"/>
        </w:rPr>
        <w:t>133</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_Toc12965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9． 抓住消费人口代际更迭，拥抱体验经济和互联网时代</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_Toc12965 \h </w:instrText>
      </w:r>
      <w:r>
        <w:rPr>
          <w:rFonts w:hint="eastAsia" w:ascii="楷体" w:hAnsi="楷体" w:eastAsia="楷体" w:cs="楷体"/>
          <w:sz w:val="22"/>
          <w:szCs w:val="20"/>
        </w:rPr>
        <w:fldChar w:fldCharType="separate"/>
      </w:r>
      <w:r>
        <w:rPr>
          <w:rFonts w:hint="eastAsia" w:ascii="楷体" w:hAnsi="楷体" w:eastAsia="楷体" w:cs="楷体"/>
          <w:sz w:val="22"/>
          <w:szCs w:val="20"/>
        </w:rPr>
        <w:t>137</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_Toc17009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10． 建设全域覆盖的“服务中心+服务站”和旅游交通网</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_Toc17009 \h </w:instrText>
      </w:r>
      <w:r>
        <w:rPr>
          <w:rFonts w:hint="eastAsia" w:ascii="楷体" w:hAnsi="楷体" w:eastAsia="楷体" w:cs="楷体"/>
          <w:sz w:val="22"/>
          <w:szCs w:val="20"/>
        </w:rPr>
        <w:fldChar w:fldCharType="separate"/>
      </w:r>
      <w:r>
        <w:rPr>
          <w:rFonts w:hint="eastAsia" w:ascii="楷体" w:hAnsi="楷体" w:eastAsia="楷体" w:cs="楷体"/>
          <w:sz w:val="22"/>
          <w:szCs w:val="20"/>
        </w:rPr>
        <w:t>138</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0"/>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_Toc30490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二、商贸物流服务业发展路径</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_Toc30490 \h </w:instrText>
      </w:r>
      <w:r>
        <w:rPr>
          <w:rFonts w:hint="eastAsia" w:ascii="楷体" w:hAnsi="楷体" w:eastAsia="楷体" w:cs="楷体"/>
          <w:sz w:val="22"/>
          <w:szCs w:val="20"/>
        </w:rPr>
        <w:fldChar w:fldCharType="separate"/>
      </w:r>
      <w:r>
        <w:rPr>
          <w:rFonts w:hint="eastAsia" w:ascii="楷体" w:hAnsi="楷体" w:eastAsia="楷体" w:cs="楷体"/>
          <w:sz w:val="22"/>
          <w:szCs w:val="20"/>
        </w:rPr>
        <w:t>140</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_Toc23843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11． 用好自贸港政策，把全国物流网最南端的劣势变为机遇</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_Toc23843 \h </w:instrText>
      </w:r>
      <w:r>
        <w:rPr>
          <w:rFonts w:hint="eastAsia" w:ascii="楷体" w:hAnsi="楷体" w:eastAsia="楷体" w:cs="楷体"/>
          <w:sz w:val="22"/>
          <w:szCs w:val="20"/>
        </w:rPr>
        <w:fldChar w:fldCharType="separate"/>
      </w:r>
      <w:r>
        <w:rPr>
          <w:rFonts w:hint="eastAsia" w:ascii="楷体" w:hAnsi="楷体" w:eastAsia="楷体" w:cs="楷体"/>
          <w:sz w:val="22"/>
          <w:szCs w:val="20"/>
        </w:rPr>
        <w:t>140</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_Toc20075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12． 做强渔港经济，打造保障南海、服务全球的国际化渔业基地</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_Toc20075 \h </w:instrText>
      </w:r>
      <w:r>
        <w:rPr>
          <w:rFonts w:hint="eastAsia" w:ascii="楷体" w:hAnsi="楷体" w:eastAsia="楷体" w:cs="楷体"/>
          <w:sz w:val="22"/>
          <w:szCs w:val="20"/>
        </w:rPr>
        <w:fldChar w:fldCharType="separate"/>
      </w:r>
      <w:r>
        <w:rPr>
          <w:rFonts w:hint="eastAsia" w:ascii="楷体" w:hAnsi="楷体" w:eastAsia="楷体" w:cs="楷体"/>
          <w:sz w:val="22"/>
          <w:szCs w:val="20"/>
        </w:rPr>
        <w:t>141</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_Toc16928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13． 构建“2+N”电商体系，打造两大电商基地和电商专业村</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_Toc16928 \h </w:instrText>
      </w:r>
      <w:r>
        <w:rPr>
          <w:rFonts w:hint="eastAsia" w:ascii="楷体" w:hAnsi="楷体" w:eastAsia="楷体" w:cs="楷体"/>
          <w:sz w:val="22"/>
          <w:szCs w:val="20"/>
        </w:rPr>
        <w:fldChar w:fldCharType="separate"/>
      </w:r>
      <w:r>
        <w:rPr>
          <w:rFonts w:hint="eastAsia" w:ascii="楷体" w:hAnsi="楷体" w:eastAsia="楷体" w:cs="楷体"/>
          <w:sz w:val="22"/>
          <w:szCs w:val="20"/>
        </w:rPr>
        <w:t>143</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_Toc15174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14． 打造农产品渠道商供应专线，尽量减少中间流通环节</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_Toc15174 \h </w:instrText>
      </w:r>
      <w:r>
        <w:rPr>
          <w:rFonts w:hint="eastAsia" w:ascii="楷体" w:hAnsi="楷体" w:eastAsia="楷体" w:cs="楷体"/>
          <w:sz w:val="22"/>
          <w:szCs w:val="20"/>
        </w:rPr>
        <w:fldChar w:fldCharType="separate"/>
      </w:r>
      <w:r>
        <w:rPr>
          <w:rFonts w:hint="eastAsia" w:ascii="楷体" w:hAnsi="楷体" w:eastAsia="楷体" w:cs="楷体"/>
          <w:sz w:val="22"/>
          <w:szCs w:val="20"/>
        </w:rPr>
        <w:t>144</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_Toc4658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15． 推进商业综合体落地，优化商业网点，发展免税专业店</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_Toc4658 \h </w:instrText>
      </w:r>
      <w:r>
        <w:rPr>
          <w:rFonts w:hint="eastAsia" w:ascii="楷体" w:hAnsi="楷体" w:eastAsia="楷体" w:cs="楷体"/>
          <w:sz w:val="22"/>
          <w:szCs w:val="20"/>
        </w:rPr>
        <w:fldChar w:fldCharType="separate"/>
      </w:r>
      <w:r>
        <w:rPr>
          <w:rFonts w:hint="eastAsia" w:ascii="楷体" w:hAnsi="楷体" w:eastAsia="楷体" w:cs="楷体"/>
          <w:sz w:val="22"/>
          <w:szCs w:val="20"/>
        </w:rPr>
        <w:t>145</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_Toc18628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16． 承担北菜南运功能，向大三亚区域供应进岛农产品</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_Toc18628 \h </w:instrText>
      </w:r>
      <w:r>
        <w:rPr>
          <w:rFonts w:hint="eastAsia" w:ascii="楷体" w:hAnsi="楷体" w:eastAsia="楷体" w:cs="楷体"/>
          <w:sz w:val="22"/>
          <w:szCs w:val="20"/>
        </w:rPr>
        <w:fldChar w:fldCharType="separate"/>
      </w:r>
      <w:r>
        <w:rPr>
          <w:rFonts w:hint="eastAsia" w:ascii="楷体" w:hAnsi="楷体" w:eastAsia="楷体" w:cs="楷体"/>
          <w:sz w:val="22"/>
          <w:szCs w:val="20"/>
        </w:rPr>
        <w:t>146</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_Toc11195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17． 发展第三方养老服务业，培育壮大健康产业</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_Toc11195 \h </w:instrText>
      </w:r>
      <w:r>
        <w:rPr>
          <w:rFonts w:hint="eastAsia" w:ascii="楷体" w:hAnsi="楷体" w:eastAsia="楷体" w:cs="楷体"/>
          <w:sz w:val="22"/>
          <w:szCs w:val="20"/>
        </w:rPr>
        <w:fldChar w:fldCharType="separate"/>
      </w:r>
      <w:r>
        <w:rPr>
          <w:rFonts w:hint="eastAsia" w:ascii="楷体" w:hAnsi="楷体" w:eastAsia="楷体" w:cs="楷体"/>
          <w:sz w:val="22"/>
          <w:szCs w:val="20"/>
        </w:rPr>
        <w:t>146</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6"/>
        <w:tabs>
          <w:tab w:val="right" w:leader="dot" w:pos="8306"/>
        </w:tabs>
        <w:ind w:left="0" w:leftChars="0" w:firstLine="883" w:firstLineChars="400"/>
        <w:rPr>
          <w:rFonts w:hint="eastAsia" w:ascii="楷体" w:hAnsi="楷体" w:eastAsia="楷体" w:cs="楷体"/>
          <w:b/>
          <w:bCs/>
          <w:color w:val="auto"/>
          <w:sz w:val="22"/>
          <w:szCs w:val="20"/>
          <w:lang w:val="en-US" w:eastAsia="zh-CN"/>
        </w:rPr>
      </w:pP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HYPERLINK \l _Toc1216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第四节  发展目标</w:t>
      </w:r>
      <w:r>
        <w:rPr>
          <w:rFonts w:hint="eastAsia" w:ascii="楷体" w:hAnsi="楷体" w:eastAsia="楷体" w:cs="楷体"/>
          <w:b/>
          <w:bCs/>
          <w:color w:val="auto"/>
          <w:sz w:val="22"/>
          <w:szCs w:val="20"/>
          <w:lang w:val="en-US" w:eastAsia="zh-CN"/>
        </w:rPr>
        <w:tab/>
      </w: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PAGEREF _Toc1216 \h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147</w:t>
      </w:r>
      <w:r>
        <w:rPr>
          <w:rFonts w:hint="eastAsia" w:ascii="楷体" w:hAnsi="楷体" w:eastAsia="楷体" w:cs="楷体"/>
          <w:b/>
          <w:bCs/>
          <w:color w:val="auto"/>
          <w:sz w:val="22"/>
          <w:szCs w:val="20"/>
          <w:lang w:val="en-US" w:eastAsia="zh-CN"/>
        </w:rPr>
        <w:fldChar w:fldCharType="end"/>
      </w:r>
      <w:r>
        <w:rPr>
          <w:rFonts w:hint="eastAsia" w:ascii="楷体" w:hAnsi="楷体" w:eastAsia="楷体" w:cs="楷体"/>
          <w:b/>
          <w:bCs/>
          <w:color w:val="auto"/>
          <w:sz w:val="22"/>
          <w:szCs w:val="20"/>
          <w:lang w:val="en-US" w:eastAsia="zh-CN"/>
        </w:rPr>
        <w:fldChar w:fldCharType="end"/>
      </w:r>
    </w:p>
    <w:p>
      <w:pPr>
        <w:pStyle w:val="10"/>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_Toc29220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一、细分领域</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_Toc29220 \h </w:instrText>
      </w:r>
      <w:r>
        <w:rPr>
          <w:rFonts w:hint="eastAsia" w:ascii="楷体" w:hAnsi="楷体" w:eastAsia="楷体" w:cs="楷体"/>
          <w:sz w:val="22"/>
          <w:szCs w:val="20"/>
        </w:rPr>
        <w:fldChar w:fldCharType="separate"/>
      </w:r>
      <w:r>
        <w:rPr>
          <w:rFonts w:hint="eastAsia" w:ascii="楷体" w:hAnsi="楷体" w:eastAsia="楷体" w:cs="楷体"/>
          <w:sz w:val="22"/>
          <w:szCs w:val="20"/>
        </w:rPr>
        <w:t>147</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0"/>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_Toc1552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二、发展目标</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_Toc1552 \h </w:instrText>
      </w:r>
      <w:r>
        <w:rPr>
          <w:rFonts w:hint="eastAsia" w:ascii="楷体" w:hAnsi="楷体" w:eastAsia="楷体" w:cs="楷体"/>
          <w:sz w:val="22"/>
          <w:szCs w:val="20"/>
        </w:rPr>
        <w:fldChar w:fldCharType="separate"/>
      </w:r>
      <w:r>
        <w:rPr>
          <w:rFonts w:hint="eastAsia" w:ascii="楷体" w:hAnsi="楷体" w:eastAsia="楷体" w:cs="楷体"/>
          <w:sz w:val="22"/>
          <w:szCs w:val="20"/>
        </w:rPr>
        <w:t>149</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6"/>
        <w:tabs>
          <w:tab w:val="right" w:leader="dot" w:pos="8306"/>
        </w:tabs>
        <w:ind w:left="0" w:leftChars="0" w:firstLine="883" w:firstLineChars="400"/>
        <w:rPr>
          <w:rFonts w:hint="eastAsia" w:ascii="楷体" w:hAnsi="楷体" w:eastAsia="楷体" w:cs="楷体"/>
          <w:b/>
          <w:bCs/>
          <w:color w:val="auto"/>
          <w:sz w:val="22"/>
          <w:szCs w:val="20"/>
          <w:lang w:val="en-US" w:eastAsia="zh-CN"/>
        </w:rPr>
      </w:pP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HYPERLINK \l _Toc9651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第五节  产业布局</w:t>
      </w:r>
      <w:r>
        <w:rPr>
          <w:rFonts w:hint="eastAsia" w:ascii="楷体" w:hAnsi="楷体" w:eastAsia="楷体" w:cs="楷体"/>
          <w:b/>
          <w:bCs/>
          <w:color w:val="auto"/>
          <w:sz w:val="22"/>
          <w:szCs w:val="20"/>
          <w:lang w:val="en-US" w:eastAsia="zh-CN"/>
        </w:rPr>
        <w:tab/>
      </w: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PAGEREF _Toc9651 \h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151</w:t>
      </w:r>
      <w:r>
        <w:rPr>
          <w:rFonts w:hint="eastAsia" w:ascii="楷体" w:hAnsi="楷体" w:eastAsia="楷体" w:cs="楷体"/>
          <w:b/>
          <w:bCs/>
          <w:color w:val="auto"/>
          <w:sz w:val="22"/>
          <w:szCs w:val="20"/>
          <w:lang w:val="en-US" w:eastAsia="zh-CN"/>
        </w:rPr>
        <w:fldChar w:fldCharType="end"/>
      </w:r>
      <w:r>
        <w:rPr>
          <w:rFonts w:hint="eastAsia" w:ascii="楷体" w:hAnsi="楷体" w:eastAsia="楷体" w:cs="楷体"/>
          <w:b/>
          <w:bCs/>
          <w:color w:val="auto"/>
          <w:sz w:val="22"/>
          <w:szCs w:val="20"/>
          <w:lang w:val="en-US" w:eastAsia="zh-CN"/>
        </w:rPr>
        <w:fldChar w:fldCharType="end"/>
      </w:r>
    </w:p>
    <w:p>
      <w:pPr>
        <w:pStyle w:val="10"/>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_Toc9605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一、旅游业布局</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_Toc9605 \h </w:instrText>
      </w:r>
      <w:r>
        <w:rPr>
          <w:rFonts w:hint="eastAsia" w:ascii="楷体" w:hAnsi="楷体" w:eastAsia="楷体" w:cs="楷体"/>
          <w:sz w:val="22"/>
          <w:szCs w:val="20"/>
        </w:rPr>
        <w:fldChar w:fldCharType="separate"/>
      </w:r>
      <w:r>
        <w:rPr>
          <w:rFonts w:hint="eastAsia" w:ascii="楷体" w:hAnsi="楷体" w:eastAsia="楷体" w:cs="楷体"/>
          <w:sz w:val="22"/>
          <w:szCs w:val="20"/>
        </w:rPr>
        <w:t>151</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0"/>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_Toc30481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二、商贸物流业布局</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_Toc30481 \h </w:instrText>
      </w:r>
      <w:r>
        <w:rPr>
          <w:rFonts w:hint="eastAsia" w:ascii="楷体" w:hAnsi="楷体" w:eastAsia="楷体" w:cs="楷体"/>
          <w:sz w:val="22"/>
          <w:szCs w:val="20"/>
        </w:rPr>
        <w:fldChar w:fldCharType="separate"/>
      </w:r>
      <w:r>
        <w:rPr>
          <w:rFonts w:hint="eastAsia" w:ascii="楷体" w:hAnsi="楷体" w:eastAsia="楷体" w:cs="楷体"/>
          <w:sz w:val="22"/>
          <w:szCs w:val="20"/>
        </w:rPr>
        <w:t>154</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6"/>
        <w:tabs>
          <w:tab w:val="right" w:leader="dot" w:pos="8306"/>
        </w:tabs>
        <w:ind w:left="0" w:leftChars="0" w:firstLine="883" w:firstLineChars="400"/>
        <w:rPr>
          <w:rFonts w:hint="eastAsia" w:ascii="楷体" w:hAnsi="楷体" w:eastAsia="楷体" w:cs="楷体"/>
          <w:b/>
          <w:bCs/>
          <w:color w:val="auto"/>
          <w:sz w:val="22"/>
          <w:szCs w:val="20"/>
          <w:lang w:val="en-US" w:eastAsia="zh-CN"/>
        </w:rPr>
      </w:pP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HYPERLINK \l _Toc2002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第六节  项目策划</w:t>
      </w:r>
      <w:r>
        <w:rPr>
          <w:rFonts w:hint="eastAsia" w:ascii="楷体" w:hAnsi="楷体" w:eastAsia="楷体" w:cs="楷体"/>
          <w:b/>
          <w:bCs/>
          <w:color w:val="auto"/>
          <w:sz w:val="22"/>
          <w:szCs w:val="20"/>
          <w:lang w:val="en-US" w:eastAsia="zh-CN"/>
        </w:rPr>
        <w:tab/>
      </w: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PAGEREF _Toc2002 \h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156</w:t>
      </w:r>
      <w:r>
        <w:rPr>
          <w:rFonts w:hint="eastAsia" w:ascii="楷体" w:hAnsi="楷体" w:eastAsia="楷体" w:cs="楷体"/>
          <w:b/>
          <w:bCs/>
          <w:color w:val="auto"/>
          <w:sz w:val="22"/>
          <w:szCs w:val="20"/>
          <w:lang w:val="en-US" w:eastAsia="zh-CN"/>
        </w:rPr>
        <w:fldChar w:fldCharType="end"/>
      </w:r>
      <w:r>
        <w:rPr>
          <w:rFonts w:hint="eastAsia" w:ascii="楷体" w:hAnsi="楷体" w:eastAsia="楷体" w:cs="楷体"/>
          <w:b/>
          <w:bCs/>
          <w:color w:val="auto"/>
          <w:sz w:val="22"/>
          <w:szCs w:val="20"/>
          <w:lang w:val="en-US" w:eastAsia="zh-CN"/>
        </w:rPr>
        <w:fldChar w:fldCharType="end"/>
      </w:r>
    </w:p>
    <w:p>
      <w:pPr>
        <w:pStyle w:val="10"/>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_Toc7182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一、旅游业项目策划</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_Toc7182 \h </w:instrText>
      </w:r>
      <w:r>
        <w:rPr>
          <w:rFonts w:hint="eastAsia" w:ascii="楷体" w:hAnsi="楷体" w:eastAsia="楷体" w:cs="楷体"/>
          <w:sz w:val="22"/>
          <w:szCs w:val="20"/>
        </w:rPr>
        <w:fldChar w:fldCharType="separate"/>
      </w:r>
      <w:r>
        <w:rPr>
          <w:rFonts w:hint="eastAsia" w:ascii="楷体" w:hAnsi="楷体" w:eastAsia="楷体" w:cs="楷体"/>
          <w:sz w:val="22"/>
          <w:szCs w:val="20"/>
        </w:rPr>
        <w:t>156</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0"/>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_Toc18383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二、商贸物流业项目策划</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_Toc18383 \h </w:instrText>
      </w:r>
      <w:r>
        <w:rPr>
          <w:rFonts w:hint="eastAsia" w:ascii="楷体" w:hAnsi="楷体" w:eastAsia="楷体" w:cs="楷体"/>
          <w:sz w:val="22"/>
          <w:szCs w:val="20"/>
        </w:rPr>
        <w:fldChar w:fldCharType="separate"/>
      </w:r>
      <w:r>
        <w:rPr>
          <w:rFonts w:hint="eastAsia" w:ascii="楷体" w:hAnsi="楷体" w:eastAsia="楷体" w:cs="楷体"/>
          <w:sz w:val="22"/>
          <w:szCs w:val="20"/>
        </w:rPr>
        <w:t>162</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6"/>
        <w:tabs>
          <w:tab w:val="right" w:leader="dot" w:pos="8306"/>
        </w:tabs>
        <w:ind w:left="0" w:leftChars="0" w:firstLine="883" w:firstLineChars="400"/>
        <w:rPr>
          <w:rFonts w:hint="eastAsia" w:ascii="楷体" w:hAnsi="楷体" w:eastAsia="楷体" w:cs="楷体"/>
          <w:b/>
          <w:bCs/>
          <w:color w:val="auto"/>
          <w:sz w:val="22"/>
          <w:szCs w:val="20"/>
          <w:lang w:val="en-US" w:eastAsia="zh-CN"/>
        </w:rPr>
      </w:pP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HYPERLINK \l _Toc5981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第七节  招商建议</w:t>
      </w:r>
      <w:r>
        <w:rPr>
          <w:rFonts w:hint="eastAsia" w:ascii="楷体" w:hAnsi="楷体" w:eastAsia="楷体" w:cs="楷体"/>
          <w:b/>
          <w:bCs/>
          <w:color w:val="auto"/>
          <w:sz w:val="22"/>
          <w:szCs w:val="20"/>
          <w:lang w:val="en-US" w:eastAsia="zh-CN"/>
        </w:rPr>
        <w:tab/>
      </w: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PAGEREF _Toc5981 \h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165</w:t>
      </w:r>
      <w:r>
        <w:rPr>
          <w:rFonts w:hint="eastAsia" w:ascii="楷体" w:hAnsi="楷体" w:eastAsia="楷体" w:cs="楷体"/>
          <w:b/>
          <w:bCs/>
          <w:color w:val="auto"/>
          <w:sz w:val="22"/>
          <w:szCs w:val="20"/>
          <w:lang w:val="en-US" w:eastAsia="zh-CN"/>
        </w:rPr>
        <w:fldChar w:fldCharType="end"/>
      </w:r>
      <w:r>
        <w:rPr>
          <w:rFonts w:hint="eastAsia" w:ascii="楷体" w:hAnsi="楷体" w:eastAsia="楷体" w:cs="楷体"/>
          <w:b/>
          <w:bCs/>
          <w:color w:val="auto"/>
          <w:sz w:val="22"/>
          <w:szCs w:val="20"/>
          <w:lang w:val="en-US" w:eastAsia="zh-CN"/>
        </w:rPr>
        <w:fldChar w:fldCharType="end"/>
      </w:r>
    </w:p>
    <w:p>
      <w:pPr>
        <w:pStyle w:val="10"/>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_Toc19380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一、旅游业招商建议</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_Toc19380 \h </w:instrText>
      </w:r>
      <w:r>
        <w:rPr>
          <w:rFonts w:hint="eastAsia" w:ascii="楷体" w:hAnsi="楷体" w:eastAsia="楷体" w:cs="楷体"/>
          <w:sz w:val="22"/>
          <w:szCs w:val="20"/>
        </w:rPr>
        <w:fldChar w:fldCharType="separate"/>
      </w:r>
      <w:r>
        <w:rPr>
          <w:rFonts w:hint="eastAsia" w:ascii="楷体" w:hAnsi="楷体" w:eastAsia="楷体" w:cs="楷体"/>
          <w:sz w:val="22"/>
          <w:szCs w:val="20"/>
        </w:rPr>
        <w:t>165</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0"/>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_Toc13151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二、商贸物流业招商建议</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_Toc13151 \h </w:instrText>
      </w:r>
      <w:r>
        <w:rPr>
          <w:rFonts w:hint="eastAsia" w:ascii="楷体" w:hAnsi="楷体" w:eastAsia="楷体" w:cs="楷体"/>
          <w:sz w:val="22"/>
          <w:szCs w:val="20"/>
        </w:rPr>
        <w:fldChar w:fldCharType="separate"/>
      </w:r>
      <w:r>
        <w:rPr>
          <w:rFonts w:hint="eastAsia" w:ascii="楷体" w:hAnsi="楷体" w:eastAsia="楷体" w:cs="楷体"/>
          <w:sz w:val="22"/>
          <w:szCs w:val="20"/>
        </w:rPr>
        <w:t>170</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3"/>
        <w:tabs>
          <w:tab w:val="right" w:leader="dot" w:pos="8306"/>
        </w:tabs>
        <w:ind w:left="0" w:leftChars="0" w:firstLine="0" w:firstLineChars="0"/>
        <w:rPr>
          <w:rFonts w:hint="eastAsia" w:ascii="黑体" w:hAnsi="黑体" w:eastAsia="黑体" w:cs="黑体"/>
          <w:b w:val="0"/>
          <w:bCs w:val="0"/>
          <w:color w:val="auto"/>
          <w:sz w:val="24"/>
          <w:szCs w:val="21"/>
          <w:lang w:val="en-US" w:eastAsia="zh-CN"/>
        </w:rPr>
      </w:pPr>
      <w:r>
        <w:rPr>
          <w:rFonts w:hint="eastAsia" w:ascii="黑体" w:hAnsi="黑体" w:eastAsia="黑体" w:cs="黑体"/>
          <w:b w:val="0"/>
          <w:bCs w:val="0"/>
          <w:color w:val="auto"/>
          <w:sz w:val="24"/>
          <w:szCs w:val="21"/>
          <w:lang w:val="en-US" w:eastAsia="zh-CN"/>
        </w:rPr>
        <w:fldChar w:fldCharType="begin"/>
      </w:r>
      <w:r>
        <w:rPr>
          <w:rFonts w:hint="eastAsia" w:ascii="黑体" w:hAnsi="黑体" w:eastAsia="黑体" w:cs="黑体"/>
          <w:b w:val="0"/>
          <w:bCs w:val="0"/>
          <w:color w:val="auto"/>
          <w:sz w:val="24"/>
          <w:szCs w:val="21"/>
          <w:lang w:val="en-US" w:eastAsia="zh-CN"/>
        </w:rPr>
        <w:instrText xml:space="preserve"> HYPERLINK \l _Toc25914 </w:instrText>
      </w:r>
      <w:r>
        <w:rPr>
          <w:rFonts w:hint="eastAsia" w:ascii="黑体" w:hAnsi="黑体" w:eastAsia="黑体" w:cs="黑体"/>
          <w:b w:val="0"/>
          <w:bCs w:val="0"/>
          <w:color w:val="auto"/>
          <w:sz w:val="24"/>
          <w:szCs w:val="21"/>
          <w:lang w:val="en-US" w:eastAsia="zh-CN"/>
        </w:rPr>
        <w:fldChar w:fldCharType="separate"/>
      </w:r>
      <w:r>
        <w:rPr>
          <w:rFonts w:hint="eastAsia" w:ascii="黑体" w:hAnsi="黑体" w:eastAsia="黑体" w:cs="黑体"/>
          <w:b w:val="0"/>
          <w:bCs w:val="0"/>
          <w:color w:val="auto"/>
          <w:sz w:val="24"/>
          <w:szCs w:val="21"/>
          <w:lang w:val="en-US" w:eastAsia="zh-CN"/>
        </w:rPr>
        <w:t>第六章  重点项目谋划</w:t>
      </w:r>
      <w:r>
        <w:rPr>
          <w:rFonts w:hint="eastAsia" w:ascii="黑体" w:hAnsi="黑体" w:eastAsia="黑体" w:cs="黑体"/>
          <w:b w:val="0"/>
          <w:bCs w:val="0"/>
          <w:color w:val="auto"/>
          <w:sz w:val="24"/>
          <w:szCs w:val="21"/>
          <w:lang w:val="en-US" w:eastAsia="zh-CN"/>
        </w:rPr>
        <w:tab/>
      </w:r>
      <w:r>
        <w:rPr>
          <w:rFonts w:hint="eastAsia" w:ascii="黑体" w:hAnsi="黑体" w:eastAsia="黑体" w:cs="黑体"/>
          <w:b w:val="0"/>
          <w:bCs w:val="0"/>
          <w:color w:val="auto"/>
          <w:sz w:val="24"/>
          <w:szCs w:val="21"/>
          <w:lang w:val="en-US" w:eastAsia="zh-CN"/>
        </w:rPr>
        <w:fldChar w:fldCharType="begin"/>
      </w:r>
      <w:r>
        <w:rPr>
          <w:rFonts w:hint="eastAsia" w:ascii="黑体" w:hAnsi="黑体" w:eastAsia="黑体" w:cs="黑体"/>
          <w:b w:val="0"/>
          <w:bCs w:val="0"/>
          <w:color w:val="auto"/>
          <w:sz w:val="24"/>
          <w:szCs w:val="21"/>
          <w:lang w:val="en-US" w:eastAsia="zh-CN"/>
        </w:rPr>
        <w:instrText xml:space="preserve"> PAGEREF _Toc25914 \h </w:instrText>
      </w:r>
      <w:r>
        <w:rPr>
          <w:rFonts w:hint="eastAsia" w:ascii="黑体" w:hAnsi="黑体" w:eastAsia="黑体" w:cs="黑体"/>
          <w:b w:val="0"/>
          <w:bCs w:val="0"/>
          <w:color w:val="auto"/>
          <w:sz w:val="24"/>
          <w:szCs w:val="21"/>
          <w:lang w:val="en-US" w:eastAsia="zh-CN"/>
        </w:rPr>
        <w:fldChar w:fldCharType="separate"/>
      </w:r>
      <w:r>
        <w:rPr>
          <w:rFonts w:hint="eastAsia" w:ascii="黑体" w:hAnsi="黑体" w:eastAsia="黑体" w:cs="黑体"/>
          <w:b w:val="0"/>
          <w:bCs w:val="0"/>
          <w:color w:val="auto"/>
          <w:sz w:val="24"/>
          <w:szCs w:val="21"/>
          <w:lang w:val="en-US" w:eastAsia="zh-CN"/>
        </w:rPr>
        <w:t>172</w:t>
      </w:r>
      <w:r>
        <w:rPr>
          <w:rFonts w:hint="eastAsia" w:ascii="黑体" w:hAnsi="黑体" w:eastAsia="黑体" w:cs="黑体"/>
          <w:b w:val="0"/>
          <w:bCs w:val="0"/>
          <w:color w:val="auto"/>
          <w:sz w:val="24"/>
          <w:szCs w:val="21"/>
          <w:lang w:val="en-US" w:eastAsia="zh-CN"/>
        </w:rPr>
        <w:fldChar w:fldCharType="end"/>
      </w:r>
      <w:r>
        <w:rPr>
          <w:rFonts w:hint="eastAsia" w:ascii="黑体" w:hAnsi="黑体" w:eastAsia="黑体" w:cs="黑体"/>
          <w:b w:val="0"/>
          <w:bCs w:val="0"/>
          <w:color w:val="auto"/>
          <w:sz w:val="24"/>
          <w:szCs w:val="21"/>
          <w:lang w:val="en-US" w:eastAsia="zh-CN"/>
        </w:rPr>
        <w:fldChar w:fldCharType="end"/>
      </w:r>
    </w:p>
    <w:p>
      <w:pPr>
        <w:pStyle w:val="16"/>
        <w:tabs>
          <w:tab w:val="right" w:leader="dot" w:pos="8306"/>
        </w:tabs>
        <w:ind w:left="0" w:leftChars="0" w:firstLine="883" w:firstLineChars="400"/>
        <w:rPr>
          <w:rFonts w:hint="eastAsia" w:ascii="楷体" w:hAnsi="楷体" w:eastAsia="楷体" w:cs="楷体"/>
          <w:b/>
          <w:bCs/>
          <w:color w:val="auto"/>
          <w:sz w:val="22"/>
          <w:szCs w:val="20"/>
          <w:lang w:val="en-US" w:eastAsia="zh-CN"/>
        </w:rPr>
      </w:pP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HYPERLINK \l _Toc28740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一、 国家老龄委中国长寿康养示范基地项目</w:t>
      </w:r>
      <w:r>
        <w:rPr>
          <w:rFonts w:hint="eastAsia" w:ascii="楷体" w:hAnsi="楷体" w:eastAsia="楷体" w:cs="楷体"/>
          <w:b/>
          <w:bCs/>
          <w:color w:val="auto"/>
          <w:sz w:val="22"/>
          <w:szCs w:val="20"/>
          <w:lang w:val="en-US" w:eastAsia="zh-CN"/>
        </w:rPr>
        <w:tab/>
      </w: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PAGEREF _Toc28740 \h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173</w:t>
      </w:r>
      <w:r>
        <w:rPr>
          <w:rFonts w:hint="eastAsia" w:ascii="楷体" w:hAnsi="楷体" w:eastAsia="楷体" w:cs="楷体"/>
          <w:b/>
          <w:bCs/>
          <w:color w:val="auto"/>
          <w:sz w:val="22"/>
          <w:szCs w:val="20"/>
          <w:lang w:val="en-US" w:eastAsia="zh-CN"/>
        </w:rPr>
        <w:fldChar w:fldCharType="end"/>
      </w:r>
      <w:r>
        <w:rPr>
          <w:rFonts w:hint="eastAsia" w:ascii="楷体" w:hAnsi="楷体" w:eastAsia="楷体" w:cs="楷体"/>
          <w:b/>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_Toc7115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1.项目概况</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_Toc7115 \h </w:instrText>
      </w:r>
      <w:r>
        <w:rPr>
          <w:rFonts w:hint="eastAsia" w:ascii="楷体" w:hAnsi="楷体" w:eastAsia="楷体" w:cs="楷体"/>
          <w:sz w:val="22"/>
          <w:szCs w:val="20"/>
        </w:rPr>
        <w:fldChar w:fldCharType="separate"/>
      </w:r>
      <w:r>
        <w:rPr>
          <w:rFonts w:hint="eastAsia" w:ascii="楷体" w:hAnsi="楷体" w:eastAsia="楷体" w:cs="楷体"/>
          <w:sz w:val="22"/>
          <w:szCs w:val="20"/>
        </w:rPr>
        <w:t>173</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_Toc26614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2.已有案例借鉴</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_Toc26614 \h </w:instrText>
      </w:r>
      <w:r>
        <w:rPr>
          <w:rFonts w:hint="eastAsia" w:ascii="楷体" w:hAnsi="楷体" w:eastAsia="楷体" w:cs="楷体"/>
          <w:sz w:val="22"/>
          <w:szCs w:val="20"/>
        </w:rPr>
        <w:fldChar w:fldCharType="separate"/>
      </w:r>
      <w:r>
        <w:rPr>
          <w:rFonts w:hint="eastAsia" w:ascii="楷体" w:hAnsi="楷体" w:eastAsia="楷体" w:cs="楷体"/>
          <w:sz w:val="22"/>
          <w:szCs w:val="20"/>
        </w:rPr>
        <w:t>173</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_Toc14629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3.崖州康养项目谋划建议</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_Toc14629 \h </w:instrText>
      </w:r>
      <w:r>
        <w:rPr>
          <w:rFonts w:hint="eastAsia" w:ascii="楷体" w:hAnsi="楷体" w:eastAsia="楷体" w:cs="楷体"/>
          <w:sz w:val="22"/>
          <w:szCs w:val="20"/>
        </w:rPr>
        <w:fldChar w:fldCharType="separate"/>
      </w:r>
      <w:r>
        <w:rPr>
          <w:rFonts w:hint="eastAsia" w:ascii="楷体" w:hAnsi="楷体" w:eastAsia="楷体" w:cs="楷体"/>
          <w:sz w:val="22"/>
          <w:szCs w:val="20"/>
        </w:rPr>
        <w:t>173</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6"/>
        <w:tabs>
          <w:tab w:val="right" w:leader="dot" w:pos="8306"/>
        </w:tabs>
        <w:ind w:left="0" w:leftChars="0" w:firstLine="883" w:firstLineChars="400"/>
        <w:rPr>
          <w:rFonts w:hint="eastAsia" w:ascii="楷体" w:hAnsi="楷体" w:eastAsia="楷体" w:cs="楷体"/>
          <w:b/>
          <w:bCs/>
          <w:color w:val="auto"/>
          <w:sz w:val="22"/>
          <w:szCs w:val="20"/>
          <w:lang w:val="en-US" w:eastAsia="zh-CN"/>
        </w:rPr>
      </w:pP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HYPERLINK \l _Toc32437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二、 哈佛中国国际医疗中心（康复中心）项目</w:t>
      </w:r>
      <w:r>
        <w:rPr>
          <w:rFonts w:hint="eastAsia" w:ascii="楷体" w:hAnsi="楷体" w:eastAsia="楷体" w:cs="楷体"/>
          <w:b/>
          <w:bCs/>
          <w:color w:val="auto"/>
          <w:sz w:val="22"/>
          <w:szCs w:val="20"/>
          <w:lang w:val="en-US" w:eastAsia="zh-CN"/>
        </w:rPr>
        <w:tab/>
      </w: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PAGEREF _Toc32437 \h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175</w:t>
      </w:r>
      <w:r>
        <w:rPr>
          <w:rFonts w:hint="eastAsia" w:ascii="楷体" w:hAnsi="楷体" w:eastAsia="楷体" w:cs="楷体"/>
          <w:b/>
          <w:bCs/>
          <w:color w:val="auto"/>
          <w:sz w:val="22"/>
          <w:szCs w:val="20"/>
          <w:lang w:val="en-US" w:eastAsia="zh-CN"/>
        </w:rPr>
        <w:fldChar w:fldCharType="end"/>
      </w:r>
      <w:r>
        <w:rPr>
          <w:rFonts w:hint="eastAsia" w:ascii="楷体" w:hAnsi="楷体" w:eastAsia="楷体" w:cs="楷体"/>
          <w:b/>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_Toc13339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1.项目概况</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_Toc13339 \h </w:instrText>
      </w:r>
      <w:r>
        <w:rPr>
          <w:rFonts w:hint="eastAsia" w:ascii="楷体" w:hAnsi="楷体" w:eastAsia="楷体" w:cs="楷体"/>
          <w:sz w:val="22"/>
          <w:szCs w:val="20"/>
        </w:rPr>
        <w:fldChar w:fldCharType="separate"/>
      </w:r>
      <w:r>
        <w:rPr>
          <w:rFonts w:hint="eastAsia" w:ascii="楷体" w:hAnsi="楷体" w:eastAsia="楷体" w:cs="楷体"/>
          <w:sz w:val="22"/>
          <w:szCs w:val="20"/>
        </w:rPr>
        <w:t>175</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_Toc11604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2.发展模式</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_Toc11604 \h </w:instrText>
      </w:r>
      <w:r>
        <w:rPr>
          <w:rFonts w:hint="eastAsia" w:ascii="楷体" w:hAnsi="楷体" w:eastAsia="楷体" w:cs="楷体"/>
          <w:sz w:val="22"/>
          <w:szCs w:val="20"/>
        </w:rPr>
        <w:fldChar w:fldCharType="separate"/>
      </w:r>
      <w:r>
        <w:rPr>
          <w:rFonts w:hint="eastAsia" w:ascii="楷体" w:hAnsi="楷体" w:eastAsia="楷体" w:cs="楷体"/>
          <w:sz w:val="22"/>
          <w:szCs w:val="20"/>
        </w:rPr>
        <w:t>175</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6"/>
        <w:tabs>
          <w:tab w:val="right" w:leader="dot" w:pos="8306"/>
        </w:tabs>
        <w:ind w:left="0" w:leftChars="0" w:firstLine="883" w:firstLineChars="400"/>
        <w:rPr>
          <w:rFonts w:hint="eastAsia" w:ascii="楷体" w:hAnsi="楷体" w:eastAsia="楷体" w:cs="楷体"/>
          <w:b/>
          <w:bCs/>
          <w:color w:val="auto"/>
          <w:sz w:val="22"/>
          <w:szCs w:val="20"/>
          <w:lang w:val="en-US" w:eastAsia="zh-CN"/>
        </w:rPr>
      </w:pP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HYPERLINK \l _Toc12891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三、 中国平安靶向药物工程研究中心拟工程化项目</w:t>
      </w:r>
      <w:r>
        <w:rPr>
          <w:rFonts w:hint="eastAsia" w:ascii="楷体" w:hAnsi="楷体" w:eastAsia="楷体" w:cs="楷体"/>
          <w:b/>
          <w:bCs/>
          <w:color w:val="auto"/>
          <w:sz w:val="22"/>
          <w:szCs w:val="20"/>
          <w:lang w:val="en-US" w:eastAsia="zh-CN"/>
        </w:rPr>
        <w:tab/>
      </w: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PAGEREF _Toc12891 \h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176</w:t>
      </w:r>
      <w:r>
        <w:rPr>
          <w:rFonts w:hint="eastAsia" w:ascii="楷体" w:hAnsi="楷体" w:eastAsia="楷体" w:cs="楷体"/>
          <w:b/>
          <w:bCs/>
          <w:color w:val="auto"/>
          <w:sz w:val="22"/>
          <w:szCs w:val="20"/>
          <w:lang w:val="en-US" w:eastAsia="zh-CN"/>
        </w:rPr>
        <w:fldChar w:fldCharType="end"/>
      </w:r>
      <w:r>
        <w:rPr>
          <w:rFonts w:hint="eastAsia" w:ascii="楷体" w:hAnsi="楷体" w:eastAsia="楷体" w:cs="楷体"/>
          <w:b/>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_Toc23140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1.项目概况</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_Toc23140 \h </w:instrText>
      </w:r>
      <w:r>
        <w:rPr>
          <w:rFonts w:hint="eastAsia" w:ascii="楷体" w:hAnsi="楷体" w:eastAsia="楷体" w:cs="楷体"/>
          <w:sz w:val="22"/>
          <w:szCs w:val="20"/>
        </w:rPr>
        <w:fldChar w:fldCharType="separate"/>
      </w:r>
      <w:r>
        <w:rPr>
          <w:rFonts w:hint="eastAsia" w:ascii="楷体" w:hAnsi="楷体" w:eastAsia="楷体" w:cs="楷体"/>
          <w:sz w:val="22"/>
          <w:szCs w:val="20"/>
        </w:rPr>
        <w:t>176</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_Toc24926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2.建设内容和建设参与方</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_Toc24926 \h </w:instrText>
      </w:r>
      <w:r>
        <w:rPr>
          <w:rFonts w:hint="eastAsia" w:ascii="楷体" w:hAnsi="楷体" w:eastAsia="楷体" w:cs="楷体"/>
          <w:sz w:val="22"/>
          <w:szCs w:val="20"/>
        </w:rPr>
        <w:fldChar w:fldCharType="separate"/>
      </w:r>
      <w:r>
        <w:rPr>
          <w:rFonts w:hint="eastAsia" w:ascii="楷体" w:hAnsi="楷体" w:eastAsia="楷体" w:cs="楷体"/>
          <w:sz w:val="22"/>
          <w:szCs w:val="20"/>
        </w:rPr>
        <w:t>177</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_Toc8674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3.效益目标</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_Toc8674 \h </w:instrText>
      </w:r>
      <w:r>
        <w:rPr>
          <w:rFonts w:hint="eastAsia" w:ascii="楷体" w:hAnsi="楷体" w:eastAsia="楷体" w:cs="楷体"/>
          <w:sz w:val="22"/>
          <w:szCs w:val="20"/>
        </w:rPr>
        <w:fldChar w:fldCharType="separate"/>
      </w:r>
      <w:r>
        <w:rPr>
          <w:rFonts w:hint="eastAsia" w:ascii="楷体" w:hAnsi="楷体" w:eastAsia="楷体" w:cs="楷体"/>
          <w:sz w:val="22"/>
          <w:szCs w:val="20"/>
        </w:rPr>
        <w:t>178</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6"/>
        <w:tabs>
          <w:tab w:val="right" w:leader="dot" w:pos="8306"/>
        </w:tabs>
        <w:ind w:left="0" w:leftChars="0" w:firstLine="883" w:firstLineChars="400"/>
        <w:rPr>
          <w:rFonts w:hint="eastAsia" w:ascii="楷体" w:hAnsi="楷体" w:eastAsia="楷体" w:cs="楷体"/>
          <w:b/>
          <w:bCs/>
          <w:color w:val="auto"/>
          <w:sz w:val="22"/>
          <w:szCs w:val="20"/>
          <w:lang w:val="en-US" w:eastAsia="zh-CN"/>
        </w:rPr>
      </w:pP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HYPERLINK \l _Toc10227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四、 亚壁联、中壁联亚洲壁球锦标赛项目</w:t>
      </w:r>
      <w:r>
        <w:rPr>
          <w:rFonts w:hint="eastAsia" w:ascii="楷体" w:hAnsi="楷体" w:eastAsia="楷体" w:cs="楷体"/>
          <w:b/>
          <w:bCs/>
          <w:color w:val="auto"/>
          <w:sz w:val="22"/>
          <w:szCs w:val="20"/>
          <w:lang w:val="en-US" w:eastAsia="zh-CN"/>
        </w:rPr>
        <w:tab/>
      </w: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PAGEREF _Toc10227 \h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179</w:t>
      </w:r>
      <w:r>
        <w:rPr>
          <w:rFonts w:hint="eastAsia" w:ascii="楷体" w:hAnsi="楷体" w:eastAsia="楷体" w:cs="楷体"/>
          <w:b/>
          <w:bCs/>
          <w:color w:val="auto"/>
          <w:sz w:val="22"/>
          <w:szCs w:val="20"/>
          <w:lang w:val="en-US" w:eastAsia="zh-CN"/>
        </w:rPr>
        <w:fldChar w:fldCharType="end"/>
      </w:r>
      <w:r>
        <w:rPr>
          <w:rFonts w:hint="eastAsia" w:ascii="楷体" w:hAnsi="楷体" w:eastAsia="楷体" w:cs="楷体"/>
          <w:b/>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_Toc10011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1.项目概况</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_Toc10011 \h </w:instrText>
      </w:r>
      <w:r>
        <w:rPr>
          <w:rFonts w:hint="eastAsia" w:ascii="楷体" w:hAnsi="楷体" w:eastAsia="楷体" w:cs="楷体"/>
          <w:sz w:val="22"/>
          <w:szCs w:val="20"/>
        </w:rPr>
        <w:fldChar w:fldCharType="separate"/>
      </w:r>
      <w:r>
        <w:rPr>
          <w:rFonts w:hint="eastAsia" w:ascii="楷体" w:hAnsi="楷体" w:eastAsia="楷体" w:cs="楷体"/>
          <w:sz w:val="22"/>
          <w:szCs w:val="20"/>
        </w:rPr>
        <w:t>179</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_Toc32001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2.发展模式</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_Toc32001 \h </w:instrText>
      </w:r>
      <w:r>
        <w:rPr>
          <w:rFonts w:hint="eastAsia" w:ascii="楷体" w:hAnsi="楷体" w:eastAsia="楷体" w:cs="楷体"/>
          <w:sz w:val="22"/>
          <w:szCs w:val="20"/>
        </w:rPr>
        <w:fldChar w:fldCharType="separate"/>
      </w:r>
      <w:r>
        <w:rPr>
          <w:rFonts w:hint="eastAsia" w:ascii="楷体" w:hAnsi="楷体" w:eastAsia="楷体" w:cs="楷体"/>
          <w:sz w:val="22"/>
          <w:szCs w:val="20"/>
        </w:rPr>
        <w:t>180</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_Toc10978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3.选址建议</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_Toc10978 \h </w:instrText>
      </w:r>
      <w:r>
        <w:rPr>
          <w:rFonts w:hint="eastAsia" w:ascii="楷体" w:hAnsi="楷体" w:eastAsia="楷体" w:cs="楷体"/>
          <w:sz w:val="22"/>
          <w:szCs w:val="20"/>
        </w:rPr>
        <w:fldChar w:fldCharType="separate"/>
      </w:r>
      <w:r>
        <w:rPr>
          <w:rFonts w:hint="eastAsia" w:ascii="楷体" w:hAnsi="楷体" w:eastAsia="楷体" w:cs="楷体"/>
          <w:sz w:val="22"/>
          <w:szCs w:val="20"/>
        </w:rPr>
        <w:t>180</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6"/>
        <w:tabs>
          <w:tab w:val="right" w:leader="dot" w:pos="8306"/>
        </w:tabs>
        <w:ind w:left="0" w:leftChars="0" w:firstLine="883" w:firstLineChars="400"/>
        <w:rPr>
          <w:rFonts w:hint="eastAsia" w:ascii="楷体" w:hAnsi="楷体" w:eastAsia="楷体" w:cs="楷体"/>
          <w:b/>
          <w:bCs/>
          <w:color w:val="auto"/>
          <w:sz w:val="22"/>
          <w:szCs w:val="20"/>
          <w:lang w:val="en-US" w:eastAsia="zh-CN"/>
        </w:rPr>
      </w:pP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HYPERLINK \l _Toc21876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五、 角头湾沙滩运动公园项目</w:t>
      </w:r>
      <w:r>
        <w:rPr>
          <w:rFonts w:hint="eastAsia" w:ascii="楷体" w:hAnsi="楷体" w:eastAsia="楷体" w:cs="楷体"/>
          <w:b/>
          <w:bCs/>
          <w:color w:val="auto"/>
          <w:sz w:val="22"/>
          <w:szCs w:val="20"/>
          <w:lang w:val="en-US" w:eastAsia="zh-CN"/>
        </w:rPr>
        <w:tab/>
      </w: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PAGEREF _Toc21876 \h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181</w:t>
      </w:r>
      <w:r>
        <w:rPr>
          <w:rFonts w:hint="eastAsia" w:ascii="楷体" w:hAnsi="楷体" w:eastAsia="楷体" w:cs="楷体"/>
          <w:b/>
          <w:bCs/>
          <w:color w:val="auto"/>
          <w:sz w:val="22"/>
          <w:szCs w:val="20"/>
          <w:lang w:val="en-US" w:eastAsia="zh-CN"/>
        </w:rPr>
        <w:fldChar w:fldCharType="end"/>
      </w:r>
      <w:r>
        <w:rPr>
          <w:rFonts w:hint="eastAsia" w:ascii="楷体" w:hAnsi="楷体" w:eastAsia="楷体" w:cs="楷体"/>
          <w:b/>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_Toc27248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1.项目概况</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_Toc27248 \h </w:instrText>
      </w:r>
      <w:r>
        <w:rPr>
          <w:rFonts w:hint="eastAsia" w:ascii="楷体" w:hAnsi="楷体" w:eastAsia="楷体" w:cs="楷体"/>
          <w:sz w:val="22"/>
          <w:szCs w:val="20"/>
        </w:rPr>
        <w:fldChar w:fldCharType="separate"/>
      </w:r>
      <w:r>
        <w:rPr>
          <w:rFonts w:hint="eastAsia" w:ascii="楷体" w:hAnsi="楷体" w:eastAsia="楷体" w:cs="楷体"/>
          <w:sz w:val="22"/>
          <w:szCs w:val="20"/>
        </w:rPr>
        <w:t>181</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_Toc3237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2.投资方和匡算</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_Toc3237 \h </w:instrText>
      </w:r>
      <w:r>
        <w:rPr>
          <w:rFonts w:hint="eastAsia" w:ascii="楷体" w:hAnsi="楷体" w:eastAsia="楷体" w:cs="楷体"/>
          <w:sz w:val="22"/>
          <w:szCs w:val="20"/>
        </w:rPr>
        <w:fldChar w:fldCharType="separate"/>
      </w:r>
      <w:r>
        <w:rPr>
          <w:rFonts w:hint="eastAsia" w:ascii="楷体" w:hAnsi="楷体" w:eastAsia="楷体" w:cs="楷体"/>
          <w:sz w:val="22"/>
          <w:szCs w:val="20"/>
        </w:rPr>
        <w:t>182</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_Toc25149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3.选址建议</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_Toc25149 \h </w:instrText>
      </w:r>
      <w:r>
        <w:rPr>
          <w:rFonts w:hint="eastAsia" w:ascii="楷体" w:hAnsi="楷体" w:eastAsia="楷体" w:cs="楷体"/>
          <w:sz w:val="22"/>
          <w:szCs w:val="20"/>
        </w:rPr>
        <w:fldChar w:fldCharType="separate"/>
      </w:r>
      <w:r>
        <w:rPr>
          <w:rFonts w:hint="eastAsia" w:ascii="楷体" w:hAnsi="楷体" w:eastAsia="楷体" w:cs="楷体"/>
          <w:sz w:val="22"/>
          <w:szCs w:val="20"/>
        </w:rPr>
        <w:t>182</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6"/>
        <w:tabs>
          <w:tab w:val="right" w:leader="dot" w:pos="8306"/>
        </w:tabs>
        <w:ind w:left="0" w:leftChars="0" w:firstLine="883" w:firstLineChars="400"/>
        <w:rPr>
          <w:rFonts w:hint="eastAsia" w:ascii="楷体" w:hAnsi="楷体" w:eastAsia="楷体" w:cs="楷体"/>
          <w:b/>
          <w:bCs/>
          <w:color w:val="auto"/>
          <w:sz w:val="22"/>
          <w:szCs w:val="20"/>
          <w:lang w:val="en-US" w:eastAsia="zh-CN"/>
        </w:rPr>
      </w:pP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HYPERLINK \l _Toc25341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六、 梅联（或镇海）疍家小镇项目</w:t>
      </w:r>
      <w:r>
        <w:rPr>
          <w:rFonts w:hint="eastAsia" w:ascii="楷体" w:hAnsi="楷体" w:eastAsia="楷体" w:cs="楷体"/>
          <w:b/>
          <w:bCs/>
          <w:color w:val="auto"/>
          <w:sz w:val="22"/>
          <w:szCs w:val="20"/>
          <w:lang w:val="en-US" w:eastAsia="zh-CN"/>
        </w:rPr>
        <w:tab/>
      </w: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PAGEREF _Toc25341 \h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183</w:t>
      </w:r>
      <w:r>
        <w:rPr>
          <w:rFonts w:hint="eastAsia" w:ascii="楷体" w:hAnsi="楷体" w:eastAsia="楷体" w:cs="楷体"/>
          <w:b/>
          <w:bCs/>
          <w:color w:val="auto"/>
          <w:sz w:val="22"/>
          <w:szCs w:val="20"/>
          <w:lang w:val="en-US" w:eastAsia="zh-CN"/>
        </w:rPr>
        <w:fldChar w:fldCharType="end"/>
      </w:r>
      <w:r>
        <w:rPr>
          <w:rFonts w:hint="eastAsia" w:ascii="楷体" w:hAnsi="楷体" w:eastAsia="楷体" w:cs="楷体"/>
          <w:b/>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_Toc31123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1.项目概况</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_Toc31123 \h </w:instrText>
      </w:r>
      <w:r>
        <w:rPr>
          <w:rFonts w:hint="eastAsia" w:ascii="楷体" w:hAnsi="楷体" w:eastAsia="楷体" w:cs="楷体"/>
          <w:sz w:val="22"/>
          <w:szCs w:val="20"/>
        </w:rPr>
        <w:fldChar w:fldCharType="separate"/>
      </w:r>
      <w:r>
        <w:rPr>
          <w:rFonts w:hint="eastAsia" w:ascii="楷体" w:hAnsi="楷体" w:eastAsia="楷体" w:cs="楷体"/>
          <w:sz w:val="22"/>
          <w:szCs w:val="20"/>
        </w:rPr>
        <w:t>183</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_Toc21246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2.选址建议</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_Toc21246 \h </w:instrText>
      </w:r>
      <w:r>
        <w:rPr>
          <w:rFonts w:hint="eastAsia" w:ascii="楷体" w:hAnsi="楷体" w:eastAsia="楷体" w:cs="楷体"/>
          <w:sz w:val="22"/>
          <w:szCs w:val="20"/>
        </w:rPr>
        <w:fldChar w:fldCharType="separate"/>
      </w:r>
      <w:r>
        <w:rPr>
          <w:rFonts w:hint="eastAsia" w:ascii="楷体" w:hAnsi="楷体" w:eastAsia="楷体" w:cs="楷体"/>
          <w:sz w:val="22"/>
          <w:szCs w:val="20"/>
        </w:rPr>
        <w:t>184</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6"/>
        <w:tabs>
          <w:tab w:val="right" w:leader="dot" w:pos="8306"/>
        </w:tabs>
        <w:ind w:left="0" w:leftChars="0" w:firstLine="883" w:firstLineChars="400"/>
        <w:rPr>
          <w:rFonts w:hint="eastAsia" w:ascii="楷体" w:hAnsi="楷体" w:eastAsia="楷体" w:cs="楷体"/>
          <w:b/>
          <w:bCs/>
          <w:color w:val="auto"/>
          <w:sz w:val="22"/>
          <w:szCs w:val="20"/>
          <w:lang w:val="en-US" w:eastAsia="zh-CN"/>
        </w:rPr>
      </w:pP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HYPERLINK \l _Toc30756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七、 梅联角头湾国际婚庆旅游小镇项目（已启动）</w:t>
      </w:r>
      <w:r>
        <w:rPr>
          <w:rFonts w:hint="eastAsia" w:ascii="楷体" w:hAnsi="楷体" w:eastAsia="楷体" w:cs="楷体"/>
          <w:b/>
          <w:bCs/>
          <w:color w:val="auto"/>
          <w:sz w:val="22"/>
          <w:szCs w:val="20"/>
          <w:lang w:val="en-US" w:eastAsia="zh-CN"/>
        </w:rPr>
        <w:tab/>
      </w: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PAGEREF _Toc30756 \h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185</w:t>
      </w:r>
      <w:r>
        <w:rPr>
          <w:rFonts w:hint="eastAsia" w:ascii="楷体" w:hAnsi="楷体" w:eastAsia="楷体" w:cs="楷体"/>
          <w:b/>
          <w:bCs/>
          <w:color w:val="auto"/>
          <w:sz w:val="22"/>
          <w:szCs w:val="20"/>
          <w:lang w:val="en-US" w:eastAsia="zh-CN"/>
        </w:rPr>
        <w:fldChar w:fldCharType="end"/>
      </w:r>
      <w:r>
        <w:rPr>
          <w:rFonts w:hint="eastAsia" w:ascii="楷体" w:hAnsi="楷体" w:eastAsia="楷体" w:cs="楷体"/>
          <w:b/>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_Toc6572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1.项目概况</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_Toc6572 \h </w:instrText>
      </w:r>
      <w:r>
        <w:rPr>
          <w:rFonts w:hint="eastAsia" w:ascii="楷体" w:hAnsi="楷体" w:eastAsia="楷体" w:cs="楷体"/>
          <w:sz w:val="22"/>
          <w:szCs w:val="20"/>
        </w:rPr>
        <w:fldChar w:fldCharType="separate"/>
      </w:r>
      <w:r>
        <w:rPr>
          <w:rFonts w:hint="eastAsia" w:ascii="楷体" w:hAnsi="楷体" w:eastAsia="楷体" w:cs="楷体"/>
          <w:sz w:val="22"/>
          <w:szCs w:val="20"/>
        </w:rPr>
        <w:t>185</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_Toc21144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2.投资方和匡算</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_Toc21144 \h </w:instrText>
      </w:r>
      <w:r>
        <w:rPr>
          <w:rFonts w:hint="eastAsia" w:ascii="楷体" w:hAnsi="楷体" w:eastAsia="楷体" w:cs="楷体"/>
          <w:sz w:val="22"/>
          <w:szCs w:val="20"/>
        </w:rPr>
        <w:fldChar w:fldCharType="separate"/>
      </w:r>
      <w:r>
        <w:rPr>
          <w:rFonts w:hint="eastAsia" w:ascii="楷体" w:hAnsi="楷体" w:eastAsia="楷体" w:cs="楷体"/>
          <w:sz w:val="22"/>
          <w:szCs w:val="20"/>
        </w:rPr>
        <w:t>186</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_Toc7672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3.选址建议</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_Toc7672 \h </w:instrText>
      </w:r>
      <w:r>
        <w:rPr>
          <w:rFonts w:hint="eastAsia" w:ascii="楷体" w:hAnsi="楷体" w:eastAsia="楷体" w:cs="楷体"/>
          <w:sz w:val="22"/>
          <w:szCs w:val="20"/>
        </w:rPr>
        <w:fldChar w:fldCharType="separate"/>
      </w:r>
      <w:r>
        <w:rPr>
          <w:rFonts w:hint="eastAsia" w:ascii="楷体" w:hAnsi="楷体" w:eastAsia="楷体" w:cs="楷体"/>
          <w:sz w:val="22"/>
          <w:szCs w:val="20"/>
        </w:rPr>
        <w:t>186</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6"/>
        <w:tabs>
          <w:tab w:val="right" w:leader="dot" w:pos="8306"/>
        </w:tabs>
        <w:ind w:left="0" w:leftChars="0" w:firstLine="883" w:firstLineChars="400"/>
        <w:rPr>
          <w:rFonts w:hint="eastAsia" w:ascii="楷体" w:hAnsi="楷体" w:eastAsia="楷体" w:cs="楷体"/>
          <w:b/>
          <w:bCs/>
          <w:color w:val="auto"/>
          <w:sz w:val="22"/>
          <w:szCs w:val="20"/>
          <w:lang w:val="en-US" w:eastAsia="zh-CN"/>
        </w:rPr>
      </w:pP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HYPERLINK \l _Toc11614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八、 三亚红色革命学习基地（梅山）项目</w:t>
      </w:r>
      <w:r>
        <w:rPr>
          <w:rFonts w:hint="eastAsia" w:ascii="楷体" w:hAnsi="楷体" w:eastAsia="楷体" w:cs="楷体"/>
          <w:b/>
          <w:bCs/>
          <w:color w:val="auto"/>
          <w:sz w:val="22"/>
          <w:szCs w:val="20"/>
          <w:lang w:val="en-US" w:eastAsia="zh-CN"/>
        </w:rPr>
        <w:tab/>
      </w: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PAGEREF _Toc11614 \h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187</w:t>
      </w:r>
      <w:r>
        <w:rPr>
          <w:rFonts w:hint="eastAsia" w:ascii="楷体" w:hAnsi="楷体" w:eastAsia="楷体" w:cs="楷体"/>
          <w:b/>
          <w:bCs/>
          <w:color w:val="auto"/>
          <w:sz w:val="22"/>
          <w:szCs w:val="20"/>
          <w:lang w:val="en-US" w:eastAsia="zh-CN"/>
        </w:rPr>
        <w:fldChar w:fldCharType="end"/>
      </w:r>
      <w:r>
        <w:rPr>
          <w:rFonts w:hint="eastAsia" w:ascii="楷体" w:hAnsi="楷体" w:eastAsia="楷体" w:cs="楷体"/>
          <w:b/>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_Toc28369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1.项目概况</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_Toc28369 \h </w:instrText>
      </w:r>
      <w:r>
        <w:rPr>
          <w:rFonts w:hint="eastAsia" w:ascii="楷体" w:hAnsi="楷体" w:eastAsia="楷体" w:cs="楷体"/>
          <w:sz w:val="22"/>
          <w:szCs w:val="20"/>
        </w:rPr>
        <w:fldChar w:fldCharType="separate"/>
      </w:r>
      <w:r>
        <w:rPr>
          <w:rFonts w:hint="eastAsia" w:ascii="楷体" w:hAnsi="楷体" w:eastAsia="楷体" w:cs="楷体"/>
          <w:sz w:val="22"/>
          <w:szCs w:val="20"/>
        </w:rPr>
        <w:t>187</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_Toc20212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2.项目规模和投资</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_Toc20212 \h </w:instrText>
      </w:r>
      <w:r>
        <w:rPr>
          <w:rFonts w:hint="eastAsia" w:ascii="楷体" w:hAnsi="楷体" w:eastAsia="楷体" w:cs="楷体"/>
          <w:sz w:val="22"/>
          <w:szCs w:val="20"/>
        </w:rPr>
        <w:fldChar w:fldCharType="separate"/>
      </w:r>
      <w:r>
        <w:rPr>
          <w:rFonts w:hint="eastAsia" w:ascii="楷体" w:hAnsi="楷体" w:eastAsia="楷体" w:cs="楷体"/>
          <w:sz w:val="22"/>
          <w:szCs w:val="20"/>
        </w:rPr>
        <w:t>187</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6"/>
        <w:tabs>
          <w:tab w:val="right" w:leader="dot" w:pos="8306"/>
        </w:tabs>
        <w:ind w:left="0" w:leftChars="0" w:firstLine="883" w:firstLineChars="400"/>
        <w:rPr>
          <w:rFonts w:hint="eastAsia" w:ascii="楷体" w:hAnsi="楷体" w:eastAsia="楷体" w:cs="楷体"/>
          <w:b/>
          <w:bCs/>
          <w:color w:val="auto"/>
          <w:sz w:val="22"/>
          <w:szCs w:val="20"/>
          <w:lang w:val="en-US" w:eastAsia="zh-CN"/>
        </w:rPr>
      </w:pP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HYPERLINK \l _Toc9924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九、 芒果青春小镇项目（前期启动）</w:t>
      </w:r>
      <w:r>
        <w:rPr>
          <w:rFonts w:hint="eastAsia" w:ascii="楷体" w:hAnsi="楷体" w:eastAsia="楷体" w:cs="楷体"/>
          <w:b/>
          <w:bCs/>
          <w:color w:val="auto"/>
          <w:sz w:val="22"/>
          <w:szCs w:val="20"/>
          <w:lang w:val="en-US" w:eastAsia="zh-CN"/>
        </w:rPr>
        <w:tab/>
      </w: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PAGEREF _Toc9924 \h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188</w:t>
      </w:r>
      <w:r>
        <w:rPr>
          <w:rFonts w:hint="eastAsia" w:ascii="楷体" w:hAnsi="楷体" w:eastAsia="楷体" w:cs="楷体"/>
          <w:b/>
          <w:bCs/>
          <w:color w:val="auto"/>
          <w:sz w:val="22"/>
          <w:szCs w:val="20"/>
          <w:lang w:val="en-US" w:eastAsia="zh-CN"/>
        </w:rPr>
        <w:fldChar w:fldCharType="end"/>
      </w:r>
      <w:r>
        <w:rPr>
          <w:rFonts w:hint="eastAsia" w:ascii="楷体" w:hAnsi="楷体" w:eastAsia="楷体" w:cs="楷体"/>
          <w:b/>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_Toc17823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1.项目概况</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_Toc17823 \h </w:instrText>
      </w:r>
      <w:r>
        <w:rPr>
          <w:rFonts w:hint="eastAsia" w:ascii="楷体" w:hAnsi="楷体" w:eastAsia="楷体" w:cs="楷体"/>
          <w:sz w:val="22"/>
          <w:szCs w:val="20"/>
        </w:rPr>
        <w:fldChar w:fldCharType="separate"/>
      </w:r>
      <w:r>
        <w:rPr>
          <w:rFonts w:hint="eastAsia" w:ascii="楷体" w:hAnsi="楷体" w:eastAsia="楷体" w:cs="楷体"/>
          <w:sz w:val="22"/>
          <w:szCs w:val="20"/>
        </w:rPr>
        <w:t>188</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_Toc2397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2.运营模式</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_Toc2397 \h </w:instrText>
      </w:r>
      <w:r>
        <w:rPr>
          <w:rFonts w:hint="eastAsia" w:ascii="楷体" w:hAnsi="楷体" w:eastAsia="楷体" w:cs="楷体"/>
          <w:sz w:val="22"/>
          <w:szCs w:val="20"/>
        </w:rPr>
        <w:fldChar w:fldCharType="separate"/>
      </w:r>
      <w:r>
        <w:rPr>
          <w:rFonts w:hint="eastAsia" w:ascii="楷体" w:hAnsi="楷体" w:eastAsia="楷体" w:cs="楷体"/>
          <w:sz w:val="22"/>
          <w:szCs w:val="20"/>
        </w:rPr>
        <w:t>189</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_Toc25508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3.选址和投资</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_Toc25508 \h </w:instrText>
      </w:r>
      <w:r>
        <w:rPr>
          <w:rFonts w:hint="eastAsia" w:ascii="楷体" w:hAnsi="楷体" w:eastAsia="楷体" w:cs="楷体"/>
          <w:sz w:val="22"/>
          <w:szCs w:val="20"/>
        </w:rPr>
        <w:fldChar w:fldCharType="separate"/>
      </w:r>
      <w:r>
        <w:rPr>
          <w:rFonts w:hint="eastAsia" w:ascii="楷体" w:hAnsi="楷体" w:eastAsia="楷体" w:cs="楷体"/>
          <w:sz w:val="22"/>
          <w:szCs w:val="20"/>
        </w:rPr>
        <w:t>189</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6"/>
        <w:tabs>
          <w:tab w:val="right" w:leader="dot" w:pos="8306"/>
        </w:tabs>
        <w:ind w:left="0" w:leftChars="0" w:firstLine="883" w:firstLineChars="400"/>
        <w:rPr>
          <w:rFonts w:hint="eastAsia" w:ascii="楷体" w:hAnsi="楷体" w:eastAsia="楷体" w:cs="楷体"/>
          <w:b/>
          <w:bCs/>
          <w:color w:val="auto"/>
          <w:sz w:val="22"/>
          <w:szCs w:val="20"/>
          <w:lang w:val="en-US" w:eastAsia="zh-CN"/>
        </w:rPr>
      </w:pP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HYPERLINK \l _Toc4341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十、 “崖州八景”重现项目</w:t>
      </w:r>
      <w:r>
        <w:rPr>
          <w:rFonts w:hint="eastAsia" w:ascii="楷体" w:hAnsi="楷体" w:eastAsia="楷体" w:cs="楷体"/>
          <w:b/>
          <w:bCs/>
          <w:color w:val="auto"/>
          <w:sz w:val="22"/>
          <w:szCs w:val="20"/>
          <w:lang w:val="en-US" w:eastAsia="zh-CN"/>
        </w:rPr>
        <w:tab/>
      </w: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PAGEREF _Toc4341 \h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190</w:t>
      </w:r>
      <w:r>
        <w:rPr>
          <w:rFonts w:hint="eastAsia" w:ascii="楷体" w:hAnsi="楷体" w:eastAsia="楷体" w:cs="楷体"/>
          <w:b/>
          <w:bCs/>
          <w:color w:val="auto"/>
          <w:sz w:val="22"/>
          <w:szCs w:val="20"/>
          <w:lang w:val="en-US" w:eastAsia="zh-CN"/>
        </w:rPr>
        <w:fldChar w:fldCharType="end"/>
      </w:r>
      <w:r>
        <w:rPr>
          <w:rFonts w:hint="eastAsia" w:ascii="楷体" w:hAnsi="楷体" w:eastAsia="楷体" w:cs="楷体"/>
          <w:b/>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_Toc3713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1.项目概况</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_Toc3713 \h </w:instrText>
      </w:r>
      <w:r>
        <w:rPr>
          <w:rFonts w:hint="eastAsia" w:ascii="楷体" w:hAnsi="楷体" w:eastAsia="楷体" w:cs="楷体"/>
          <w:sz w:val="22"/>
          <w:szCs w:val="20"/>
        </w:rPr>
        <w:fldChar w:fldCharType="separate"/>
      </w:r>
      <w:r>
        <w:rPr>
          <w:rFonts w:hint="eastAsia" w:ascii="楷体" w:hAnsi="楷体" w:eastAsia="楷体" w:cs="楷体"/>
          <w:sz w:val="22"/>
          <w:szCs w:val="20"/>
        </w:rPr>
        <w:t>190</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_Toc6032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2.投资方和选址建议</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_Toc6032 \h </w:instrText>
      </w:r>
      <w:r>
        <w:rPr>
          <w:rFonts w:hint="eastAsia" w:ascii="楷体" w:hAnsi="楷体" w:eastAsia="楷体" w:cs="楷体"/>
          <w:sz w:val="22"/>
          <w:szCs w:val="20"/>
        </w:rPr>
        <w:fldChar w:fldCharType="separate"/>
      </w:r>
      <w:r>
        <w:rPr>
          <w:rFonts w:hint="eastAsia" w:ascii="楷体" w:hAnsi="楷体" w:eastAsia="楷体" w:cs="楷体"/>
          <w:sz w:val="22"/>
          <w:szCs w:val="20"/>
        </w:rPr>
        <w:t>190</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6"/>
        <w:tabs>
          <w:tab w:val="right" w:leader="dot" w:pos="8306"/>
        </w:tabs>
        <w:ind w:left="0" w:leftChars="0" w:firstLine="883" w:firstLineChars="400"/>
        <w:rPr>
          <w:rFonts w:hint="eastAsia" w:ascii="楷体" w:hAnsi="楷体" w:eastAsia="楷体" w:cs="楷体"/>
          <w:b/>
          <w:bCs/>
          <w:color w:val="auto"/>
          <w:sz w:val="22"/>
          <w:szCs w:val="20"/>
          <w:lang w:val="en-US" w:eastAsia="zh-CN"/>
        </w:rPr>
      </w:pP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HYPERLINK \l _Toc185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十一、 崖州农产品加工产业园项目</w:t>
      </w:r>
      <w:r>
        <w:rPr>
          <w:rFonts w:hint="eastAsia" w:ascii="楷体" w:hAnsi="楷体" w:eastAsia="楷体" w:cs="楷体"/>
          <w:b/>
          <w:bCs/>
          <w:color w:val="auto"/>
          <w:sz w:val="22"/>
          <w:szCs w:val="20"/>
          <w:lang w:val="en-US" w:eastAsia="zh-CN"/>
        </w:rPr>
        <w:tab/>
      </w: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PAGEREF _Toc185 \h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191</w:t>
      </w:r>
      <w:r>
        <w:rPr>
          <w:rFonts w:hint="eastAsia" w:ascii="楷体" w:hAnsi="楷体" w:eastAsia="楷体" w:cs="楷体"/>
          <w:b/>
          <w:bCs/>
          <w:color w:val="auto"/>
          <w:sz w:val="22"/>
          <w:szCs w:val="20"/>
          <w:lang w:val="en-US" w:eastAsia="zh-CN"/>
        </w:rPr>
        <w:fldChar w:fldCharType="end"/>
      </w:r>
      <w:r>
        <w:rPr>
          <w:rFonts w:hint="eastAsia" w:ascii="楷体" w:hAnsi="楷体" w:eastAsia="楷体" w:cs="楷体"/>
          <w:b/>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_Toc23338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1.项目概况</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_Toc23338 \h </w:instrText>
      </w:r>
      <w:r>
        <w:rPr>
          <w:rFonts w:hint="eastAsia" w:ascii="楷体" w:hAnsi="楷体" w:eastAsia="楷体" w:cs="楷体"/>
          <w:sz w:val="22"/>
          <w:szCs w:val="20"/>
        </w:rPr>
        <w:fldChar w:fldCharType="separate"/>
      </w:r>
      <w:r>
        <w:rPr>
          <w:rFonts w:hint="eastAsia" w:ascii="楷体" w:hAnsi="楷体" w:eastAsia="楷体" w:cs="楷体"/>
          <w:sz w:val="22"/>
          <w:szCs w:val="20"/>
        </w:rPr>
        <w:t>191</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_Toc27663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2.投资方和匡算</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_Toc27663 \h </w:instrText>
      </w:r>
      <w:r>
        <w:rPr>
          <w:rFonts w:hint="eastAsia" w:ascii="楷体" w:hAnsi="楷体" w:eastAsia="楷体" w:cs="楷体"/>
          <w:sz w:val="22"/>
          <w:szCs w:val="20"/>
        </w:rPr>
        <w:fldChar w:fldCharType="separate"/>
      </w:r>
      <w:r>
        <w:rPr>
          <w:rFonts w:hint="eastAsia" w:ascii="楷体" w:hAnsi="楷体" w:eastAsia="楷体" w:cs="楷体"/>
          <w:sz w:val="22"/>
          <w:szCs w:val="20"/>
        </w:rPr>
        <w:t>192</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_Toc2579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3.选址建议</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_Toc2579 \h </w:instrText>
      </w:r>
      <w:r>
        <w:rPr>
          <w:rFonts w:hint="eastAsia" w:ascii="楷体" w:hAnsi="楷体" w:eastAsia="楷体" w:cs="楷体"/>
          <w:sz w:val="22"/>
          <w:szCs w:val="20"/>
        </w:rPr>
        <w:fldChar w:fldCharType="separate"/>
      </w:r>
      <w:r>
        <w:rPr>
          <w:rFonts w:hint="eastAsia" w:ascii="楷体" w:hAnsi="楷体" w:eastAsia="楷体" w:cs="楷体"/>
          <w:sz w:val="22"/>
          <w:szCs w:val="20"/>
        </w:rPr>
        <w:t>192</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6"/>
        <w:tabs>
          <w:tab w:val="right" w:leader="dot" w:pos="8306"/>
        </w:tabs>
        <w:ind w:left="0" w:leftChars="0" w:firstLine="883" w:firstLineChars="400"/>
        <w:rPr>
          <w:rFonts w:hint="eastAsia" w:ascii="楷体" w:hAnsi="楷体" w:eastAsia="楷体" w:cs="楷体"/>
          <w:b/>
          <w:bCs/>
          <w:color w:val="auto"/>
          <w:sz w:val="22"/>
          <w:szCs w:val="20"/>
          <w:lang w:val="en-US" w:eastAsia="zh-CN"/>
        </w:rPr>
      </w:pP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HYPERLINK \l _Toc2205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十二、 生态循环肉牛繁育示范基地项目（前期启动）</w:t>
      </w:r>
      <w:r>
        <w:rPr>
          <w:rFonts w:hint="eastAsia" w:ascii="楷体" w:hAnsi="楷体" w:eastAsia="楷体" w:cs="楷体"/>
          <w:b/>
          <w:bCs/>
          <w:color w:val="auto"/>
          <w:sz w:val="22"/>
          <w:szCs w:val="20"/>
          <w:lang w:val="en-US" w:eastAsia="zh-CN"/>
        </w:rPr>
        <w:tab/>
      </w: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PAGEREF _Toc2205 \h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193</w:t>
      </w:r>
      <w:r>
        <w:rPr>
          <w:rFonts w:hint="eastAsia" w:ascii="楷体" w:hAnsi="楷体" w:eastAsia="楷体" w:cs="楷体"/>
          <w:b/>
          <w:bCs/>
          <w:color w:val="auto"/>
          <w:sz w:val="22"/>
          <w:szCs w:val="20"/>
          <w:lang w:val="en-US" w:eastAsia="zh-CN"/>
        </w:rPr>
        <w:fldChar w:fldCharType="end"/>
      </w:r>
      <w:r>
        <w:rPr>
          <w:rFonts w:hint="eastAsia" w:ascii="楷体" w:hAnsi="楷体" w:eastAsia="楷体" w:cs="楷体"/>
          <w:b/>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_Toc25385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1.项目概况</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_Toc25385 \h </w:instrText>
      </w:r>
      <w:r>
        <w:rPr>
          <w:rFonts w:hint="eastAsia" w:ascii="楷体" w:hAnsi="楷体" w:eastAsia="楷体" w:cs="楷体"/>
          <w:sz w:val="22"/>
          <w:szCs w:val="20"/>
        </w:rPr>
        <w:fldChar w:fldCharType="separate"/>
      </w:r>
      <w:r>
        <w:rPr>
          <w:rFonts w:hint="eastAsia" w:ascii="楷体" w:hAnsi="楷体" w:eastAsia="楷体" w:cs="楷体"/>
          <w:sz w:val="22"/>
          <w:szCs w:val="20"/>
        </w:rPr>
        <w:t>193</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_Toc28982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2.投资方和匡算</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_Toc28982 \h </w:instrText>
      </w:r>
      <w:r>
        <w:rPr>
          <w:rFonts w:hint="eastAsia" w:ascii="楷体" w:hAnsi="楷体" w:eastAsia="楷体" w:cs="楷体"/>
          <w:sz w:val="22"/>
          <w:szCs w:val="20"/>
        </w:rPr>
        <w:fldChar w:fldCharType="separate"/>
      </w:r>
      <w:r>
        <w:rPr>
          <w:rFonts w:hint="eastAsia" w:ascii="楷体" w:hAnsi="楷体" w:eastAsia="楷体" w:cs="楷体"/>
          <w:sz w:val="22"/>
          <w:szCs w:val="20"/>
        </w:rPr>
        <w:t>194</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_Toc19821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3.选址建议</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_Toc19821 \h </w:instrText>
      </w:r>
      <w:r>
        <w:rPr>
          <w:rFonts w:hint="eastAsia" w:ascii="楷体" w:hAnsi="楷体" w:eastAsia="楷体" w:cs="楷体"/>
          <w:sz w:val="22"/>
          <w:szCs w:val="20"/>
        </w:rPr>
        <w:fldChar w:fldCharType="separate"/>
      </w:r>
      <w:r>
        <w:rPr>
          <w:rFonts w:hint="eastAsia" w:ascii="楷体" w:hAnsi="楷体" w:eastAsia="楷体" w:cs="楷体"/>
          <w:sz w:val="22"/>
          <w:szCs w:val="20"/>
        </w:rPr>
        <w:t>194</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6"/>
        <w:tabs>
          <w:tab w:val="right" w:leader="dot" w:pos="8306"/>
        </w:tabs>
        <w:ind w:left="0" w:leftChars="0" w:firstLine="883" w:firstLineChars="400"/>
        <w:rPr>
          <w:rFonts w:hint="eastAsia" w:ascii="楷体" w:hAnsi="楷体" w:eastAsia="楷体" w:cs="楷体"/>
          <w:b/>
          <w:bCs/>
          <w:color w:val="auto"/>
          <w:sz w:val="22"/>
          <w:szCs w:val="20"/>
          <w:lang w:val="en-US" w:eastAsia="zh-CN"/>
        </w:rPr>
      </w:pP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HYPERLINK \l _Toc18275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十三、 万亩冬季瓜菜标准化生产基地项目</w:t>
      </w:r>
      <w:r>
        <w:rPr>
          <w:rFonts w:hint="eastAsia" w:ascii="楷体" w:hAnsi="楷体" w:eastAsia="楷体" w:cs="楷体"/>
          <w:b/>
          <w:bCs/>
          <w:color w:val="auto"/>
          <w:sz w:val="22"/>
          <w:szCs w:val="20"/>
          <w:lang w:val="en-US" w:eastAsia="zh-CN"/>
        </w:rPr>
        <w:tab/>
      </w: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PAGEREF _Toc18275 \h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195</w:t>
      </w:r>
      <w:r>
        <w:rPr>
          <w:rFonts w:hint="eastAsia" w:ascii="楷体" w:hAnsi="楷体" w:eastAsia="楷体" w:cs="楷体"/>
          <w:b/>
          <w:bCs/>
          <w:color w:val="auto"/>
          <w:sz w:val="22"/>
          <w:szCs w:val="20"/>
          <w:lang w:val="en-US" w:eastAsia="zh-CN"/>
        </w:rPr>
        <w:fldChar w:fldCharType="end"/>
      </w:r>
      <w:r>
        <w:rPr>
          <w:rFonts w:hint="eastAsia" w:ascii="楷体" w:hAnsi="楷体" w:eastAsia="楷体" w:cs="楷体"/>
          <w:b/>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_Toc2210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1.项目概况</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_Toc2210 \h </w:instrText>
      </w:r>
      <w:r>
        <w:rPr>
          <w:rFonts w:hint="eastAsia" w:ascii="楷体" w:hAnsi="楷体" w:eastAsia="楷体" w:cs="楷体"/>
          <w:sz w:val="22"/>
          <w:szCs w:val="20"/>
        </w:rPr>
        <w:fldChar w:fldCharType="separate"/>
      </w:r>
      <w:r>
        <w:rPr>
          <w:rFonts w:hint="eastAsia" w:ascii="楷体" w:hAnsi="楷体" w:eastAsia="楷体" w:cs="楷体"/>
          <w:sz w:val="22"/>
          <w:szCs w:val="20"/>
        </w:rPr>
        <w:t>195</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_Toc26287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2.投资方和匡算</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_Toc26287 \h </w:instrText>
      </w:r>
      <w:r>
        <w:rPr>
          <w:rFonts w:hint="eastAsia" w:ascii="楷体" w:hAnsi="楷体" w:eastAsia="楷体" w:cs="楷体"/>
          <w:sz w:val="22"/>
          <w:szCs w:val="20"/>
        </w:rPr>
        <w:fldChar w:fldCharType="separate"/>
      </w:r>
      <w:r>
        <w:rPr>
          <w:rFonts w:hint="eastAsia" w:ascii="楷体" w:hAnsi="楷体" w:eastAsia="楷体" w:cs="楷体"/>
          <w:sz w:val="22"/>
          <w:szCs w:val="20"/>
        </w:rPr>
        <w:t>195</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_Toc6554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3.选址建议</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_Toc6554 \h </w:instrText>
      </w:r>
      <w:r>
        <w:rPr>
          <w:rFonts w:hint="eastAsia" w:ascii="楷体" w:hAnsi="楷体" w:eastAsia="楷体" w:cs="楷体"/>
          <w:sz w:val="22"/>
          <w:szCs w:val="20"/>
        </w:rPr>
        <w:fldChar w:fldCharType="separate"/>
      </w:r>
      <w:r>
        <w:rPr>
          <w:rFonts w:hint="eastAsia" w:ascii="楷体" w:hAnsi="楷体" w:eastAsia="楷体" w:cs="楷体"/>
          <w:sz w:val="22"/>
          <w:szCs w:val="20"/>
        </w:rPr>
        <w:t>195</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6"/>
        <w:tabs>
          <w:tab w:val="right" w:leader="dot" w:pos="8306"/>
        </w:tabs>
        <w:ind w:left="0" w:leftChars="0" w:firstLine="883" w:firstLineChars="400"/>
        <w:rPr>
          <w:rFonts w:hint="eastAsia" w:ascii="楷体" w:hAnsi="楷体" w:eastAsia="楷体" w:cs="楷体"/>
          <w:b/>
          <w:bCs/>
          <w:color w:val="auto"/>
          <w:sz w:val="22"/>
          <w:szCs w:val="20"/>
          <w:lang w:val="en-US" w:eastAsia="zh-CN"/>
        </w:rPr>
      </w:pP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HYPERLINK \l _Toc16980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十四、 千亩常年蔬菜骨干基地项目（“菜篮子”基地）</w:t>
      </w:r>
      <w:r>
        <w:rPr>
          <w:rFonts w:hint="eastAsia" w:ascii="楷体" w:hAnsi="楷体" w:eastAsia="楷体" w:cs="楷体"/>
          <w:b/>
          <w:bCs/>
          <w:color w:val="auto"/>
          <w:sz w:val="22"/>
          <w:szCs w:val="20"/>
          <w:lang w:val="en-US" w:eastAsia="zh-CN"/>
        </w:rPr>
        <w:tab/>
      </w: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PAGEREF _Toc16980 \h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195</w:t>
      </w:r>
      <w:r>
        <w:rPr>
          <w:rFonts w:hint="eastAsia" w:ascii="楷体" w:hAnsi="楷体" w:eastAsia="楷体" w:cs="楷体"/>
          <w:b/>
          <w:bCs/>
          <w:color w:val="auto"/>
          <w:sz w:val="22"/>
          <w:szCs w:val="20"/>
          <w:lang w:val="en-US" w:eastAsia="zh-CN"/>
        </w:rPr>
        <w:fldChar w:fldCharType="end"/>
      </w:r>
      <w:r>
        <w:rPr>
          <w:rFonts w:hint="eastAsia" w:ascii="楷体" w:hAnsi="楷体" w:eastAsia="楷体" w:cs="楷体"/>
          <w:b/>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_Toc18859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1.项目概况</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_Toc18859 \h </w:instrText>
      </w:r>
      <w:r>
        <w:rPr>
          <w:rFonts w:hint="eastAsia" w:ascii="楷体" w:hAnsi="楷体" w:eastAsia="楷体" w:cs="楷体"/>
          <w:sz w:val="22"/>
          <w:szCs w:val="20"/>
        </w:rPr>
        <w:fldChar w:fldCharType="separate"/>
      </w:r>
      <w:r>
        <w:rPr>
          <w:rFonts w:hint="eastAsia" w:ascii="楷体" w:hAnsi="楷体" w:eastAsia="楷体" w:cs="楷体"/>
          <w:sz w:val="22"/>
          <w:szCs w:val="20"/>
        </w:rPr>
        <w:t>195</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_Toc7492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2.投资方和匡算</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_Toc7492 \h </w:instrText>
      </w:r>
      <w:r>
        <w:rPr>
          <w:rFonts w:hint="eastAsia" w:ascii="楷体" w:hAnsi="楷体" w:eastAsia="楷体" w:cs="楷体"/>
          <w:sz w:val="22"/>
          <w:szCs w:val="20"/>
        </w:rPr>
        <w:fldChar w:fldCharType="separate"/>
      </w:r>
      <w:r>
        <w:rPr>
          <w:rFonts w:hint="eastAsia" w:ascii="楷体" w:hAnsi="楷体" w:eastAsia="楷体" w:cs="楷体"/>
          <w:sz w:val="22"/>
          <w:szCs w:val="20"/>
        </w:rPr>
        <w:t>196</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_Toc23309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3.选址建议</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_Toc23309 \h </w:instrText>
      </w:r>
      <w:r>
        <w:rPr>
          <w:rFonts w:hint="eastAsia" w:ascii="楷体" w:hAnsi="楷体" w:eastAsia="楷体" w:cs="楷体"/>
          <w:sz w:val="22"/>
          <w:szCs w:val="20"/>
        </w:rPr>
        <w:fldChar w:fldCharType="separate"/>
      </w:r>
      <w:r>
        <w:rPr>
          <w:rFonts w:hint="eastAsia" w:ascii="楷体" w:hAnsi="楷体" w:eastAsia="楷体" w:cs="楷体"/>
          <w:sz w:val="22"/>
          <w:szCs w:val="20"/>
        </w:rPr>
        <w:t>196</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6"/>
        <w:tabs>
          <w:tab w:val="right" w:leader="dot" w:pos="8306"/>
        </w:tabs>
        <w:ind w:left="0" w:leftChars="0" w:firstLine="883" w:firstLineChars="400"/>
        <w:rPr>
          <w:rFonts w:hint="eastAsia" w:ascii="楷体" w:hAnsi="楷体" w:eastAsia="楷体" w:cs="楷体"/>
          <w:b/>
          <w:bCs/>
          <w:color w:val="auto"/>
          <w:sz w:val="22"/>
          <w:szCs w:val="20"/>
          <w:lang w:val="en-US" w:eastAsia="zh-CN"/>
        </w:rPr>
      </w:pP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HYPERLINK \l _Toc22436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十五、 热带水果出口种植示范基地项目</w:t>
      </w:r>
      <w:r>
        <w:rPr>
          <w:rFonts w:hint="eastAsia" w:ascii="楷体" w:hAnsi="楷体" w:eastAsia="楷体" w:cs="楷体"/>
          <w:b/>
          <w:bCs/>
          <w:color w:val="auto"/>
          <w:sz w:val="22"/>
          <w:szCs w:val="20"/>
          <w:lang w:val="en-US" w:eastAsia="zh-CN"/>
        </w:rPr>
        <w:tab/>
      </w: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PAGEREF _Toc22436 \h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197</w:t>
      </w:r>
      <w:r>
        <w:rPr>
          <w:rFonts w:hint="eastAsia" w:ascii="楷体" w:hAnsi="楷体" w:eastAsia="楷体" w:cs="楷体"/>
          <w:b/>
          <w:bCs/>
          <w:color w:val="auto"/>
          <w:sz w:val="22"/>
          <w:szCs w:val="20"/>
          <w:lang w:val="en-US" w:eastAsia="zh-CN"/>
        </w:rPr>
        <w:fldChar w:fldCharType="end"/>
      </w:r>
      <w:r>
        <w:rPr>
          <w:rFonts w:hint="eastAsia" w:ascii="楷体" w:hAnsi="楷体" w:eastAsia="楷体" w:cs="楷体"/>
          <w:b/>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_Toc24821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1.项目概况</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_Toc24821 \h </w:instrText>
      </w:r>
      <w:r>
        <w:rPr>
          <w:rFonts w:hint="eastAsia" w:ascii="楷体" w:hAnsi="楷体" w:eastAsia="楷体" w:cs="楷体"/>
          <w:sz w:val="22"/>
          <w:szCs w:val="20"/>
        </w:rPr>
        <w:fldChar w:fldCharType="separate"/>
      </w:r>
      <w:r>
        <w:rPr>
          <w:rFonts w:hint="eastAsia" w:ascii="楷体" w:hAnsi="楷体" w:eastAsia="楷体" w:cs="楷体"/>
          <w:sz w:val="22"/>
          <w:szCs w:val="20"/>
        </w:rPr>
        <w:t>197</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_Toc9457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2.投资方和匡算</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_Toc9457 \h </w:instrText>
      </w:r>
      <w:r>
        <w:rPr>
          <w:rFonts w:hint="eastAsia" w:ascii="楷体" w:hAnsi="楷体" w:eastAsia="楷体" w:cs="楷体"/>
          <w:sz w:val="22"/>
          <w:szCs w:val="20"/>
        </w:rPr>
        <w:fldChar w:fldCharType="separate"/>
      </w:r>
      <w:r>
        <w:rPr>
          <w:rFonts w:hint="eastAsia" w:ascii="楷体" w:hAnsi="楷体" w:eastAsia="楷体" w:cs="楷体"/>
          <w:sz w:val="22"/>
          <w:szCs w:val="20"/>
        </w:rPr>
        <w:t>198</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_Toc24991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3.选址建议</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_Toc24991 \h </w:instrText>
      </w:r>
      <w:r>
        <w:rPr>
          <w:rFonts w:hint="eastAsia" w:ascii="楷体" w:hAnsi="楷体" w:eastAsia="楷体" w:cs="楷体"/>
          <w:sz w:val="22"/>
          <w:szCs w:val="20"/>
        </w:rPr>
        <w:fldChar w:fldCharType="separate"/>
      </w:r>
      <w:r>
        <w:rPr>
          <w:rFonts w:hint="eastAsia" w:ascii="楷体" w:hAnsi="楷体" w:eastAsia="楷体" w:cs="楷体"/>
          <w:sz w:val="22"/>
          <w:szCs w:val="20"/>
        </w:rPr>
        <w:t>198</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6"/>
        <w:tabs>
          <w:tab w:val="right" w:leader="dot" w:pos="8306"/>
        </w:tabs>
        <w:ind w:left="0" w:leftChars="0" w:firstLine="883" w:firstLineChars="400"/>
        <w:rPr>
          <w:rFonts w:hint="eastAsia" w:ascii="楷体" w:hAnsi="楷体" w:eastAsia="楷体" w:cs="楷体"/>
          <w:b/>
          <w:bCs/>
          <w:color w:val="auto"/>
          <w:sz w:val="22"/>
          <w:szCs w:val="20"/>
          <w:lang w:val="en-US" w:eastAsia="zh-CN"/>
        </w:rPr>
      </w:pP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HYPERLINK \l _Toc22624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十六、 工厂化水产养殖基地项目</w:t>
      </w:r>
      <w:r>
        <w:rPr>
          <w:rFonts w:hint="eastAsia" w:ascii="楷体" w:hAnsi="楷体" w:eastAsia="楷体" w:cs="楷体"/>
          <w:b/>
          <w:bCs/>
          <w:color w:val="auto"/>
          <w:sz w:val="22"/>
          <w:szCs w:val="20"/>
          <w:lang w:val="en-US" w:eastAsia="zh-CN"/>
        </w:rPr>
        <w:tab/>
      </w: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PAGEREF _Toc22624 \h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198</w:t>
      </w:r>
      <w:r>
        <w:rPr>
          <w:rFonts w:hint="eastAsia" w:ascii="楷体" w:hAnsi="楷体" w:eastAsia="楷体" w:cs="楷体"/>
          <w:b/>
          <w:bCs/>
          <w:color w:val="auto"/>
          <w:sz w:val="22"/>
          <w:szCs w:val="20"/>
          <w:lang w:val="en-US" w:eastAsia="zh-CN"/>
        </w:rPr>
        <w:fldChar w:fldCharType="end"/>
      </w:r>
      <w:r>
        <w:rPr>
          <w:rFonts w:hint="eastAsia" w:ascii="楷体" w:hAnsi="楷体" w:eastAsia="楷体" w:cs="楷体"/>
          <w:b/>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_Toc22959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1.项目概况</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_Toc22959 \h </w:instrText>
      </w:r>
      <w:r>
        <w:rPr>
          <w:rFonts w:hint="eastAsia" w:ascii="楷体" w:hAnsi="楷体" w:eastAsia="楷体" w:cs="楷体"/>
          <w:sz w:val="22"/>
          <w:szCs w:val="20"/>
        </w:rPr>
        <w:fldChar w:fldCharType="separate"/>
      </w:r>
      <w:r>
        <w:rPr>
          <w:rFonts w:hint="eastAsia" w:ascii="楷体" w:hAnsi="楷体" w:eastAsia="楷体" w:cs="楷体"/>
          <w:sz w:val="22"/>
          <w:szCs w:val="20"/>
        </w:rPr>
        <w:t>198</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_Toc8510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2.投资方和匡算</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_Toc8510 \h </w:instrText>
      </w:r>
      <w:r>
        <w:rPr>
          <w:rFonts w:hint="eastAsia" w:ascii="楷体" w:hAnsi="楷体" w:eastAsia="楷体" w:cs="楷体"/>
          <w:sz w:val="22"/>
          <w:szCs w:val="20"/>
        </w:rPr>
        <w:fldChar w:fldCharType="separate"/>
      </w:r>
      <w:r>
        <w:rPr>
          <w:rFonts w:hint="eastAsia" w:ascii="楷体" w:hAnsi="楷体" w:eastAsia="楷体" w:cs="楷体"/>
          <w:sz w:val="22"/>
          <w:szCs w:val="20"/>
        </w:rPr>
        <w:t>200</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_Toc13197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3.选址建议</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_Toc13197 \h </w:instrText>
      </w:r>
      <w:r>
        <w:rPr>
          <w:rFonts w:hint="eastAsia" w:ascii="楷体" w:hAnsi="楷体" w:eastAsia="楷体" w:cs="楷体"/>
          <w:sz w:val="22"/>
          <w:szCs w:val="20"/>
        </w:rPr>
        <w:fldChar w:fldCharType="separate"/>
      </w:r>
      <w:r>
        <w:rPr>
          <w:rFonts w:hint="eastAsia" w:ascii="楷体" w:hAnsi="楷体" w:eastAsia="楷体" w:cs="楷体"/>
          <w:sz w:val="22"/>
          <w:szCs w:val="20"/>
        </w:rPr>
        <w:t>200</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_Toc8028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4.招商建议</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_Toc8028 \h </w:instrText>
      </w:r>
      <w:r>
        <w:rPr>
          <w:rFonts w:hint="eastAsia" w:ascii="楷体" w:hAnsi="楷体" w:eastAsia="楷体" w:cs="楷体"/>
          <w:sz w:val="22"/>
          <w:szCs w:val="20"/>
        </w:rPr>
        <w:fldChar w:fldCharType="separate"/>
      </w:r>
      <w:r>
        <w:rPr>
          <w:rFonts w:hint="eastAsia" w:ascii="楷体" w:hAnsi="楷体" w:eastAsia="楷体" w:cs="楷体"/>
          <w:sz w:val="22"/>
          <w:szCs w:val="20"/>
        </w:rPr>
        <w:t>200</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6"/>
        <w:tabs>
          <w:tab w:val="right" w:leader="dot" w:pos="8306"/>
        </w:tabs>
        <w:ind w:left="0" w:leftChars="0" w:firstLine="883" w:firstLineChars="400"/>
        <w:rPr>
          <w:rFonts w:hint="eastAsia" w:ascii="楷体" w:hAnsi="楷体" w:eastAsia="楷体" w:cs="楷体"/>
          <w:b/>
          <w:bCs/>
          <w:color w:val="auto"/>
          <w:sz w:val="22"/>
          <w:szCs w:val="20"/>
          <w:lang w:val="en-US" w:eastAsia="zh-CN"/>
        </w:rPr>
      </w:pP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HYPERLINK \l _Toc6823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十七、 大型网箱养殖工船项目</w:t>
      </w:r>
      <w:r>
        <w:rPr>
          <w:rFonts w:hint="eastAsia" w:ascii="楷体" w:hAnsi="楷体" w:eastAsia="楷体" w:cs="楷体"/>
          <w:b/>
          <w:bCs/>
          <w:color w:val="auto"/>
          <w:sz w:val="22"/>
          <w:szCs w:val="20"/>
          <w:lang w:val="en-US" w:eastAsia="zh-CN"/>
        </w:rPr>
        <w:tab/>
      </w: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PAGEREF _Toc6823 \h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201</w:t>
      </w:r>
      <w:r>
        <w:rPr>
          <w:rFonts w:hint="eastAsia" w:ascii="楷体" w:hAnsi="楷体" w:eastAsia="楷体" w:cs="楷体"/>
          <w:b/>
          <w:bCs/>
          <w:color w:val="auto"/>
          <w:sz w:val="22"/>
          <w:szCs w:val="20"/>
          <w:lang w:val="en-US" w:eastAsia="zh-CN"/>
        </w:rPr>
        <w:fldChar w:fldCharType="end"/>
      </w:r>
      <w:r>
        <w:rPr>
          <w:rFonts w:hint="eastAsia" w:ascii="楷体" w:hAnsi="楷体" w:eastAsia="楷体" w:cs="楷体"/>
          <w:b/>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_Toc14284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1.项目概况</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_Toc14284 \h </w:instrText>
      </w:r>
      <w:r>
        <w:rPr>
          <w:rFonts w:hint="eastAsia" w:ascii="楷体" w:hAnsi="楷体" w:eastAsia="楷体" w:cs="楷体"/>
          <w:sz w:val="22"/>
          <w:szCs w:val="20"/>
        </w:rPr>
        <w:fldChar w:fldCharType="separate"/>
      </w:r>
      <w:r>
        <w:rPr>
          <w:rFonts w:hint="eastAsia" w:ascii="楷体" w:hAnsi="楷体" w:eastAsia="楷体" w:cs="楷体"/>
          <w:sz w:val="22"/>
          <w:szCs w:val="20"/>
        </w:rPr>
        <w:t>201</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_Toc4544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2.投资方和匡算</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_Toc4544 \h </w:instrText>
      </w:r>
      <w:r>
        <w:rPr>
          <w:rFonts w:hint="eastAsia" w:ascii="楷体" w:hAnsi="楷体" w:eastAsia="楷体" w:cs="楷体"/>
          <w:sz w:val="22"/>
          <w:szCs w:val="20"/>
        </w:rPr>
        <w:fldChar w:fldCharType="separate"/>
      </w:r>
      <w:r>
        <w:rPr>
          <w:rFonts w:hint="eastAsia" w:ascii="楷体" w:hAnsi="楷体" w:eastAsia="楷体" w:cs="楷体"/>
          <w:sz w:val="22"/>
          <w:szCs w:val="20"/>
        </w:rPr>
        <w:t>201</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_Toc5230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3.选址建议</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_Toc5230 \h </w:instrText>
      </w:r>
      <w:r>
        <w:rPr>
          <w:rFonts w:hint="eastAsia" w:ascii="楷体" w:hAnsi="楷体" w:eastAsia="楷体" w:cs="楷体"/>
          <w:sz w:val="22"/>
          <w:szCs w:val="20"/>
        </w:rPr>
        <w:fldChar w:fldCharType="separate"/>
      </w:r>
      <w:r>
        <w:rPr>
          <w:rFonts w:hint="eastAsia" w:ascii="楷体" w:hAnsi="楷体" w:eastAsia="楷体" w:cs="楷体"/>
          <w:sz w:val="22"/>
          <w:szCs w:val="20"/>
        </w:rPr>
        <w:t>202</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_Toc11443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4.招商建议</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_Toc11443 \h </w:instrText>
      </w:r>
      <w:r>
        <w:rPr>
          <w:rFonts w:hint="eastAsia" w:ascii="楷体" w:hAnsi="楷体" w:eastAsia="楷体" w:cs="楷体"/>
          <w:sz w:val="22"/>
          <w:szCs w:val="20"/>
        </w:rPr>
        <w:fldChar w:fldCharType="separate"/>
      </w:r>
      <w:r>
        <w:rPr>
          <w:rFonts w:hint="eastAsia" w:ascii="楷体" w:hAnsi="楷体" w:eastAsia="楷体" w:cs="楷体"/>
          <w:sz w:val="22"/>
          <w:szCs w:val="20"/>
        </w:rPr>
        <w:t>202</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6"/>
        <w:tabs>
          <w:tab w:val="right" w:leader="dot" w:pos="8306"/>
        </w:tabs>
        <w:ind w:left="0" w:leftChars="0" w:firstLine="883" w:firstLineChars="400"/>
        <w:rPr>
          <w:rFonts w:hint="eastAsia" w:ascii="楷体" w:hAnsi="楷体" w:eastAsia="楷体" w:cs="楷体"/>
          <w:b/>
          <w:bCs/>
          <w:color w:val="auto"/>
          <w:sz w:val="22"/>
          <w:szCs w:val="20"/>
          <w:lang w:val="en-US" w:eastAsia="zh-CN"/>
        </w:rPr>
      </w:pP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HYPERLINK \l _Toc19757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十八、 主题乐园旅游区项目</w:t>
      </w:r>
      <w:r>
        <w:rPr>
          <w:rFonts w:hint="eastAsia" w:ascii="楷体" w:hAnsi="楷体" w:eastAsia="楷体" w:cs="楷体"/>
          <w:b/>
          <w:bCs/>
          <w:color w:val="auto"/>
          <w:sz w:val="22"/>
          <w:szCs w:val="20"/>
          <w:lang w:val="en-US" w:eastAsia="zh-CN"/>
        </w:rPr>
        <w:tab/>
      </w: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PAGEREF _Toc19757 \h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202</w:t>
      </w:r>
      <w:r>
        <w:rPr>
          <w:rFonts w:hint="eastAsia" w:ascii="楷体" w:hAnsi="楷体" w:eastAsia="楷体" w:cs="楷体"/>
          <w:b/>
          <w:bCs/>
          <w:color w:val="auto"/>
          <w:sz w:val="22"/>
          <w:szCs w:val="20"/>
          <w:lang w:val="en-US" w:eastAsia="zh-CN"/>
        </w:rPr>
        <w:fldChar w:fldCharType="end"/>
      </w:r>
      <w:r>
        <w:rPr>
          <w:rFonts w:hint="eastAsia" w:ascii="楷体" w:hAnsi="楷体" w:eastAsia="楷体" w:cs="楷体"/>
          <w:b/>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_Toc4434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1.项目概况</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_Toc4434 \h </w:instrText>
      </w:r>
      <w:r>
        <w:rPr>
          <w:rFonts w:hint="eastAsia" w:ascii="楷体" w:hAnsi="楷体" w:eastAsia="楷体" w:cs="楷体"/>
          <w:sz w:val="22"/>
          <w:szCs w:val="20"/>
        </w:rPr>
        <w:fldChar w:fldCharType="separate"/>
      </w:r>
      <w:r>
        <w:rPr>
          <w:rFonts w:hint="eastAsia" w:ascii="楷体" w:hAnsi="楷体" w:eastAsia="楷体" w:cs="楷体"/>
          <w:sz w:val="22"/>
          <w:szCs w:val="20"/>
        </w:rPr>
        <w:t>202</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_Toc28633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2.投资方和匡算</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_Toc28633 \h </w:instrText>
      </w:r>
      <w:r>
        <w:rPr>
          <w:rFonts w:hint="eastAsia" w:ascii="楷体" w:hAnsi="楷体" w:eastAsia="楷体" w:cs="楷体"/>
          <w:sz w:val="22"/>
          <w:szCs w:val="20"/>
        </w:rPr>
        <w:fldChar w:fldCharType="separate"/>
      </w:r>
      <w:r>
        <w:rPr>
          <w:rFonts w:hint="eastAsia" w:ascii="楷体" w:hAnsi="楷体" w:eastAsia="楷体" w:cs="楷体"/>
          <w:sz w:val="22"/>
          <w:szCs w:val="20"/>
        </w:rPr>
        <w:t>203</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_Toc16463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3.选址建议</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_Toc16463 \h </w:instrText>
      </w:r>
      <w:r>
        <w:rPr>
          <w:rFonts w:hint="eastAsia" w:ascii="楷体" w:hAnsi="楷体" w:eastAsia="楷体" w:cs="楷体"/>
          <w:sz w:val="22"/>
          <w:szCs w:val="20"/>
        </w:rPr>
        <w:fldChar w:fldCharType="separate"/>
      </w:r>
      <w:r>
        <w:rPr>
          <w:rFonts w:hint="eastAsia" w:ascii="楷体" w:hAnsi="楷体" w:eastAsia="楷体" w:cs="楷体"/>
          <w:sz w:val="22"/>
          <w:szCs w:val="20"/>
        </w:rPr>
        <w:t>203</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_Toc1016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4.招商建议</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_Toc1016 \h </w:instrText>
      </w:r>
      <w:r>
        <w:rPr>
          <w:rFonts w:hint="eastAsia" w:ascii="楷体" w:hAnsi="楷体" w:eastAsia="楷体" w:cs="楷体"/>
          <w:sz w:val="22"/>
          <w:szCs w:val="20"/>
        </w:rPr>
        <w:fldChar w:fldCharType="separate"/>
      </w:r>
      <w:r>
        <w:rPr>
          <w:rFonts w:hint="eastAsia" w:ascii="楷体" w:hAnsi="楷体" w:eastAsia="楷体" w:cs="楷体"/>
          <w:sz w:val="22"/>
          <w:szCs w:val="20"/>
        </w:rPr>
        <w:t>204</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6"/>
        <w:tabs>
          <w:tab w:val="right" w:leader="dot" w:pos="8306"/>
        </w:tabs>
        <w:ind w:left="0" w:leftChars="0" w:firstLine="883" w:firstLineChars="400"/>
        <w:rPr>
          <w:rFonts w:hint="eastAsia" w:ascii="楷体" w:hAnsi="楷体" w:eastAsia="楷体" w:cs="楷体"/>
          <w:b/>
          <w:bCs/>
          <w:color w:val="auto"/>
          <w:sz w:val="22"/>
          <w:szCs w:val="20"/>
          <w:lang w:val="en-US" w:eastAsia="zh-CN"/>
        </w:rPr>
      </w:pP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HYPERLINK \l _Toc28237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十九、 “一村一品”特色小镇系列策划项目</w:t>
      </w:r>
      <w:r>
        <w:rPr>
          <w:rFonts w:hint="eastAsia" w:ascii="楷体" w:hAnsi="楷体" w:eastAsia="楷体" w:cs="楷体"/>
          <w:b/>
          <w:bCs/>
          <w:color w:val="auto"/>
          <w:sz w:val="22"/>
          <w:szCs w:val="20"/>
          <w:lang w:val="en-US" w:eastAsia="zh-CN"/>
        </w:rPr>
        <w:tab/>
      </w: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PAGEREF _Toc28237 \h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204</w:t>
      </w:r>
      <w:r>
        <w:rPr>
          <w:rFonts w:hint="eastAsia" w:ascii="楷体" w:hAnsi="楷体" w:eastAsia="楷体" w:cs="楷体"/>
          <w:b/>
          <w:bCs/>
          <w:color w:val="auto"/>
          <w:sz w:val="22"/>
          <w:szCs w:val="20"/>
          <w:lang w:val="en-US" w:eastAsia="zh-CN"/>
        </w:rPr>
        <w:fldChar w:fldCharType="end"/>
      </w:r>
      <w:r>
        <w:rPr>
          <w:rFonts w:hint="eastAsia" w:ascii="楷体" w:hAnsi="楷体" w:eastAsia="楷体" w:cs="楷体"/>
          <w:b/>
          <w:bCs/>
          <w:color w:val="auto"/>
          <w:sz w:val="22"/>
          <w:szCs w:val="20"/>
          <w:lang w:val="en-US" w:eastAsia="zh-CN"/>
        </w:rPr>
        <w:fldChar w:fldCharType="end"/>
      </w:r>
    </w:p>
    <w:p>
      <w:pPr>
        <w:pStyle w:val="13"/>
        <w:tabs>
          <w:tab w:val="right" w:leader="dot" w:pos="8306"/>
        </w:tabs>
        <w:ind w:left="0" w:leftChars="0" w:firstLine="0" w:firstLineChars="0"/>
        <w:rPr>
          <w:rFonts w:hint="eastAsia" w:ascii="黑体" w:hAnsi="黑体" w:eastAsia="黑体" w:cs="黑体"/>
          <w:b w:val="0"/>
          <w:bCs w:val="0"/>
          <w:color w:val="auto"/>
          <w:sz w:val="24"/>
          <w:szCs w:val="21"/>
          <w:lang w:val="en-US" w:eastAsia="zh-CN"/>
        </w:rPr>
      </w:pPr>
      <w:r>
        <w:rPr>
          <w:rFonts w:hint="eastAsia" w:ascii="黑体" w:hAnsi="黑体" w:eastAsia="黑体" w:cs="黑体"/>
          <w:b w:val="0"/>
          <w:bCs w:val="0"/>
          <w:color w:val="auto"/>
          <w:sz w:val="24"/>
          <w:szCs w:val="21"/>
          <w:lang w:val="en-US" w:eastAsia="zh-CN"/>
        </w:rPr>
        <w:fldChar w:fldCharType="begin"/>
      </w:r>
      <w:r>
        <w:rPr>
          <w:rFonts w:hint="eastAsia" w:ascii="黑体" w:hAnsi="黑体" w:eastAsia="黑体" w:cs="黑体"/>
          <w:b w:val="0"/>
          <w:bCs w:val="0"/>
          <w:color w:val="auto"/>
          <w:sz w:val="24"/>
          <w:szCs w:val="21"/>
          <w:lang w:val="en-US" w:eastAsia="zh-CN"/>
        </w:rPr>
        <w:instrText xml:space="preserve"> HYPERLINK \l _Toc21004 </w:instrText>
      </w:r>
      <w:r>
        <w:rPr>
          <w:rFonts w:hint="eastAsia" w:ascii="黑体" w:hAnsi="黑体" w:eastAsia="黑体" w:cs="黑体"/>
          <w:b w:val="0"/>
          <w:bCs w:val="0"/>
          <w:color w:val="auto"/>
          <w:sz w:val="24"/>
          <w:szCs w:val="21"/>
          <w:lang w:val="en-US" w:eastAsia="zh-CN"/>
        </w:rPr>
        <w:fldChar w:fldCharType="separate"/>
      </w:r>
      <w:r>
        <w:rPr>
          <w:rFonts w:hint="eastAsia" w:ascii="黑体" w:hAnsi="黑体" w:eastAsia="黑体" w:cs="黑体"/>
          <w:b w:val="0"/>
          <w:bCs w:val="0"/>
          <w:color w:val="auto"/>
          <w:sz w:val="24"/>
          <w:szCs w:val="21"/>
          <w:lang w:val="en-US" w:eastAsia="zh-CN"/>
        </w:rPr>
        <w:t>第七章  实施保障</w:t>
      </w:r>
      <w:r>
        <w:rPr>
          <w:rFonts w:hint="eastAsia" w:ascii="黑体" w:hAnsi="黑体" w:eastAsia="黑体" w:cs="黑体"/>
          <w:b w:val="0"/>
          <w:bCs w:val="0"/>
          <w:color w:val="auto"/>
          <w:sz w:val="24"/>
          <w:szCs w:val="21"/>
          <w:lang w:val="en-US" w:eastAsia="zh-CN"/>
        </w:rPr>
        <w:tab/>
      </w:r>
      <w:r>
        <w:rPr>
          <w:rFonts w:hint="eastAsia" w:ascii="黑体" w:hAnsi="黑体" w:eastAsia="黑体" w:cs="黑体"/>
          <w:b w:val="0"/>
          <w:bCs w:val="0"/>
          <w:color w:val="auto"/>
          <w:sz w:val="24"/>
          <w:szCs w:val="21"/>
          <w:lang w:val="en-US" w:eastAsia="zh-CN"/>
        </w:rPr>
        <w:fldChar w:fldCharType="begin"/>
      </w:r>
      <w:r>
        <w:rPr>
          <w:rFonts w:hint="eastAsia" w:ascii="黑体" w:hAnsi="黑体" w:eastAsia="黑体" w:cs="黑体"/>
          <w:b w:val="0"/>
          <w:bCs w:val="0"/>
          <w:color w:val="auto"/>
          <w:sz w:val="24"/>
          <w:szCs w:val="21"/>
          <w:lang w:val="en-US" w:eastAsia="zh-CN"/>
        </w:rPr>
        <w:instrText xml:space="preserve"> PAGEREF _Toc21004 \h </w:instrText>
      </w:r>
      <w:r>
        <w:rPr>
          <w:rFonts w:hint="eastAsia" w:ascii="黑体" w:hAnsi="黑体" w:eastAsia="黑体" w:cs="黑体"/>
          <w:b w:val="0"/>
          <w:bCs w:val="0"/>
          <w:color w:val="auto"/>
          <w:sz w:val="24"/>
          <w:szCs w:val="21"/>
          <w:lang w:val="en-US" w:eastAsia="zh-CN"/>
        </w:rPr>
        <w:fldChar w:fldCharType="separate"/>
      </w:r>
      <w:r>
        <w:rPr>
          <w:rFonts w:hint="eastAsia" w:ascii="黑体" w:hAnsi="黑体" w:eastAsia="黑体" w:cs="黑体"/>
          <w:b w:val="0"/>
          <w:bCs w:val="0"/>
          <w:color w:val="auto"/>
          <w:sz w:val="24"/>
          <w:szCs w:val="21"/>
          <w:lang w:val="en-US" w:eastAsia="zh-CN"/>
        </w:rPr>
        <w:t>209</w:t>
      </w:r>
      <w:r>
        <w:rPr>
          <w:rFonts w:hint="eastAsia" w:ascii="黑体" w:hAnsi="黑体" w:eastAsia="黑体" w:cs="黑体"/>
          <w:b w:val="0"/>
          <w:bCs w:val="0"/>
          <w:color w:val="auto"/>
          <w:sz w:val="24"/>
          <w:szCs w:val="21"/>
          <w:lang w:val="en-US" w:eastAsia="zh-CN"/>
        </w:rPr>
        <w:fldChar w:fldCharType="end"/>
      </w:r>
      <w:r>
        <w:rPr>
          <w:rFonts w:hint="eastAsia" w:ascii="黑体" w:hAnsi="黑体" w:eastAsia="黑体" w:cs="黑体"/>
          <w:b w:val="0"/>
          <w:bCs w:val="0"/>
          <w:color w:val="auto"/>
          <w:sz w:val="24"/>
          <w:szCs w:val="21"/>
          <w:lang w:val="en-US" w:eastAsia="zh-CN"/>
        </w:rPr>
        <w:fldChar w:fldCharType="end"/>
      </w:r>
    </w:p>
    <w:p>
      <w:pPr>
        <w:pStyle w:val="16"/>
        <w:tabs>
          <w:tab w:val="right" w:leader="dot" w:pos="8306"/>
        </w:tabs>
        <w:ind w:left="0" w:leftChars="0" w:firstLine="883" w:firstLineChars="400"/>
        <w:rPr>
          <w:rFonts w:hint="eastAsia" w:ascii="楷体" w:hAnsi="楷体" w:eastAsia="楷体" w:cs="楷体"/>
          <w:b/>
          <w:bCs/>
          <w:color w:val="auto"/>
          <w:sz w:val="22"/>
          <w:szCs w:val="20"/>
          <w:lang w:val="en-US" w:eastAsia="zh-CN"/>
        </w:rPr>
      </w:pP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HYPERLINK \l _Toc13959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第一节  用好海南自贸港政策</w:t>
      </w:r>
      <w:r>
        <w:rPr>
          <w:rFonts w:hint="eastAsia" w:ascii="楷体" w:hAnsi="楷体" w:eastAsia="楷体" w:cs="楷体"/>
          <w:b/>
          <w:bCs/>
          <w:color w:val="auto"/>
          <w:sz w:val="22"/>
          <w:szCs w:val="20"/>
          <w:lang w:val="en-US" w:eastAsia="zh-CN"/>
        </w:rPr>
        <w:tab/>
      </w: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PAGEREF _Toc13959 \h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210</w:t>
      </w:r>
      <w:r>
        <w:rPr>
          <w:rFonts w:hint="eastAsia" w:ascii="楷体" w:hAnsi="楷体" w:eastAsia="楷体" w:cs="楷体"/>
          <w:b/>
          <w:bCs/>
          <w:color w:val="auto"/>
          <w:sz w:val="22"/>
          <w:szCs w:val="20"/>
          <w:lang w:val="en-US" w:eastAsia="zh-CN"/>
        </w:rPr>
        <w:fldChar w:fldCharType="end"/>
      </w:r>
      <w:r>
        <w:rPr>
          <w:rFonts w:hint="eastAsia" w:ascii="楷体" w:hAnsi="楷体" w:eastAsia="楷体" w:cs="楷体"/>
          <w:b/>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_Toc12829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1． 发展农渔产品保税仓储精深加工和出口</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_Toc12829 \h </w:instrText>
      </w:r>
      <w:r>
        <w:rPr>
          <w:rFonts w:hint="eastAsia" w:ascii="楷体" w:hAnsi="楷体" w:eastAsia="楷体" w:cs="楷体"/>
          <w:sz w:val="22"/>
          <w:szCs w:val="20"/>
        </w:rPr>
        <w:fldChar w:fldCharType="separate"/>
      </w:r>
      <w:r>
        <w:rPr>
          <w:rFonts w:hint="eastAsia" w:ascii="楷体" w:hAnsi="楷体" w:eastAsia="楷体" w:cs="楷体"/>
          <w:sz w:val="22"/>
          <w:szCs w:val="20"/>
        </w:rPr>
        <w:t>210</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_Toc31670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2． 企业可以获取境外低成本资金</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_Toc31670 \h </w:instrText>
      </w:r>
      <w:r>
        <w:rPr>
          <w:rFonts w:hint="eastAsia" w:ascii="楷体" w:hAnsi="楷体" w:eastAsia="楷体" w:cs="楷体"/>
          <w:sz w:val="22"/>
          <w:szCs w:val="20"/>
        </w:rPr>
        <w:fldChar w:fldCharType="separate"/>
      </w:r>
      <w:r>
        <w:rPr>
          <w:rFonts w:hint="eastAsia" w:ascii="楷体" w:hAnsi="楷体" w:eastAsia="楷体" w:cs="楷体"/>
          <w:sz w:val="22"/>
          <w:szCs w:val="20"/>
        </w:rPr>
        <w:t>210</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_Toc909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3． 对岛外企业和人才的吸引力更足</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_Toc909 \h </w:instrText>
      </w:r>
      <w:r>
        <w:rPr>
          <w:rFonts w:hint="eastAsia" w:ascii="楷体" w:hAnsi="楷体" w:eastAsia="楷体" w:cs="楷体"/>
          <w:sz w:val="22"/>
          <w:szCs w:val="20"/>
        </w:rPr>
        <w:fldChar w:fldCharType="separate"/>
      </w:r>
      <w:r>
        <w:rPr>
          <w:rFonts w:hint="eastAsia" w:ascii="楷体" w:hAnsi="楷体" w:eastAsia="楷体" w:cs="楷体"/>
          <w:sz w:val="22"/>
          <w:szCs w:val="20"/>
        </w:rPr>
        <w:t>210</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_Toc12568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4． 产业发展空间和农民利益更有保障</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_Toc12568 \h </w:instrText>
      </w:r>
      <w:r>
        <w:rPr>
          <w:rFonts w:hint="eastAsia" w:ascii="楷体" w:hAnsi="楷体" w:eastAsia="楷体" w:cs="楷体"/>
          <w:sz w:val="22"/>
          <w:szCs w:val="20"/>
        </w:rPr>
        <w:fldChar w:fldCharType="separate"/>
      </w:r>
      <w:r>
        <w:rPr>
          <w:rFonts w:hint="eastAsia" w:ascii="楷体" w:hAnsi="楷体" w:eastAsia="楷体" w:cs="楷体"/>
          <w:sz w:val="22"/>
          <w:szCs w:val="20"/>
        </w:rPr>
        <w:t>210</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_Toc16503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5． 人才、信息、资金等要素流动更自由</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_Toc16503 \h </w:instrText>
      </w:r>
      <w:r>
        <w:rPr>
          <w:rFonts w:hint="eastAsia" w:ascii="楷体" w:hAnsi="楷体" w:eastAsia="楷体" w:cs="楷体"/>
          <w:sz w:val="22"/>
          <w:szCs w:val="20"/>
        </w:rPr>
        <w:fldChar w:fldCharType="separate"/>
      </w:r>
      <w:r>
        <w:rPr>
          <w:rFonts w:hint="eastAsia" w:ascii="楷体" w:hAnsi="楷体" w:eastAsia="楷体" w:cs="楷体"/>
          <w:sz w:val="22"/>
          <w:szCs w:val="20"/>
        </w:rPr>
        <w:t>210</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6"/>
        <w:tabs>
          <w:tab w:val="right" w:leader="dot" w:pos="8306"/>
        </w:tabs>
        <w:ind w:left="0" w:leftChars="0" w:firstLine="883" w:firstLineChars="400"/>
        <w:rPr>
          <w:rFonts w:hint="eastAsia" w:ascii="楷体" w:hAnsi="楷体" w:eastAsia="楷体" w:cs="楷体"/>
          <w:b/>
          <w:bCs/>
          <w:color w:val="auto"/>
          <w:sz w:val="22"/>
          <w:szCs w:val="20"/>
          <w:lang w:val="en-US" w:eastAsia="zh-CN"/>
        </w:rPr>
      </w:pP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HYPERLINK \l _Toc21706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第二节  制定产业指导目录</w:t>
      </w:r>
      <w:r>
        <w:rPr>
          <w:rFonts w:hint="eastAsia" w:ascii="楷体" w:hAnsi="楷体" w:eastAsia="楷体" w:cs="楷体"/>
          <w:b/>
          <w:bCs/>
          <w:color w:val="auto"/>
          <w:sz w:val="22"/>
          <w:szCs w:val="20"/>
          <w:lang w:val="en-US" w:eastAsia="zh-CN"/>
        </w:rPr>
        <w:tab/>
      </w: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PAGEREF _Toc21706 \h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211</w:t>
      </w:r>
      <w:r>
        <w:rPr>
          <w:rFonts w:hint="eastAsia" w:ascii="楷体" w:hAnsi="楷体" w:eastAsia="楷体" w:cs="楷体"/>
          <w:b/>
          <w:bCs/>
          <w:color w:val="auto"/>
          <w:sz w:val="22"/>
          <w:szCs w:val="20"/>
          <w:lang w:val="en-US" w:eastAsia="zh-CN"/>
        </w:rPr>
        <w:fldChar w:fldCharType="end"/>
      </w:r>
      <w:r>
        <w:rPr>
          <w:rFonts w:hint="eastAsia" w:ascii="楷体" w:hAnsi="楷体" w:eastAsia="楷体" w:cs="楷体"/>
          <w:b/>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_Toc28976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1． 制定产业招商指导目录</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_Toc28976 \h </w:instrText>
      </w:r>
      <w:r>
        <w:rPr>
          <w:rFonts w:hint="eastAsia" w:ascii="楷体" w:hAnsi="楷体" w:eastAsia="楷体" w:cs="楷体"/>
          <w:sz w:val="22"/>
          <w:szCs w:val="20"/>
        </w:rPr>
        <w:fldChar w:fldCharType="separate"/>
      </w:r>
      <w:r>
        <w:rPr>
          <w:rFonts w:hint="eastAsia" w:ascii="楷体" w:hAnsi="楷体" w:eastAsia="楷体" w:cs="楷体"/>
          <w:sz w:val="22"/>
          <w:szCs w:val="20"/>
        </w:rPr>
        <w:t>211</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_Toc28114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2． 坚决把生态环境保护作为产业发展的前提</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_Toc28114 \h </w:instrText>
      </w:r>
      <w:r>
        <w:rPr>
          <w:rFonts w:hint="eastAsia" w:ascii="楷体" w:hAnsi="楷体" w:eastAsia="楷体" w:cs="楷体"/>
          <w:sz w:val="22"/>
          <w:szCs w:val="20"/>
        </w:rPr>
        <w:fldChar w:fldCharType="separate"/>
      </w:r>
      <w:r>
        <w:rPr>
          <w:rFonts w:hint="eastAsia" w:ascii="楷体" w:hAnsi="楷体" w:eastAsia="楷体" w:cs="楷体"/>
          <w:sz w:val="22"/>
          <w:szCs w:val="20"/>
        </w:rPr>
        <w:t>211</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6"/>
        <w:tabs>
          <w:tab w:val="right" w:leader="dot" w:pos="8306"/>
        </w:tabs>
        <w:ind w:left="0" w:leftChars="0" w:firstLine="883" w:firstLineChars="400"/>
        <w:rPr>
          <w:rFonts w:hint="eastAsia" w:ascii="楷体" w:hAnsi="楷体" w:eastAsia="楷体" w:cs="楷体"/>
          <w:b/>
          <w:bCs/>
          <w:color w:val="auto"/>
          <w:sz w:val="22"/>
          <w:szCs w:val="20"/>
          <w:lang w:val="en-US" w:eastAsia="zh-CN"/>
        </w:rPr>
      </w:pP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HYPERLINK \l _Toc10400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第三节  创新产业发展和招商引资工作机制</w:t>
      </w:r>
      <w:r>
        <w:rPr>
          <w:rFonts w:hint="eastAsia" w:ascii="楷体" w:hAnsi="楷体" w:eastAsia="楷体" w:cs="楷体"/>
          <w:b/>
          <w:bCs/>
          <w:color w:val="auto"/>
          <w:sz w:val="22"/>
          <w:szCs w:val="20"/>
          <w:lang w:val="en-US" w:eastAsia="zh-CN"/>
        </w:rPr>
        <w:tab/>
      </w: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PAGEREF _Toc10400 \h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212</w:t>
      </w:r>
      <w:r>
        <w:rPr>
          <w:rFonts w:hint="eastAsia" w:ascii="楷体" w:hAnsi="楷体" w:eastAsia="楷体" w:cs="楷体"/>
          <w:b/>
          <w:bCs/>
          <w:color w:val="auto"/>
          <w:sz w:val="22"/>
          <w:szCs w:val="20"/>
          <w:lang w:val="en-US" w:eastAsia="zh-CN"/>
        </w:rPr>
        <w:fldChar w:fldCharType="end"/>
      </w:r>
      <w:r>
        <w:rPr>
          <w:rFonts w:hint="eastAsia" w:ascii="楷体" w:hAnsi="楷体" w:eastAsia="楷体" w:cs="楷体"/>
          <w:b/>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_Toc13191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1． 成立崖州区产业发展领导小组</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_Toc13191 \h </w:instrText>
      </w:r>
      <w:r>
        <w:rPr>
          <w:rFonts w:hint="eastAsia" w:ascii="楷体" w:hAnsi="楷体" w:eastAsia="楷体" w:cs="楷体"/>
          <w:sz w:val="22"/>
          <w:szCs w:val="20"/>
        </w:rPr>
        <w:fldChar w:fldCharType="separate"/>
      </w:r>
      <w:r>
        <w:rPr>
          <w:rFonts w:hint="eastAsia" w:ascii="楷体" w:hAnsi="楷体" w:eastAsia="楷体" w:cs="楷体"/>
          <w:sz w:val="22"/>
          <w:szCs w:val="20"/>
        </w:rPr>
        <w:t>212</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_Toc14476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2． 成立崖州区产业发展平台公司</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_Toc14476 \h </w:instrText>
      </w:r>
      <w:r>
        <w:rPr>
          <w:rFonts w:hint="eastAsia" w:ascii="楷体" w:hAnsi="楷体" w:eastAsia="楷体" w:cs="楷体"/>
          <w:sz w:val="22"/>
          <w:szCs w:val="20"/>
        </w:rPr>
        <w:fldChar w:fldCharType="separate"/>
      </w:r>
      <w:r>
        <w:rPr>
          <w:rFonts w:hint="eastAsia" w:ascii="楷体" w:hAnsi="楷体" w:eastAsia="楷体" w:cs="楷体"/>
          <w:sz w:val="22"/>
          <w:szCs w:val="20"/>
        </w:rPr>
        <w:t>212</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_Toc28992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3． 创新招商引资合作模式</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_Toc28992 \h </w:instrText>
      </w:r>
      <w:r>
        <w:rPr>
          <w:rFonts w:hint="eastAsia" w:ascii="楷体" w:hAnsi="楷体" w:eastAsia="楷体" w:cs="楷体"/>
          <w:sz w:val="22"/>
          <w:szCs w:val="20"/>
        </w:rPr>
        <w:fldChar w:fldCharType="separate"/>
      </w:r>
      <w:r>
        <w:rPr>
          <w:rFonts w:hint="eastAsia" w:ascii="楷体" w:hAnsi="楷体" w:eastAsia="楷体" w:cs="楷体"/>
          <w:sz w:val="22"/>
          <w:szCs w:val="20"/>
        </w:rPr>
        <w:t>213</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6"/>
        <w:tabs>
          <w:tab w:val="right" w:leader="dot" w:pos="8306"/>
        </w:tabs>
        <w:ind w:left="0" w:leftChars="0" w:firstLine="883" w:firstLineChars="400"/>
        <w:rPr>
          <w:rFonts w:hint="eastAsia" w:ascii="楷体" w:hAnsi="楷体" w:eastAsia="楷体" w:cs="楷体"/>
          <w:b/>
          <w:bCs/>
          <w:color w:val="auto"/>
          <w:sz w:val="22"/>
          <w:szCs w:val="20"/>
          <w:lang w:val="en-US" w:eastAsia="zh-CN"/>
        </w:rPr>
      </w:pP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HYPERLINK \l _Toc1289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第四节  保障产业用地供给</w:t>
      </w:r>
      <w:r>
        <w:rPr>
          <w:rFonts w:hint="eastAsia" w:ascii="楷体" w:hAnsi="楷体" w:eastAsia="楷体" w:cs="楷体"/>
          <w:b/>
          <w:bCs/>
          <w:color w:val="auto"/>
          <w:sz w:val="22"/>
          <w:szCs w:val="20"/>
          <w:lang w:val="en-US" w:eastAsia="zh-CN"/>
        </w:rPr>
        <w:tab/>
      </w: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PAGEREF _Toc1289 \h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214</w:t>
      </w:r>
      <w:r>
        <w:rPr>
          <w:rFonts w:hint="eastAsia" w:ascii="楷体" w:hAnsi="楷体" w:eastAsia="楷体" w:cs="楷体"/>
          <w:b/>
          <w:bCs/>
          <w:color w:val="auto"/>
          <w:sz w:val="22"/>
          <w:szCs w:val="20"/>
          <w:lang w:val="en-US" w:eastAsia="zh-CN"/>
        </w:rPr>
        <w:fldChar w:fldCharType="end"/>
      </w:r>
      <w:r>
        <w:rPr>
          <w:rFonts w:hint="eastAsia" w:ascii="楷体" w:hAnsi="楷体" w:eastAsia="楷体" w:cs="楷体"/>
          <w:b/>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_Toc4206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1． 在村庄规划中统筹做好产业项目用地供给</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_Toc4206 \h </w:instrText>
      </w:r>
      <w:r>
        <w:rPr>
          <w:rFonts w:hint="eastAsia" w:ascii="楷体" w:hAnsi="楷体" w:eastAsia="楷体" w:cs="楷体"/>
          <w:sz w:val="22"/>
          <w:szCs w:val="20"/>
        </w:rPr>
        <w:fldChar w:fldCharType="separate"/>
      </w:r>
      <w:r>
        <w:rPr>
          <w:rFonts w:hint="eastAsia" w:ascii="楷体" w:hAnsi="楷体" w:eastAsia="楷体" w:cs="楷体"/>
          <w:sz w:val="22"/>
          <w:szCs w:val="20"/>
        </w:rPr>
        <w:t>214</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_Toc22703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2． 持续推进农村土地制度改革</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_Toc22703 \h </w:instrText>
      </w:r>
      <w:r>
        <w:rPr>
          <w:rFonts w:hint="eastAsia" w:ascii="楷体" w:hAnsi="楷体" w:eastAsia="楷体" w:cs="楷体"/>
          <w:sz w:val="22"/>
          <w:szCs w:val="20"/>
        </w:rPr>
        <w:fldChar w:fldCharType="separate"/>
      </w:r>
      <w:r>
        <w:rPr>
          <w:rFonts w:hint="eastAsia" w:ascii="楷体" w:hAnsi="楷体" w:eastAsia="楷体" w:cs="楷体"/>
          <w:sz w:val="22"/>
          <w:szCs w:val="20"/>
        </w:rPr>
        <w:t>215</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_Toc17547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3． 深化农村集体产权制度改革</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_Toc17547 \h </w:instrText>
      </w:r>
      <w:r>
        <w:rPr>
          <w:rFonts w:hint="eastAsia" w:ascii="楷体" w:hAnsi="楷体" w:eastAsia="楷体" w:cs="楷体"/>
          <w:sz w:val="22"/>
          <w:szCs w:val="20"/>
        </w:rPr>
        <w:fldChar w:fldCharType="separate"/>
      </w:r>
      <w:r>
        <w:rPr>
          <w:rFonts w:hint="eastAsia" w:ascii="楷体" w:hAnsi="楷体" w:eastAsia="楷体" w:cs="楷体"/>
          <w:sz w:val="22"/>
          <w:szCs w:val="20"/>
        </w:rPr>
        <w:t>215</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_Toc26442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4． 稳妥做好征地拆迁和安置问题</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_Toc26442 \h </w:instrText>
      </w:r>
      <w:r>
        <w:rPr>
          <w:rFonts w:hint="eastAsia" w:ascii="楷体" w:hAnsi="楷体" w:eastAsia="楷体" w:cs="楷体"/>
          <w:sz w:val="22"/>
          <w:szCs w:val="20"/>
        </w:rPr>
        <w:fldChar w:fldCharType="separate"/>
      </w:r>
      <w:r>
        <w:rPr>
          <w:rFonts w:hint="eastAsia" w:ascii="楷体" w:hAnsi="楷体" w:eastAsia="楷体" w:cs="楷体"/>
          <w:sz w:val="22"/>
          <w:szCs w:val="20"/>
        </w:rPr>
        <w:t>216</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6"/>
        <w:tabs>
          <w:tab w:val="right" w:leader="dot" w:pos="8306"/>
        </w:tabs>
        <w:ind w:left="0" w:leftChars="0" w:firstLine="883" w:firstLineChars="400"/>
        <w:rPr>
          <w:rFonts w:hint="eastAsia" w:ascii="楷体" w:hAnsi="楷体" w:eastAsia="楷体" w:cs="楷体"/>
          <w:b/>
          <w:bCs/>
          <w:color w:val="auto"/>
          <w:sz w:val="22"/>
          <w:szCs w:val="20"/>
          <w:lang w:val="en-US" w:eastAsia="zh-CN"/>
        </w:rPr>
      </w:pP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HYPERLINK \l _Toc28552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第五节  建立多元化金融支持</w:t>
      </w:r>
      <w:r>
        <w:rPr>
          <w:rFonts w:hint="eastAsia" w:ascii="楷体" w:hAnsi="楷体" w:eastAsia="楷体" w:cs="楷体"/>
          <w:b/>
          <w:bCs/>
          <w:color w:val="auto"/>
          <w:sz w:val="22"/>
          <w:szCs w:val="20"/>
          <w:lang w:val="en-US" w:eastAsia="zh-CN"/>
        </w:rPr>
        <w:tab/>
      </w: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PAGEREF _Toc28552 \h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216</w:t>
      </w:r>
      <w:r>
        <w:rPr>
          <w:rFonts w:hint="eastAsia" w:ascii="楷体" w:hAnsi="楷体" w:eastAsia="楷体" w:cs="楷体"/>
          <w:b/>
          <w:bCs/>
          <w:color w:val="auto"/>
          <w:sz w:val="22"/>
          <w:szCs w:val="20"/>
          <w:lang w:val="en-US" w:eastAsia="zh-CN"/>
        </w:rPr>
        <w:fldChar w:fldCharType="end"/>
      </w:r>
      <w:r>
        <w:rPr>
          <w:rFonts w:hint="eastAsia" w:ascii="楷体" w:hAnsi="楷体" w:eastAsia="楷体" w:cs="楷体"/>
          <w:b/>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_Toc23313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1． 市场手段与行政手段并用</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_Toc23313 \h </w:instrText>
      </w:r>
      <w:r>
        <w:rPr>
          <w:rFonts w:hint="eastAsia" w:ascii="楷体" w:hAnsi="楷体" w:eastAsia="楷体" w:cs="楷体"/>
          <w:sz w:val="22"/>
          <w:szCs w:val="20"/>
        </w:rPr>
        <w:fldChar w:fldCharType="separate"/>
      </w:r>
      <w:r>
        <w:rPr>
          <w:rFonts w:hint="eastAsia" w:ascii="楷体" w:hAnsi="楷体" w:eastAsia="楷体" w:cs="楷体"/>
          <w:sz w:val="22"/>
          <w:szCs w:val="20"/>
        </w:rPr>
        <w:t>216</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_Toc19100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2． 提高金融服务“三农”水平</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_Toc19100 \h </w:instrText>
      </w:r>
      <w:r>
        <w:rPr>
          <w:rFonts w:hint="eastAsia" w:ascii="楷体" w:hAnsi="楷体" w:eastAsia="楷体" w:cs="楷体"/>
          <w:sz w:val="22"/>
          <w:szCs w:val="20"/>
        </w:rPr>
        <w:fldChar w:fldCharType="separate"/>
      </w:r>
      <w:r>
        <w:rPr>
          <w:rFonts w:hint="eastAsia" w:ascii="楷体" w:hAnsi="楷体" w:eastAsia="楷体" w:cs="楷体"/>
          <w:sz w:val="22"/>
          <w:szCs w:val="20"/>
        </w:rPr>
        <w:t>216</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_Toc26806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3． 引导社会资本投向农业和农村</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_Toc26806 \h </w:instrText>
      </w:r>
      <w:r>
        <w:rPr>
          <w:rFonts w:hint="eastAsia" w:ascii="楷体" w:hAnsi="楷体" w:eastAsia="楷体" w:cs="楷体"/>
          <w:sz w:val="22"/>
          <w:szCs w:val="20"/>
        </w:rPr>
        <w:fldChar w:fldCharType="separate"/>
      </w:r>
      <w:r>
        <w:rPr>
          <w:rFonts w:hint="eastAsia" w:ascii="楷体" w:hAnsi="楷体" w:eastAsia="楷体" w:cs="楷体"/>
          <w:sz w:val="22"/>
          <w:szCs w:val="20"/>
        </w:rPr>
        <w:t>217</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6"/>
        <w:tabs>
          <w:tab w:val="right" w:leader="dot" w:pos="8306"/>
        </w:tabs>
        <w:ind w:left="0" w:leftChars="0" w:firstLine="883" w:firstLineChars="400"/>
        <w:rPr>
          <w:rFonts w:hint="eastAsia" w:ascii="楷体" w:hAnsi="楷体" w:eastAsia="楷体" w:cs="楷体"/>
          <w:b/>
          <w:bCs/>
          <w:color w:val="auto"/>
          <w:sz w:val="22"/>
          <w:szCs w:val="20"/>
          <w:lang w:val="en-US" w:eastAsia="zh-CN"/>
        </w:rPr>
      </w:pP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HYPERLINK \l _Toc32423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第六节  做好人力人才保障</w:t>
      </w:r>
      <w:r>
        <w:rPr>
          <w:rFonts w:hint="eastAsia" w:ascii="楷体" w:hAnsi="楷体" w:eastAsia="楷体" w:cs="楷体"/>
          <w:b/>
          <w:bCs/>
          <w:color w:val="auto"/>
          <w:sz w:val="22"/>
          <w:szCs w:val="20"/>
          <w:lang w:val="en-US" w:eastAsia="zh-CN"/>
        </w:rPr>
        <w:tab/>
      </w: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PAGEREF _Toc32423 \h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217</w:t>
      </w:r>
      <w:r>
        <w:rPr>
          <w:rFonts w:hint="eastAsia" w:ascii="楷体" w:hAnsi="楷体" w:eastAsia="楷体" w:cs="楷体"/>
          <w:b/>
          <w:bCs/>
          <w:color w:val="auto"/>
          <w:sz w:val="22"/>
          <w:szCs w:val="20"/>
          <w:lang w:val="en-US" w:eastAsia="zh-CN"/>
        </w:rPr>
        <w:fldChar w:fldCharType="end"/>
      </w:r>
      <w:r>
        <w:rPr>
          <w:rFonts w:hint="eastAsia" w:ascii="楷体" w:hAnsi="楷体" w:eastAsia="楷体" w:cs="楷体"/>
          <w:b/>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_Toc2247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1． 鼓励各方人士投身崖州经济建设</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_Toc2247 \h </w:instrText>
      </w:r>
      <w:r>
        <w:rPr>
          <w:rFonts w:hint="eastAsia" w:ascii="楷体" w:hAnsi="楷体" w:eastAsia="楷体" w:cs="楷体"/>
          <w:sz w:val="22"/>
          <w:szCs w:val="20"/>
        </w:rPr>
        <w:fldChar w:fldCharType="separate"/>
      </w:r>
      <w:r>
        <w:rPr>
          <w:rFonts w:hint="eastAsia" w:ascii="楷体" w:hAnsi="楷体" w:eastAsia="楷体" w:cs="楷体"/>
          <w:sz w:val="22"/>
          <w:szCs w:val="20"/>
        </w:rPr>
        <w:t>217</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_Toc28801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2． 做好各级各类人员培训培育工作</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_Toc28801 \h </w:instrText>
      </w:r>
      <w:r>
        <w:rPr>
          <w:rFonts w:hint="eastAsia" w:ascii="楷体" w:hAnsi="楷体" w:eastAsia="楷体" w:cs="楷体"/>
          <w:sz w:val="22"/>
          <w:szCs w:val="20"/>
        </w:rPr>
        <w:fldChar w:fldCharType="separate"/>
      </w:r>
      <w:r>
        <w:rPr>
          <w:rFonts w:hint="eastAsia" w:ascii="楷体" w:hAnsi="楷体" w:eastAsia="楷体" w:cs="楷体"/>
          <w:sz w:val="22"/>
          <w:szCs w:val="20"/>
        </w:rPr>
        <w:t>218</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3"/>
        <w:tabs>
          <w:tab w:val="right" w:leader="dot" w:pos="8306"/>
        </w:tabs>
        <w:ind w:left="0" w:leftChars="0" w:firstLine="0" w:firstLineChars="0"/>
        <w:rPr>
          <w:rFonts w:hint="eastAsia" w:ascii="黑体" w:hAnsi="黑体" w:eastAsia="黑体" w:cs="黑体"/>
          <w:b w:val="0"/>
          <w:bCs w:val="0"/>
          <w:color w:val="auto"/>
          <w:sz w:val="24"/>
          <w:szCs w:val="21"/>
          <w:lang w:val="en-US" w:eastAsia="zh-CN"/>
        </w:rPr>
      </w:pPr>
      <w:r>
        <w:rPr>
          <w:rFonts w:hint="eastAsia" w:ascii="黑体" w:hAnsi="黑体" w:eastAsia="黑体" w:cs="黑体"/>
          <w:b w:val="0"/>
          <w:bCs w:val="0"/>
          <w:color w:val="auto"/>
          <w:sz w:val="24"/>
          <w:szCs w:val="21"/>
          <w:lang w:val="en-US" w:eastAsia="zh-CN"/>
        </w:rPr>
        <w:fldChar w:fldCharType="begin"/>
      </w:r>
      <w:r>
        <w:rPr>
          <w:rFonts w:hint="eastAsia" w:ascii="黑体" w:hAnsi="黑体" w:eastAsia="黑体" w:cs="黑体"/>
          <w:b w:val="0"/>
          <w:bCs w:val="0"/>
          <w:color w:val="auto"/>
          <w:sz w:val="24"/>
          <w:szCs w:val="21"/>
          <w:lang w:val="en-US" w:eastAsia="zh-CN"/>
        </w:rPr>
        <w:instrText xml:space="preserve"> HYPERLINK \l _Toc10547 </w:instrText>
      </w:r>
      <w:r>
        <w:rPr>
          <w:rFonts w:hint="eastAsia" w:ascii="黑体" w:hAnsi="黑体" w:eastAsia="黑体" w:cs="黑体"/>
          <w:b w:val="0"/>
          <w:bCs w:val="0"/>
          <w:color w:val="auto"/>
          <w:sz w:val="24"/>
          <w:szCs w:val="21"/>
          <w:lang w:val="en-US" w:eastAsia="zh-CN"/>
        </w:rPr>
        <w:fldChar w:fldCharType="separate"/>
      </w:r>
      <w:r>
        <w:rPr>
          <w:rFonts w:hint="eastAsia" w:ascii="黑体" w:hAnsi="黑体" w:eastAsia="黑体" w:cs="黑体"/>
          <w:b w:val="0"/>
          <w:bCs w:val="0"/>
          <w:color w:val="auto"/>
          <w:sz w:val="24"/>
          <w:szCs w:val="21"/>
          <w:lang w:val="en-US" w:eastAsia="zh-CN"/>
        </w:rPr>
        <w:t>第八章  附件</w:t>
      </w:r>
      <w:r>
        <w:rPr>
          <w:rFonts w:hint="eastAsia" w:ascii="黑体" w:hAnsi="黑体" w:eastAsia="黑体" w:cs="黑体"/>
          <w:b w:val="0"/>
          <w:bCs w:val="0"/>
          <w:color w:val="auto"/>
          <w:sz w:val="24"/>
          <w:szCs w:val="21"/>
          <w:lang w:val="en-US" w:eastAsia="zh-CN"/>
        </w:rPr>
        <w:tab/>
      </w:r>
      <w:r>
        <w:rPr>
          <w:rFonts w:hint="eastAsia" w:ascii="黑体" w:hAnsi="黑体" w:eastAsia="黑体" w:cs="黑体"/>
          <w:b w:val="0"/>
          <w:bCs w:val="0"/>
          <w:color w:val="auto"/>
          <w:sz w:val="24"/>
          <w:szCs w:val="21"/>
          <w:lang w:val="en-US" w:eastAsia="zh-CN"/>
        </w:rPr>
        <w:fldChar w:fldCharType="begin"/>
      </w:r>
      <w:r>
        <w:rPr>
          <w:rFonts w:hint="eastAsia" w:ascii="黑体" w:hAnsi="黑体" w:eastAsia="黑体" w:cs="黑体"/>
          <w:b w:val="0"/>
          <w:bCs w:val="0"/>
          <w:color w:val="auto"/>
          <w:sz w:val="24"/>
          <w:szCs w:val="21"/>
          <w:lang w:val="en-US" w:eastAsia="zh-CN"/>
        </w:rPr>
        <w:instrText xml:space="preserve"> PAGEREF _Toc10547 \h </w:instrText>
      </w:r>
      <w:r>
        <w:rPr>
          <w:rFonts w:hint="eastAsia" w:ascii="黑体" w:hAnsi="黑体" w:eastAsia="黑体" w:cs="黑体"/>
          <w:b w:val="0"/>
          <w:bCs w:val="0"/>
          <w:color w:val="auto"/>
          <w:sz w:val="24"/>
          <w:szCs w:val="21"/>
          <w:lang w:val="en-US" w:eastAsia="zh-CN"/>
        </w:rPr>
        <w:fldChar w:fldCharType="separate"/>
      </w:r>
      <w:r>
        <w:rPr>
          <w:rFonts w:hint="eastAsia" w:ascii="黑体" w:hAnsi="黑体" w:eastAsia="黑体" w:cs="黑体"/>
          <w:b w:val="0"/>
          <w:bCs w:val="0"/>
          <w:color w:val="auto"/>
          <w:sz w:val="24"/>
          <w:szCs w:val="21"/>
          <w:lang w:val="en-US" w:eastAsia="zh-CN"/>
        </w:rPr>
        <w:t>220</w:t>
      </w:r>
      <w:r>
        <w:rPr>
          <w:rFonts w:hint="eastAsia" w:ascii="黑体" w:hAnsi="黑体" w:eastAsia="黑体" w:cs="黑体"/>
          <w:b w:val="0"/>
          <w:bCs w:val="0"/>
          <w:color w:val="auto"/>
          <w:sz w:val="24"/>
          <w:szCs w:val="21"/>
          <w:lang w:val="en-US" w:eastAsia="zh-CN"/>
        </w:rPr>
        <w:fldChar w:fldCharType="end"/>
      </w:r>
      <w:r>
        <w:rPr>
          <w:rFonts w:hint="eastAsia" w:ascii="黑体" w:hAnsi="黑体" w:eastAsia="黑体" w:cs="黑体"/>
          <w:b w:val="0"/>
          <w:bCs w:val="0"/>
          <w:color w:val="auto"/>
          <w:sz w:val="24"/>
          <w:szCs w:val="21"/>
          <w:lang w:val="en-US" w:eastAsia="zh-CN"/>
        </w:rPr>
        <w:fldChar w:fldCharType="end"/>
      </w:r>
    </w:p>
    <w:p>
      <w:pPr>
        <w:pStyle w:val="16"/>
        <w:tabs>
          <w:tab w:val="right" w:leader="dot" w:pos="8306"/>
        </w:tabs>
        <w:ind w:left="0" w:leftChars="0" w:firstLine="883" w:firstLineChars="400"/>
        <w:rPr>
          <w:rFonts w:hint="eastAsia" w:ascii="楷体" w:hAnsi="楷体" w:eastAsia="楷体" w:cs="楷体"/>
          <w:b/>
          <w:bCs/>
          <w:color w:val="auto"/>
          <w:sz w:val="22"/>
          <w:szCs w:val="20"/>
          <w:lang w:val="en-US" w:eastAsia="zh-CN"/>
        </w:rPr>
      </w:pP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HYPERLINK \l _Toc26862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附件1  上级指示解读</w:t>
      </w:r>
      <w:r>
        <w:rPr>
          <w:rFonts w:hint="eastAsia" w:ascii="楷体" w:hAnsi="楷体" w:eastAsia="楷体" w:cs="楷体"/>
          <w:b/>
          <w:bCs/>
          <w:color w:val="auto"/>
          <w:sz w:val="22"/>
          <w:szCs w:val="20"/>
          <w:lang w:val="en-US" w:eastAsia="zh-CN"/>
        </w:rPr>
        <w:tab/>
      </w: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PAGEREF _Toc26862 \h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221</w:t>
      </w:r>
      <w:r>
        <w:rPr>
          <w:rFonts w:hint="eastAsia" w:ascii="楷体" w:hAnsi="楷体" w:eastAsia="楷体" w:cs="楷体"/>
          <w:b/>
          <w:bCs/>
          <w:color w:val="auto"/>
          <w:sz w:val="22"/>
          <w:szCs w:val="20"/>
          <w:lang w:val="en-US" w:eastAsia="zh-CN"/>
        </w:rPr>
        <w:fldChar w:fldCharType="end"/>
      </w:r>
      <w:r>
        <w:rPr>
          <w:rFonts w:hint="eastAsia" w:ascii="楷体" w:hAnsi="楷体" w:eastAsia="楷体" w:cs="楷体"/>
          <w:b/>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_Toc32761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1． 鼓励科技成果优先就地就近转化</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_Toc32761 \h </w:instrText>
      </w:r>
      <w:r>
        <w:rPr>
          <w:rFonts w:hint="eastAsia" w:ascii="楷体" w:hAnsi="楷体" w:eastAsia="楷体" w:cs="楷体"/>
          <w:sz w:val="22"/>
          <w:szCs w:val="20"/>
        </w:rPr>
        <w:fldChar w:fldCharType="separate"/>
      </w:r>
      <w:r>
        <w:rPr>
          <w:rFonts w:hint="eastAsia" w:ascii="楷体" w:hAnsi="楷体" w:eastAsia="楷体" w:cs="楷体"/>
          <w:sz w:val="22"/>
          <w:szCs w:val="20"/>
        </w:rPr>
        <w:t>221</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_Toc15634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2． 提升农业产业化发展水平，实现一二三产业融合发展</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_Toc15634 \h </w:instrText>
      </w:r>
      <w:r>
        <w:rPr>
          <w:rFonts w:hint="eastAsia" w:ascii="楷体" w:hAnsi="楷体" w:eastAsia="楷体" w:cs="楷体"/>
          <w:sz w:val="22"/>
          <w:szCs w:val="20"/>
        </w:rPr>
        <w:fldChar w:fldCharType="separate"/>
      </w:r>
      <w:r>
        <w:rPr>
          <w:rFonts w:hint="eastAsia" w:ascii="楷体" w:hAnsi="楷体" w:eastAsia="楷体" w:cs="楷体"/>
          <w:sz w:val="22"/>
          <w:szCs w:val="20"/>
        </w:rPr>
        <w:t>221</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4"/>
        <w:tabs>
          <w:tab w:val="right" w:leader="dot" w:pos="8306"/>
        </w:tabs>
        <w:ind w:left="1280" w:leftChars="400" w:firstLine="0" w:firstLineChars="0"/>
        <w:rPr>
          <w:rFonts w:hint="eastAsia" w:ascii="楷体" w:hAnsi="楷体" w:eastAsia="楷体" w:cs="楷体"/>
          <w:sz w:val="22"/>
          <w:szCs w:val="20"/>
        </w:rPr>
      </w:pPr>
      <w:r>
        <w:rPr>
          <w:rFonts w:hint="eastAsia" w:ascii="楷体" w:hAnsi="楷体" w:eastAsia="楷体" w:cs="楷体"/>
          <w:bCs/>
          <w:color w:val="auto"/>
          <w:sz w:val="22"/>
          <w:szCs w:val="20"/>
          <w:lang w:val="en-US" w:eastAsia="zh-CN"/>
        </w:rPr>
        <w:fldChar w:fldCharType="begin"/>
      </w:r>
      <w:r>
        <w:rPr>
          <w:rFonts w:hint="eastAsia" w:ascii="楷体" w:hAnsi="楷体" w:eastAsia="楷体" w:cs="楷体"/>
          <w:bCs/>
          <w:sz w:val="22"/>
          <w:szCs w:val="20"/>
          <w:lang w:val="en-US" w:eastAsia="zh-CN"/>
        </w:rPr>
        <w:instrText xml:space="preserve"> HYPERLINK \l _Toc12361 </w:instrText>
      </w:r>
      <w:r>
        <w:rPr>
          <w:rFonts w:hint="eastAsia" w:ascii="楷体" w:hAnsi="楷体" w:eastAsia="楷体" w:cs="楷体"/>
          <w:bCs/>
          <w:sz w:val="22"/>
          <w:szCs w:val="20"/>
          <w:lang w:val="en-US" w:eastAsia="zh-CN"/>
        </w:rPr>
        <w:fldChar w:fldCharType="separate"/>
      </w:r>
      <w:r>
        <w:rPr>
          <w:rFonts w:hint="eastAsia" w:ascii="楷体" w:hAnsi="楷体" w:eastAsia="楷体" w:cs="楷体"/>
          <w:sz w:val="22"/>
          <w:szCs w:val="20"/>
          <w:lang w:val="en-US" w:eastAsia="zh-CN"/>
        </w:rPr>
        <w:t>3． 打好渔村文化牌、崖州古城历史文化牌</w:t>
      </w:r>
      <w:r>
        <w:rPr>
          <w:rFonts w:hint="eastAsia" w:ascii="楷体" w:hAnsi="楷体" w:eastAsia="楷体" w:cs="楷体"/>
          <w:sz w:val="22"/>
          <w:szCs w:val="20"/>
        </w:rPr>
        <w:tab/>
      </w:r>
      <w:r>
        <w:rPr>
          <w:rFonts w:hint="eastAsia" w:ascii="楷体" w:hAnsi="楷体" w:eastAsia="楷体" w:cs="楷体"/>
          <w:sz w:val="22"/>
          <w:szCs w:val="20"/>
        </w:rPr>
        <w:fldChar w:fldCharType="begin"/>
      </w:r>
      <w:r>
        <w:rPr>
          <w:rFonts w:hint="eastAsia" w:ascii="楷体" w:hAnsi="楷体" w:eastAsia="楷体" w:cs="楷体"/>
          <w:sz w:val="22"/>
          <w:szCs w:val="20"/>
        </w:rPr>
        <w:instrText xml:space="preserve"> PAGEREF _Toc12361 \h </w:instrText>
      </w:r>
      <w:r>
        <w:rPr>
          <w:rFonts w:hint="eastAsia" w:ascii="楷体" w:hAnsi="楷体" w:eastAsia="楷体" w:cs="楷体"/>
          <w:sz w:val="22"/>
          <w:szCs w:val="20"/>
        </w:rPr>
        <w:fldChar w:fldCharType="separate"/>
      </w:r>
      <w:r>
        <w:rPr>
          <w:rFonts w:hint="eastAsia" w:ascii="楷体" w:hAnsi="楷体" w:eastAsia="楷体" w:cs="楷体"/>
          <w:sz w:val="22"/>
          <w:szCs w:val="20"/>
        </w:rPr>
        <w:t>221</w:t>
      </w:r>
      <w:r>
        <w:rPr>
          <w:rFonts w:hint="eastAsia" w:ascii="楷体" w:hAnsi="楷体" w:eastAsia="楷体" w:cs="楷体"/>
          <w:sz w:val="22"/>
          <w:szCs w:val="20"/>
        </w:rPr>
        <w:fldChar w:fldCharType="end"/>
      </w:r>
      <w:r>
        <w:rPr>
          <w:rFonts w:hint="eastAsia" w:ascii="楷体" w:hAnsi="楷体" w:eastAsia="楷体" w:cs="楷体"/>
          <w:bCs/>
          <w:color w:val="auto"/>
          <w:sz w:val="22"/>
          <w:szCs w:val="20"/>
          <w:lang w:val="en-US" w:eastAsia="zh-CN"/>
        </w:rPr>
        <w:fldChar w:fldCharType="end"/>
      </w:r>
    </w:p>
    <w:p>
      <w:pPr>
        <w:pStyle w:val="16"/>
        <w:tabs>
          <w:tab w:val="right" w:leader="dot" w:pos="8306"/>
        </w:tabs>
        <w:ind w:left="0" w:leftChars="0" w:firstLine="883" w:firstLineChars="400"/>
        <w:rPr>
          <w:rFonts w:hint="eastAsia" w:ascii="楷体" w:hAnsi="楷体" w:eastAsia="楷体" w:cs="楷体"/>
          <w:b/>
          <w:bCs/>
          <w:color w:val="auto"/>
          <w:sz w:val="22"/>
          <w:szCs w:val="20"/>
          <w:lang w:val="en-US" w:eastAsia="zh-CN"/>
        </w:rPr>
      </w:pP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HYPERLINK \l _Toc915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附件2  海南及大三亚区域战略定位、产业定位梳理</w:t>
      </w:r>
      <w:r>
        <w:rPr>
          <w:rFonts w:hint="eastAsia" w:ascii="楷体" w:hAnsi="楷体" w:eastAsia="楷体" w:cs="楷体"/>
          <w:b/>
          <w:bCs/>
          <w:color w:val="auto"/>
          <w:sz w:val="22"/>
          <w:szCs w:val="20"/>
          <w:lang w:val="en-US" w:eastAsia="zh-CN"/>
        </w:rPr>
        <w:tab/>
      </w:r>
      <w:r>
        <w:rPr>
          <w:rFonts w:hint="eastAsia" w:ascii="楷体" w:hAnsi="楷体" w:eastAsia="楷体" w:cs="楷体"/>
          <w:b/>
          <w:bCs/>
          <w:color w:val="auto"/>
          <w:sz w:val="22"/>
          <w:szCs w:val="20"/>
          <w:lang w:val="en-US" w:eastAsia="zh-CN"/>
        </w:rPr>
        <w:fldChar w:fldCharType="begin"/>
      </w:r>
      <w:r>
        <w:rPr>
          <w:rFonts w:hint="eastAsia" w:ascii="楷体" w:hAnsi="楷体" w:eastAsia="楷体" w:cs="楷体"/>
          <w:b/>
          <w:bCs/>
          <w:color w:val="auto"/>
          <w:sz w:val="22"/>
          <w:szCs w:val="20"/>
          <w:lang w:val="en-US" w:eastAsia="zh-CN"/>
        </w:rPr>
        <w:instrText xml:space="preserve"> PAGEREF _Toc915 \h </w:instrText>
      </w:r>
      <w:r>
        <w:rPr>
          <w:rFonts w:hint="eastAsia" w:ascii="楷体" w:hAnsi="楷体" w:eastAsia="楷体" w:cs="楷体"/>
          <w:b/>
          <w:bCs/>
          <w:color w:val="auto"/>
          <w:sz w:val="22"/>
          <w:szCs w:val="20"/>
          <w:lang w:val="en-US" w:eastAsia="zh-CN"/>
        </w:rPr>
        <w:fldChar w:fldCharType="separate"/>
      </w:r>
      <w:r>
        <w:rPr>
          <w:rFonts w:hint="eastAsia" w:ascii="楷体" w:hAnsi="楷体" w:eastAsia="楷体" w:cs="楷体"/>
          <w:b/>
          <w:bCs/>
          <w:color w:val="auto"/>
          <w:sz w:val="22"/>
          <w:szCs w:val="20"/>
          <w:lang w:val="en-US" w:eastAsia="zh-CN"/>
        </w:rPr>
        <w:t>223</w:t>
      </w:r>
      <w:r>
        <w:rPr>
          <w:rFonts w:hint="eastAsia" w:ascii="楷体" w:hAnsi="楷体" w:eastAsia="楷体" w:cs="楷体"/>
          <w:b/>
          <w:bCs/>
          <w:color w:val="auto"/>
          <w:sz w:val="22"/>
          <w:szCs w:val="20"/>
          <w:lang w:val="en-US" w:eastAsia="zh-CN"/>
        </w:rPr>
        <w:fldChar w:fldCharType="end"/>
      </w:r>
      <w:r>
        <w:rPr>
          <w:rFonts w:hint="eastAsia" w:ascii="楷体" w:hAnsi="楷体" w:eastAsia="楷体" w:cs="楷体"/>
          <w:b/>
          <w:bCs/>
          <w:color w:val="auto"/>
          <w:sz w:val="22"/>
          <w:szCs w:val="20"/>
          <w:lang w:val="en-US" w:eastAsia="zh-CN"/>
        </w:rPr>
        <w:fldChar w:fldCharType="end"/>
      </w:r>
    </w:p>
    <w:p>
      <w:pPr>
        <w:pStyle w:val="16"/>
        <w:tabs>
          <w:tab w:val="right" w:leader="dot" w:pos="8306"/>
        </w:tabs>
        <w:ind w:left="1280" w:leftChars="400" w:firstLine="0" w:firstLineChars="0"/>
        <w:rPr>
          <w:rFonts w:hint="eastAsia" w:ascii="楷体" w:hAnsi="楷体" w:eastAsia="楷体" w:cs="楷体"/>
          <w:bCs/>
          <w:color w:val="auto"/>
          <w:sz w:val="20"/>
          <w:szCs w:val="20"/>
          <w:lang w:val="en-US" w:eastAsia="zh-CN"/>
        </w:rPr>
      </w:pPr>
      <w:r>
        <w:rPr>
          <w:rFonts w:hint="eastAsia" w:ascii="楷体" w:hAnsi="楷体" w:eastAsia="楷体" w:cs="楷体"/>
          <w:bCs/>
          <w:color w:val="auto"/>
          <w:sz w:val="22"/>
          <w:szCs w:val="20"/>
          <w:lang w:val="en-US" w:eastAsia="zh-CN"/>
        </w:rPr>
        <w:fldChar w:fldCharType="end"/>
      </w:r>
    </w:p>
    <w:p>
      <w:pPr>
        <w:pStyle w:val="16"/>
        <w:tabs>
          <w:tab w:val="right" w:leader="dot" w:pos="8306"/>
        </w:tabs>
        <w:ind w:left="0" w:leftChars="0" w:firstLine="480" w:firstLineChars="200"/>
        <w:rPr>
          <w:rFonts w:hint="eastAsia" w:ascii="楷体" w:hAnsi="楷体" w:eastAsia="楷体" w:cs="楷体"/>
          <w:bCs/>
          <w:color w:val="auto"/>
          <w:sz w:val="24"/>
          <w:szCs w:val="24"/>
          <w:lang w:val="en-US" w:eastAsia="zh-CN"/>
        </w:rPr>
        <w:sectPr>
          <w:headerReference r:id="rId5" w:type="default"/>
          <w:footerReference r:id="rId6" w:type="default"/>
          <w:pgSz w:w="11906" w:h="16838"/>
          <w:pgMar w:top="1440" w:right="1800" w:bottom="1440" w:left="1800" w:header="851" w:footer="992" w:gutter="0"/>
          <w:cols w:space="425" w:num="1"/>
          <w:docGrid w:type="lines" w:linePitch="312" w:charSpace="0"/>
        </w:sectPr>
      </w:pPr>
    </w:p>
    <w:p>
      <w:pPr>
        <w:ind w:left="0" w:leftChars="0" w:firstLine="0" w:firstLineChars="0"/>
        <w:jc w:val="center"/>
        <w:rPr>
          <w:rFonts w:hint="default" w:ascii="黑体" w:hAnsi="黑体" w:eastAsia="黑体" w:cs="黑体"/>
          <w:b/>
          <w:bCs/>
          <w:sz w:val="32"/>
          <w:szCs w:val="32"/>
          <w:lang w:val="en-US" w:eastAsia="zh-CN"/>
        </w:rPr>
      </w:pPr>
      <w:r>
        <w:rPr>
          <w:rFonts w:hint="eastAsia" w:ascii="黑体" w:hAnsi="黑体" w:eastAsia="黑体" w:cs="黑体"/>
          <w:b/>
          <w:bCs/>
          <w:sz w:val="32"/>
          <w:szCs w:val="32"/>
          <w:lang w:val="en-US" w:eastAsia="zh-CN"/>
        </w:rPr>
        <w:t>表 格 目 录</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1005" w:leftChars="0" w:hanging="1005" w:hangingChars="419"/>
        <w:textAlignment w:val="auto"/>
        <w:rPr>
          <w:rFonts w:hint="eastAsia" w:ascii="方正楷体_GBK" w:hAnsi="方正楷体_GBK" w:eastAsia="方正楷体_GBK" w:cs="方正楷体_GBK"/>
          <w:sz w:val="24"/>
          <w:szCs w:val="21"/>
          <w:lang w:val="en-US" w:eastAsia="zh-CN"/>
        </w:rPr>
      </w:pPr>
      <w:r>
        <w:rPr>
          <w:rFonts w:hint="eastAsia" w:ascii="方正楷体_GBK" w:hAnsi="方正楷体_GBK" w:eastAsia="方正楷体_GBK" w:cs="方正楷体_GBK"/>
          <w:sz w:val="24"/>
          <w:szCs w:val="21"/>
          <w:lang w:val="en-US" w:eastAsia="zh-CN"/>
        </w:rPr>
        <w:t>表 1  崖州区社区乡村的范型和数量</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1005" w:leftChars="0" w:hanging="1005" w:hangingChars="419"/>
        <w:textAlignment w:val="auto"/>
        <w:rPr>
          <w:rFonts w:hint="eastAsia" w:ascii="方正楷体_GBK" w:hAnsi="方正楷体_GBK" w:eastAsia="方正楷体_GBK" w:cs="方正楷体_GBK"/>
          <w:sz w:val="24"/>
          <w:szCs w:val="21"/>
          <w:lang w:val="en-US" w:eastAsia="zh-CN"/>
        </w:rPr>
      </w:pPr>
      <w:r>
        <w:rPr>
          <w:rFonts w:hint="eastAsia" w:ascii="方正楷体_GBK" w:hAnsi="方正楷体_GBK" w:eastAsia="方正楷体_GBK" w:cs="方正楷体_GBK"/>
          <w:sz w:val="24"/>
          <w:szCs w:val="21"/>
          <w:lang w:val="en-US" w:eastAsia="zh-CN"/>
        </w:rPr>
        <w:t>表 2  崖州区与全省15个县（市）比较（2019年）</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1005" w:leftChars="0" w:hanging="1005" w:hangingChars="419"/>
        <w:textAlignment w:val="auto"/>
        <w:rPr>
          <w:rFonts w:hint="eastAsia" w:ascii="方正楷体_GBK" w:hAnsi="方正楷体_GBK" w:eastAsia="方正楷体_GBK" w:cs="方正楷体_GBK"/>
          <w:sz w:val="24"/>
          <w:szCs w:val="21"/>
          <w:lang w:val="en-US" w:eastAsia="zh-CN"/>
        </w:rPr>
      </w:pPr>
      <w:r>
        <w:rPr>
          <w:rFonts w:hint="eastAsia" w:ascii="方正楷体_GBK" w:hAnsi="方正楷体_GBK" w:eastAsia="方正楷体_GBK" w:cs="方正楷体_GBK"/>
          <w:sz w:val="24"/>
          <w:szCs w:val="21"/>
          <w:lang w:val="en-US" w:eastAsia="zh-CN"/>
        </w:rPr>
        <w:t>表 3  崖州区GDP增速和占全市比重（亿元）</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1005" w:leftChars="0" w:hanging="1005" w:hangingChars="419"/>
        <w:textAlignment w:val="auto"/>
        <w:rPr>
          <w:rFonts w:hint="eastAsia" w:ascii="方正楷体_GBK" w:hAnsi="方正楷体_GBK" w:eastAsia="方正楷体_GBK" w:cs="方正楷体_GBK"/>
          <w:sz w:val="24"/>
          <w:szCs w:val="21"/>
          <w:lang w:val="en-US" w:eastAsia="zh-CN"/>
        </w:rPr>
      </w:pPr>
      <w:r>
        <w:rPr>
          <w:rFonts w:hint="eastAsia" w:ascii="方正楷体_GBK" w:hAnsi="方正楷体_GBK" w:eastAsia="方正楷体_GBK" w:cs="方正楷体_GBK"/>
          <w:sz w:val="24"/>
          <w:szCs w:val="21"/>
          <w:lang w:val="en-US" w:eastAsia="zh-CN"/>
        </w:rPr>
        <w:t>表 4  崖州区三次产业GDP变化（亿元）</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1005" w:leftChars="0" w:hanging="1005" w:hangingChars="419"/>
        <w:textAlignment w:val="auto"/>
        <w:rPr>
          <w:rFonts w:hint="eastAsia" w:ascii="方正楷体_GBK" w:hAnsi="方正楷体_GBK" w:eastAsia="方正楷体_GBK" w:cs="方正楷体_GBK"/>
          <w:sz w:val="24"/>
          <w:szCs w:val="21"/>
          <w:lang w:val="en-US" w:eastAsia="zh-CN"/>
        </w:rPr>
      </w:pPr>
      <w:r>
        <w:rPr>
          <w:rFonts w:hint="eastAsia" w:ascii="方正楷体_GBK" w:hAnsi="方正楷体_GBK" w:eastAsia="方正楷体_GBK" w:cs="方正楷体_GBK"/>
          <w:sz w:val="24"/>
          <w:szCs w:val="21"/>
          <w:lang w:val="en-US" w:eastAsia="zh-CN"/>
        </w:rPr>
        <w:t>表 5  崖州区GDP结构细分表（2019年）（亿元，%）</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1005" w:leftChars="0" w:hanging="1005" w:hangingChars="419"/>
        <w:textAlignment w:val="auto"/>
        <w:rPr>
          <w:rFonts w:hint="eastAsia" w:ascii="方正楷体_GBK" w:hAnsi="方正楷体_GBK" w:eastAsia="方正楷体_GBK" w:cs="方正楷体_GBK"/>
          <w:sz w:val="24"/>
          <w:szCs w:val="21"/>
          <w:lang w:val="en-US" w:eastAsia="zh-CN"/>
        </w:rPr>
      </w:pPr>
      <w:r>
        <w:rPr>
          <w:rFonts w:hint="eastAsia" w:ascii="方正楷体_GBK" w:hAnsi="方正楷体_GBK" w:eastAsia="方正楷体_GBK" w:cs="方正楷体_GBK"/>
          <w:sz w:val="24"/>
          <w:szCs w:val="21"/>
          <w:lang w:val="en-US" w:eastAsia="zh-CN"/>
        </w:rPr>
        <w:t>表 6  崖州区产业定位和产业体系</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1005" w:leftChars="0" w:hanging="1005" w:hangingChars="419"/>
        <w:textAlignment w:val="auto"/>
        <w:rPr>
          <w:rFonts w:hint="eastAsia" w:ascii="方正楷体_GBK" w:hAnsi="方正楷体_GBK" w:eastAsia="方正楷体_GBK" w:cs="方正楷体_GBK"/>
          <w:sz w:val="24"/>
          <w:szCs w:val="21"/>
          <w:lang w:val="en-US" w:eastAsia="zh-CN"/>
        </w:rPr>
      </w:pPr>
      <w:r>
        <w:rPr>
          <w:rFonts w:hint="eastAsia" w:ascii="方正楷体_GBK" w:hAnsi="方正楷体_GBK" w:eastAsia="方正楷体_GBK" w:cs="方正楷体_GBK"/>
          <w:sz w:val="24"/>
          <w:szCs w:val="21"/>
          <w:lang w:val="en-US" w:eastAsia="zh-CN"/>
        </w:rPr>
        <w:t>表 7  崖州区三大产业产值2025年和2035年测算表</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1005" w:leftChars="0" w:hanging="1005" w:hangingChars="419"/>
        <w:textAlignment w:val="auto"/>
        <w:rPr>
          <w:rFonts w:hint="eastAsia" w:ascii="方正楷体_GBK" w:hAnsi="方正楷体_GBK" w:eastAsia="方正楷体_GBK" w:cs="方正楷体_GBK"/>
          <w:sz w:val="24"/>
          <w:szCs w:val="21"/>
          <w:lang w:val="en-US" w:eastAsia="zh-CN"/>
        </w:rPr>
      </w:pPr>
      <w:r>
        <w:rPr>
          <w:rFonts w:hint="eastAsia" w:ascii="方正楷体_GBK" w:hAnsi="方正楷体_GBK" w:eastAsia="方正楷体_GBK" w:cs="方正楷体_GBK"/>
          <w:sz w:val="24"/>
          <w:szCs w:val="21"/>
          <w:lang w:val="en-US" w:eastAsia="zh-CN"/>
        </w:rPr>
        <w:t>表 8  六个组团产业发展条件评价和发展指引</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1005" w:leftChars="0" w:hanging="1005" w:hangingChars="419"/>
        <w:textAlignment w:val="auto"/>
        <w:rPr>
          <w:rFonts w:hint="eastAsia" w:ascii="方正楷体_GBK" w:hAnsi="方正楷体_GBK" w:eastAsia="方正楷体_GBK" w:cs="方正楷体_GBK"/>
          <w:sz w:val="24"/>
          <w:szCs w:val="21"/>
          <w:lang w:val="en-US" w:eastAsia="zh-CN"/>
        </w:rPr>
      </w:pPr>
      <w:r>
        <w:rPr>
          <w:rFonts w:hint="eastAsia" w:ascii="方正楷体_GBK" w:hAnsi="方正楷体_GBK" w:eastAsia="方正楷体_GBK" w:cs="方正楷体_GBK"/>
          <w:sz w:val="24"/>
          <w:szCs w:val="21"/>
          <w:lang w:val="en-US" w:eastAsia="zh-CN"/>
        </w:rPr>
        <w:t>表 9  崖州区延伸崖州湾科技城的创新链、产业链</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1005" w:leftChars="0" w:hanging="1005" w:hangingChars="419"/>
        <w:textAlignment w:val="auto"/>
        <w:rPr>
          <w:rFonts w:hint="eastAsia" w:ascii="方正楷体_GBK" w:hAnsi="方正楷体_GBK" w:eastAsia="方正楷体_GBK" w:cs="方正楷体_GBK"/>
          <w:sz w:val="24"/>
          <w:szCs w:val="21"/>
          <w:lang w:val="en-US" w:eastAsia="zh-CN"/>
        </w:rPr>
      </w:pPr>
      <w:r>
        <w:rPr>
          <w:rFonts w:hint="eastAsia" w:ascii="方正楷体_GBK" w:hAnsi="方正楷体_GBK" w:eastAsia="方正楷体_GBK" w:cs="方正楷体_GBK"/>
          <w:sz w:val="24"/>
          <w:szCs w:val="21"/>
          <w:lang w:val="en-US" w:eastAsia="zh-CN"/>
        </w:rPr>
        <w:t>表10  崖州区冬季瓜菜、水果种植情况（亩、万吨）</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1005" w:leftChars="0" w:hanging="1005" w:hangingChars="419"/>
        <w:textAlignment w:val="auto"/>
        <w:rPr>
          <w:rFonts w:hint="eastAsia" w:ascii="方正楷体_GBK" w:hAnsi="方正楷体_GBK" w:eastAsia="方正楷体_GBK" w:cs="方正楷体_GBK"/>
          <w:sz w:val="24"/>
          <w:szCs w:val="21"/>
          <w:lang w:val="en-US" w:eastAsia="zh-CN"/>
        </w:rPr>
      </w:pPr>
      <w:r>
        <w:rPr>
          <w:rFonts w:hint="eastAsia" w:ascii="方正楷体_GBK" w:hAnsi="方正楷体_GBK" w:eastAsia="方正楷体_GBK" w:cs="方正楷体_GBK"/>
          <w:sz w:val="24"/>
          <w:szCs w:val="21"/>
          <w:lang w:val="en-US" w:eastAsia="zh-CN"/>
        </w:rPr>
        <w:t>表11  海南省国家农产品地理标志产品</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1005" w:leftChars="0" w:hanging="1005" w:hangingChars="419"/>
        <w:textAlignment w:val="auto"/>
        <w:rPr>
          <w:rFonts w:hint="eastAsia" w:ascii="方正楷体_GBK" w:hAnsi="方正楷体_GBK" w:eastAsia="方正楷体_GBK" w:cs="方正楷体_GBK"/>
          <w:sz w:val="24"/>
          <w:szCs w:val="21"/>
          <w:lang w:val="en-US" w:eastAsia="zh-CN"/>
        </w:rPr>
      </w:pPr>
      <w:r>
        <w:rPr>
          <w:rFonts w:hint="eastAsia" w:ascii="方正楷体_GBK" w:hAnsi="方正楷体_GBK" w:eastAsia="方正楷体_GBK" w:cs="方正楷体_GBK"/>
          <w:sz w:val="24"/>
          <w:szCs w:val="21"/>
          <w:lang w:val="en-US" w:eastAsia="zh-CN"/>
        </w:rPr>
        <w:t>表12  崖州区海水养殖发展指标</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1005" w:leftChars="0" w:hanging="1005" w:hangingChars="419"/>
        <w:textAlignment w:val="auto"/>
        <w:rPr>
          <w:rFonts w:hint="eastAsia" w:ascii="方正楷体_GBK" w:hAnsi="方正楷体_GBK" w:eastAsia="方正楷体_GBK" w:cs="方正楷体_GBK"/>
          <w:sz w:val="24"/>
          <w:szCs w:val="21"/>
          <w:lang w:val="en-US" w:eastAsia="zh-CN"/>
        </w:rPr>
      </w:pPr>
      <w:r>
        <w:rPr>
          <w:rFonts w:hint="eastAsia" w:ascii="方正楷体_GBK" w:hAnsi="方正楷体_GBK" w:eastAsia="方正楷体_GBK" w:cs="方正楷体_GBK"/>
          <w:sz w:val="24"/>
          <w:szCs w:val="21"/>
          <w:lang w:val="en-US" w:eastAsia="zh-CN"/>
        </w:rPr>
        <w:t>表13  崖州区淡水养殖捕捞发展指标</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1005" w:leftChars="0" w:hanging="1005" w:hangingChars="419"/>
        <w:textAlignment w:val="auto"/>
        <w:rPr>
          <w:rFonts w:hint="eastAsia" w:ascii="方正楷体_GBK" w:hAnsi="方正楷体_GBK" w:eastAsia="方正楷体_GBK" w:cs="方正楷体_GBK"/>
          <w:sz w:val="24"/>
          <w:szCs w:val="21"/>
          <w:lang w:val="en-US" w:eastAsia="zh-CN"/>
        </w:rPr>
      </w:pPr>
      <w:r>
        <w:rPr>
          <w:rFonts w:hint="eastAsia" w:ascii="方正楷体_GBK" w:hAnsi="方正楷体_GBK" w:eastAsia="方正楷体_GBK" w:cs="方正楷体_GBK"/>
          <w:sz w:val="24"/>
          <w:szCs w:val="21"/>
          <w:lang w:val="en-US" w:eastAsia="zh-CN"/>
        </w:rPr>
        <w:t>表14  崖州区海洋捕捞发展指标</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1005" w:leftChars="0" w:hanging="1005" w:hangingChars="419"/>
        <w:textAlignment w:val="auto"/>
        <w:rPr>
          <w:rFonts w:hint="eastAsia" w:ascii="方正楷体_GBK" w:hAnsi="方正楷体_GBK" w:eastAsia="方正楷体_GBK" w:cs="方正楷体_GBK"/>
          <w:sz w:val="24"/>
          <w:szCs w:val="21"/>
          <w:lang w:val="en-US" w:eastAsia="zh-CN"/>
        </w:rPr>
      </w:pPr>
      <w:r>
        <w:rPr>
          <w:rFonts w:hint="eastAsia" w:ascii="方正楷体_GBK" w:hAnsi="方正楷体_GBK" w:eastAsia="方正楷体_GBK" w:cs="方正楷体_GBK"/>
          <w:sz w:val="24"/>
          <w:szCs w:val="21"/>
          <w:lang w:val="en-US" w:eastAsia="zh-CN"/>
        </w:rPr>
        <w:t>表15  第一产业发展方向和细分领域</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1005" w:leftChars="0" w:hanging="1005" w:hangingChars="419"/>
        <w:textAlignment w:val="auto"/>
        <w:rPr>
          <w:rFonts w:hint="eastAsia" w:ascii="方正楷体_GBK" w:hAnsi="方正楷体_GBK" w:eastAsia="方正楷体_GBK" w:cs="方正楷体_GBK"/>
          <w:sz w:val="24"/>
          <w:szCs w:val="21"/>
          <w:lang w:val="en-US" w:eastAsia="zh-CN"/>
        </w:rPr>
      </w:pPr>
      <w:r>
        <w:rPr>
          <w:rFonts w:hint="eastAsia" w:ascii="方正楷体_GBK" w:hAnsi="方正楷体_GBK" w:eastAsia="方正楷体_GBK" w:cs="方正楷体_GBK"/>
          <w:sz w:val="24"/>
          <w:szCs w:val="21"/>
          <w:lang w:val="en-US" w:eastAsia="zh-CN"/>
        </w:rPr>
        <w:t>表16  第一产业产值预测表</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1005" w:leftChars="0" w:hanging="1005" w:hangingChars="419"/>
        <w:textAlignment w:val="auto"/>
        <w:rPr>
          <w:rFonts w:hint="eastAsia" w:ascii="方正楷体_GBK" w:hAnsi="方正楷体_GBK" w:eastAsia="方正楷体_GBK" w:cs="方正楷体_GBK"/>
          <w:sz w:val="24"/>
          <w:szCs w:val="21"/>
          <w:lang w:val="en-US" w:eastAsia="zh-CN"/>
        </w:rPr>
      </w:pPr>
      <w:r>
        <w:rPr>
          <w:rFonts w:hint="eastAsia" w:ascii="方正楷体_GBK" w:hAnsi="方正楷体_GBK" w:eastAsia="方正楷体_GBK" w:cs="方正楷体_GBK"/>
          <w:sz w:val="24"/>
          <w:szCs w:val="21"/>
          <w:lang w:val="en-US" w:eastAsia="zh-CN"/>
        </w:rPr>
        <w:t>表17  热带农业重点项目策划</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1005" w:leftChars="0" w:hanging="1005" w:hangingChars="419"/>
        <w:textAlignment w:val="auto"/>
        <w:rPr>
          <w:rFonts w:hint="eastAsia" w:ascii="方正楷体_GBK" w:hAnsi="方正楷体_GBK" w:eastAsia="方正楷体_GBK" w:cs="方正楷体_GBK"/>
          <w:sz w:val="24"/>
          <w:szCs w:val="21"/>
          <w:lang w:val="en-US" w:eastAsia="zh-CN"/>
        </w:rPr>
      </w:pPr>
      <w:r>
        <w:rPr>
          <w:rFonts w:hint="eastAsia" w:ascii="方正楷体_GBK" w:hAnsi="方正楷体_GBK" w:eastAsia="方正楷体_GBK" w:cs="方正楷体_GBK"/>
          <w:sz w:val="24"/>
          <w:szCs w:val="21"/>
          <w:lang w:val="en-US" w:eastAsia="zh-CN"/>
        </w:rPr>
        <w:t>表18  现代渔业重点项目策划</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1005" w:leftChars="0" w:hanging="1005" w:hangingChars="419"/>
        <w:textAlignment w:val="auto"/>
        <w:rPr>
          <w:rFonts w:hint="eastAsia" w:ascii="方正楷体_GBK" w:hAnsi="方正楷体_GBK" w:eastAsia="方正楷体_GBK" w:cs="方正楷体_GBK"/>
          <w:sz w:val="24"/>
          <w:szCs w:val="21"/>
          <w:lang w:val="en-US" w:eastAsia="zh-CN"/>
        </w:rPr>
      </w:pPr>
      <w:r>
        <w:rPr>
          <w:rFonts w:hint="eastAsia" w:ascii="方正楷体_GBK" w:hAnsi="方正楷体_GBK" w:eastAsia="方正楷体_GBK" w:cs="方正楷体_GBK"/>
          <w:sz w:val="24"/>
          <w:szCs w:val="21"/>
          <w:lang w:val="en-US" w:eastAsia="zh-CN"/>
        </w:rPr>
        <w:t>表19  热带农业招商建议</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1005" w:leftChars="0" w:hanging="1005" w:hangingChars="419"/>
        <w:textAlignment w:val="auto"/>
        <w:rPr>
          <w:rFonts w:hint="eastAsia" w:ascii="方正楷体_GBK" w:hAnsi="方正楷体_GBK" w:eastAsia="方正楷体_GBK" w:cs="方正楷体_GBK"/>
          <w:sz w:val="24"/>
          <w:szCs w:val="21"/>
          <w:lang w:val="en-US" w:eastAsia="zh-CN"/>
        </w:rPr>
      </w:pPr>
      <w:r>
        <w:rPr>
          <w:rFonts w:hint="eastAsia" w:ascii="方正楷体_GBK" w:hAnsi="方正楷体_GBK" w:eastAsia="方正楷体_GBK" w:cs="方正楷体_GBK"/>
          <w:sz w:val="24"/>
          <w:szCs w:val="21"/>
          <w:lang w:val="en-US" w:eastAsia="zh-CN"/>
        </w:rPr>
        <w:t>表20  现代渔业招商建议</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1005" w:leftChars="0" w:hanging="1005" w:hangingChars="419"/>
        <w:textAlignment w:val="auto"/>
        <w:rPr>
          <w:rFonts w:hint="eastAsia" w:ascii="方正楷体_GBK" w:hAnsi="方正楷体_GBK" w:eastAsia="方正楷体_GBK" w:cs="方正楷体_GBK"/>
          <w:sz w:val="24"/>
          <w:szCs w:val="21"/>
          <w:lang w:val="en-US" w:eastAsia="zh-CN"/>
        </w:rPr>
      </w:pPr>
      <w:r>
        <w:rPr>
          <w:rFonts w:hint="eastAsia" w:ascii="方正楷体_GBK" w:hAnsi="方正楷体_GBK" w:eastAsia="方正楷体_GBK" w:cs="方正楷体_GBK"/>
          <w:sz w:val="24"/>
          <w:szCs w:val="21"/>
          <w:lang w:val="en-US" w:eastAsia="zh-CN"/>
        </w:rPr>
        <w:t>表21  第二产业发展方向和细分领域</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1005" w:leftChars="0" w:hanging="1005" w:hangingChars="419"/>
        <w:textAlignment w:val="auto"/>
        <w:rPr>
          <w:rFonts w:hint="eastAsia" w:ascii="方正楷体_GBK" w:hAnsi="方正楷体_GBK" w:eastAsia="方正楷体_GBK" w:cs="方正楷体_GBK"/>
          <w:sz w:val="24"/>
          <w:szCs w:val="21"/>
          <w:lang w:val="en-US" w:eastAsia="zh-CN"/>
        </w:rPr>
      </w:pPr>
      <w:r>
        <w:rPr>
          <w:rFonts w:hint="eastAsia" w:ascii="方正楷体_GBK" w:hAnsi="方正楷体_GBK" w:eastAsia="方正楷体_GBK" w:cs="方正楷体_GBK"/>
          <w:sz w:val="24"/>
          <w:szCs w:val="21"/>
          <w:lang w:val="en-US" w:eastAsia="zh-CN"/>
        </w:rPr>
        <w:t>表22  第二产业产值测算表</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1005" w:leftChars="0" w:hanging="1005" w:hangingChars="419"/>
        <w:textAlignment w:val="auto"/>
        <w:rPr>
          <w:rFonts w:hint="eastAsia" w:ascii="方正楷体_GBK" w:hAnsi="方正楷体_GBK" w:eastAsia="方正楷体_GBK" w:cs="方正楷体_GBK"/>
          <w:sz w:val="24"/>
          <w:szCs w:val="21"/>
          <w:lang w:val="en-US" w:eastAsia="zh-CN"/>
        </w:rPr>
      </w:pPr>
      <w:r>
        <w:rPr>
          <w:rFonts w:hint="eastAsia" w:ascii="方正楷体_GBK" w:hAnsi="方正楷体_GBK" w:eastAsia="方正楷体_GBK" w:cs="方正楷体_GBK"/>
          <w:sz w:val="24"/>
          <w:szCs w:val="21"/>
          <w:lang w:val="en-US" w:eastAsia="zh-CN"/>
        </w:rPr>
        <w:t>表23  第二产业重点项目策划</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1005" w:leftChars="0" w:hanging="1005" w:hangingChars="419"/>
        <w:textAlignment w:val="auto"/>
        <w:rPr>
          <w:rFonts w:hint="eastAsia" w:ascii="方正楷体_GBK" w:hAnsi="方正楷体_GBK" w:eastAsia="方正楷体_GBK" w:cs="方正楷体_GBK"/>
          <w:sz w:val="24"/>
          <w:szCs w:val="21"/>
          <w:lang w:val="en-US" w:eastAsia="zh-CN"/>
        </w:rPr>
      </w:pPr>
      <w:r>
        <w:rPr>
          <w:rFonts w:hint="eastAsia" w:ascii="方正楷体_GBK" w:hAnsi="方正楷体_GBK" w:eastAsia="方正楷体_GBK" w:cs="方正楷体_GBK"/>
          <w:sz w:val="24"/>
          <w:szCs w:val="21"/>
          <w:lang w:val="en-US" w:eastAsia="zh-CN"/>
        </w:rPr>
        <w:t>表24  第二产业招商建议</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1005" w:leftChars="0" w:hanging="1005" w:hangingChars="419"/>
        <w:textAlignment w:val="auto"/>
        <w:rPr>
          <w:rFonts w:hint="eastAsia" w:ascii="方正楷体_GBK" w:hAnsi="方正楷体_GBK" w:eastAsia="方正楷体_GBK" w:cs="方正楷体_GBK"/>
          <w:sz w:val="24"/>
          <w:szCs w:val="21"/>
          <w:lang w:val="en-US" w:eastAsia="zh-CN"/>
        </w:rPr>
      </w:pPr>
      <w:r>
        <w:rPr>
          <w:rFonts w:hint="eastAsia" w:ascii="方正楷体_GBK" w:hAnsi="方正楷体_GBK" w:eastAsia="方正楷体_GBK" w:cs="方正楷体_GBK"/>
          <w:sz w:val="24"/>
          <w:szCs w:val="21"/>
          <w:lang w:val="en-US" w:eastAsia="zh-CN"/>
        </w:rPr>
        <w:t>表25  大三亚一体化区域各市县区三次产业结构（%）（2019年）</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1005" w:leftChars="0" w:hanging="1005" w:hangingChars="419"/>
        <w:textAlignment w:val="auto"/>
        <w:rPr>
          <w:rFonts w:hint="eastAsia" w:ascii="方正楷体_GBK" w:hAnsi="方正楷体_GBK" w:eastAsia="方正楷体_GBK" w:cs="方正楷体_GBK"/>
          <w:sz w:val="24"/>
          <w:szCs w:val="21"/>
          <w:lang w:val="en-US" w:eastAsia="zh-CN"/>
        </w:rPr>
      </w:pPr>
      <w:r>
        <w:rPr>
          <w:rFonts w:hint="eastAsia" w:ascii="方正楷体_GBK" w:hAnsi="方正楷体_GBK" w:eastAsia="方正楷体_GBK" w:cs="方正楷体_GBK"/>
          <w:sz w:val="24"/>
          <w:szCs w:val="21"/>
          <w:lang w:val="en-US" w:eastAsia="zh-CN"/>
        </w:rPr>
        <w:t>表26  冬季瓜菜和芒果销售量</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1005" w:leftChars="0" w:hanging="1005" w:hangingChars="419"/>
        <w:textAlignment w:val="auto"/>
        <w:rPr>
          <w:rFonts w:hint="eastAsia" w:ascii="方正楷体_GBK" w:hAnsi="方正楷体_GBK" w:eastAsia="方正楷体_GBK" w:cs="方正楷体_GBK"/>
          <w:sz w:val="24"/>
          <w:szCs w:val="21"/>
          <w:lang w:val="en-US" w:eastAsia="zh-CN"/>
        </w:rPr>
      </w:pPr>
      <w:r>
        <w:rPr>
          <w:rFonts w:hint="eastAsia" w:ascii="方正楷体_GBK" w:hAnsi="方正楷体_GBK" w:eastAsia="方正楷体_GBK" w:cs="方正楷体_GBK"/>
          <w:sz w:val="24"/>
          <w:szCs w:val="21"/>
          <w:lang w:val="en-US" w:eastAsia="zh-CN"/>
        </w:rPr>
        <w:t>表27  重现“崖州八景”的历史传承与重塑升华</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1005" w:leftChars="0" w:hanging="1005" w:hangingChars="419"/>
        <w:textAlignment w:val="auto"/>
        <w:rPr>
          <w:rFonts w:hint="eastAsia" w:ascii="方正楷体_GBK" w:hAnsi="方正楷体_GBK" w:eastAsia="方正楷体_GBK" w:cs="方正楷体_GBK"/>
          <w:sz w:val="24"/>
          <w:szCs w:val="21"/>
          <w:lang w:val="en-US" w:eastAsia="zh-CN"/>
        </w:rPr>
      </w:pPr>
      <w:r>
        <w:rPr>
          <w:rFonts w:hint="eastAsia" w:ascii="方正楷体_GBK" w:hAnsi="方正楷体_GBK" w:eastAsia="方正楷体_GBK" w:cs="方正楷体_GBK"/>
          <w:sz w:val="24"/>
          <w:szCs w:val="21"/>
          <w:lang w:val="en-US" w:eastAsia="zh-CN"/>
        </w:rPr>
        <w:t>表28  崖州主题乐园（公园）集聚地项目引入类型</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1005" w:leftChars="0" w:hanging="1005" w:hangingChars="419"/>
        <w:textAlignment w:val="auto"/>
        <w:rPr>
          <w:rFonts w:hint="eastAsia" w:ascii="方正楷体_GBK" w:hAnsi="方正楷体_GBK" w:eastAsia="方正楷体_GBK" w:cs="方正楷体_GBK"/>
          <w:sz w:val="24"/>
          <w:szCs w:val="21"/>
          <w:lang w:val="en-US" w:eastAsia="zh-CN"/>
        </w:rPr>
      </w:pPr>
      <w:r>
        <w:rPr>
          <w:rFonts w:hint="eastAsia" w:ascii="方正楷体_GBK" w:hAnsi="方正楷体_GBK" w:eastAsia="方正楷体_GBK" w:cs="方正楷体_GBK"/>
          <w:sz w:val="24"/>
          <w:szCs w:val="21"/>
          <w:lang w:val="en-US" w:eastAsia="zh-CN"/>
        </w:rPr>
        <w:t>表29  第三产业发展方向和细分领域</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1005" w:leftChars="0" w:hanging="1005" w:hangingChars="419"/>
        <w:textAlignment w:val="auto"/>
        <w:rPr>
          <w:rFonts w:hint="eastAsia" w:ascii="方正楷体_GBK" w:hAnsi="方正楷体_GBK" w:eastAsia="方正楷体_GBK" w:cs="方正楷体_GBK"/>
          <w:sz w:val="24"/>
          <w:szCs w:val="21"/>
          <w:lang w:val="en-US" w:eastAsia="zh-CN"/>
        </w:rPr>
      </w:pPr>
      <w:r>
        <w:rPr>
          <w:rFonts w:hint="eastAsia" w:ascii="方正楷体_GBK" w:hAnsi="方正楷体_GBK" w:eastAsia="方正楷体_GBK" w:cs="方正楷体_GBK"/>
          <w:sz w:val="24"/>
          <w:szCs w:val="21"/>
          <w:lang w:val="en-US" w:eastAsia="zh-CN"/>
        </w:rPr>
        <w:t>表30  第三产业产值测算表</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1005" w:leftChars="0" w:hanging="1005" w:hangingChars="419"/>
        <w:textAlignment w:val="auto"/>
        <w:rPr>
          <w:rFonts w:hint="eastAsia" w:ascii="方正楷体_GBK" w:hAnsi="方正楷体_GBK" w:eastAsia="方正楷体_GBK" w:cs="方正楷体_GBK"/>
          <w:sz w:val="24"/>
          <w:szCs w:val="21"/>
          <w:lang w:val="en-US" w:eastAsia="zh-CN"/>
        </w:rPr>
      </w:pPr>
      <w:r>
        <w:rPr>
          <w:rFonts w:hint="eastAsia" w:ascii="方正楷体_GBK" w:hAnsi="方正楷体_GBK" w:eastAsia="方正楷体_GBK" w:cs="方正楷体_GBK"/>
          <w:sz w:val="24"/>
          <w:szCs w:val="21"/>
          <w:lang w:val="en-US" w:eastAsia="zh-CN"/>
        </w:rPr>
        <w:t>表31  旅游业重点项目策划</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1005" w:leftChars="0" w:hanging="1005" w:hangingChars="419"/>
        <w:textAlignment w:val="auto"/>
        <w:rPr>
          <w:rFonts w:hint="eastAsia" w:ascii="方正楷体_GBK" w:hAnsi="方正楷体_GBK" w:eastAsia="方正楷体_GBK" w:cs="方正楷体_GBK"/>
          <w:sz w:val="24"/>
          <w:szCs w:val="21"/>
          <w:lang w:val="en-US" w:eastAsia="zh-CN"/>
        </w:rPr>
      </w:pPr>
      <w:r>
        <w:rPr>
          <w:rFonts w:hint="eastAsia" w:ascii="方正楷体_GBK" w:hAnsi="方正楷体_GBK" w:eastAsia="方正楷体_GBK" w:cs="方正楷体_GBK"/>
          <w:sz w:val="24"/>
          <w:szCs w:val="21"/>
          <w:lang w:val="en-US" w:eastAsia="zh-CN"/>
        </w:rPr>
        <w:t>表32  商贸物流业重点项目策划</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1005" w:leftChars="0" w:hanging="1005" w:hangingChars="419"/>
        <w:textAlignment w:val="auto"/>
        <w:rPr>
          <w:rFonts w:hint="eastAsia" w:ascii="方正楷体_GBK" w:hAnsi="方正楷体_GBK" w:eastAsia="方正楷体_GBK" w:cs="方正楷体_GBK"/>
          <w:sz w:val="24"/>
          <w:szCs w:val="21"/>
          <w:lang w:val="en-US" w:eastAsia="zh-CN"/>
        </w:rPr>
      </w:pPr>
      <w:r>
        <w:rPr>
          <w:rFonts w:hint="eastAsia" w:ascii="方正楷体_GBK" w:hAnsi="方正楷体_GBK" w:eastAsia="方正楷体_GBK" w:cs="方正楷体_GBK"/>
          <w:sz w:val="24"/>
          <w:szCs w:val="21"/>
          <w:lang w:val="en-US" w:eastAsia="zh-CN"/>
        </w:rPr>
        <w:t>表33  旅游业招商建议</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1005" w:leftChars="0" w:hanging="1005" w:hangingChars="419"/>
        <w:textAlignment w:val="auto"/>
        <w:rPr>
          <w:rFonts w:hint="eastAsia" w:ascii="方正楷体_GBK" w:hAnsi="方正楷体_GBK" w:eastAsia="方正楷体_GBK" w:cs="方正楷体_GBK"/>
          <w:sz w:val="24"/>
          <w:szCs w:val="21"/>
          <w:lang w:val="en-US" w:eastAsia="zh-CN"/>
        </w:rPr>
      </w:pPr>
      <w:r>
        <w:rPr>
          <w:rFonts w:hint="eastAsia" w:ascii="方正楷体_GBK" w:hAnsi="方正楷体_GBK" w:eastAsia="方正楷体_GBK" w:cs="方正楷体_GBK"/>
          <w:sz w:val="24"/>
          <w:szCs w:val="21"/>
          <w:lang w:val="en-US" w:eastAsia="zh-CN"/>
        </w:rPr>
        <w:t>表34  商贸物流业招商建议</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1005" w:leftChars="0" w:hanging="1005" w:hangingChars="419"/>
        <w:textAlignment w:val="auto"/>
        <w:rPr>
          <w:rFonts w:hint="eastAsia" w:ascii="方正楷体_GBK" w:hAnsi="方正楷体_GBK" w:eastAsia="方正楷体_GBK" w:cs="方正楷体_GBK"/>
          <w:sz w:val="24"/>
          <w:szCs w:val="21"/>
          <w:lang w:val="en-US" w:eastAsia="zh-CN"/>
        </w:rPr>
      </w:pPr>
      <w:r>
        <w:rPr>
          <w:rFonts w:hint="eastAsia" w:ascii="方正楷体_GBK" w:hAnsi="方正楷体_GBK" w:eastAsia="方正楷体_GBK" w:cs="方正楷体_GBK"/>
          <w:sz w:val="24"/>
          <w:szCs w:val="21"/>
          <w:lang w:val="en-US" w:eastAsia="zh-CN"/>
        </w:rPr>
        <w:t>表35  崖州八景选址建议和投资方</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1005" w:leftChars="0" w:hanging="1005" w:hangingChars="419"/>
        <w:textAlignment w:val="auto"/>
        <w:rPr>
          <w:rFonts w:hint="eastAsia" w:ascii="方正楷体_GBK" w:hAnsi="方正楷体_GBK" w:eastAsia="方正楷体_GBK" w:cs="方正楷体_GBK"/>
          <w:sz w:val="24"/>
          <w:szCs w:val="21"/>
          <w:lang w:val="en-US" w:eastAsia="zh-CN"/>
        </w:rPr>
      </w:pPr>
      <w:r>
        <w:rPr>
          <w:rFonts w:hint="eastAsia" w:ascii="方正楷体_GBK" w:hAnsi="方正楷体_GBK" w:eastAsia="方正楷体_GBK" w:cs="方正楷体_GBK"/>
          <w:sz w:val="24"/>
          <w:szCs w:val="21"/>
          <w:lang w:val="en-US" w:eastAsia="zh-CN"/>
        </w:rPr>
        <w:t>表36  崖州区“一村一品”特色小镇产业谋划方向</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1005" w:leftChars="0" w:hanging="1005" w:hangingChars="419"/>
        <w:textAlignment w:val="auto"/>
        <w:rPr>
          <w:rFonts w:hint="eastAsia" w:ascii="方正楷体_GBK" w:hAnsi="方正楷体_GBK" w:eastAsia="方正楷体_GBK" w:cs="方正楷体_GBK"/>
          <w:sz w:val="24"/>
          <w:szCs w:val="21"/>
          <w:lang w:val="en-US" w:eastAsia="zh-CN"/>
        </w:rPr>
      </w:pPr>
      <w:r>
        <w:rPr>
          <w:rFonts w:hint="eastAsia" w:ascii="方正楷体_GBK" w:hAnsi="方正楷体_GBK" w:eastAsia="方正楷体_GBK" w:cs="方正楷体_GBK"/>
          <w:sz w:val="24"/>
          <w:szCs w:val="21"/>
          <w:lang w:val="en-US" w:eastAsia="zh-CN"/>
        </w:rPr>
        <w:t>表37  重点谋划项目用地需求</w:t>
      </w:r>
      <w:r>
        <w:rPr>
          <w:rFonts w:hint="eastAsia" w:ascii="方正楷体_GBK" w:hAnsi="方正楷体_GBK" w:eastAsia="方正楷体_GBK" w:cs="方正楷体_GBK"/>
          <w:sz w:val="24"/>
          <w:szCs w:val="21"/>
          <w:lang w:val="en-US" w:eastAsia="zh-CN"/>
        </w:rPr>
        <w:br w:type="page"/>
      </w:r>
    </w:p>
    <w:p>
      <w:pPr>
        <w:ind w:left="0" w:leftChars="0" w:firstLine="0" w:firstLineChars="0"/>
        <w:jc w:val="center"/>
        <w:rPr>
          <w:rFonts w:hint="default" w:ascii="黑体" w:hAnsi="黑体" w:eastAsia="黑体" w:cs="黑体"/>
          <w:b/>
          <w:bCs/>
          <w:sz w:val="32"/>
          <w:szCs w:val="32"/>
          <w:lang w:val="en-US" w:eastAsia="zh-CN"/>
        </w:rPr>
      </w:pPr>
      <w:r>
        <w:rPr>
          <w:rFonts w:hint="eastAsia" w:ascii="黑体" w:hAnsi="黑体" w:eastAsia="黑体" w:cs="黑体"/>
          <w:b/>
          <w:bCs/>
          <w:sz w:val="32"/>
          <w:szCs w:val="32"/>
          <w:lang w:val="en-US" w:eastAsia="zh-CN"/>
        </w:rPr>
        <w:t>图 件 目 录</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1005" w:leftChars="0" w:hanging="1005" w:hangingChars="419"/>
        <w:textAlignment w:val="auto"/>
        <w:rPr>
          <w:rFonts w:hint="eastAsia" w:ascii="方正楷体_GBK" w:hAnsi="方正楷体_GBK" w:eastAsia="方正楷体_GBK" w:cs="方正楷体_GBK"/>
          <w:sz w:val="24"/>
          <w:szCs w:val="21"/>
          <w:lang w:val="en-US" w:eastAsia="zh-CN"/>
        </w:rPr>
      </w:pPr>
      <w:r>
        <w:rPr>
          <w:rFonts w:hint="eastAsia" w:ascii="方正楷体_GBK" w:hAnsi="方正楷体_GBK" w:eastAsia="方正楷体_GBK" w:cs="方正楷体_GBK"/>
          <w:sz w:val="24"/>
          <w:szCs w:val="21"/>
          <w:lang w:val="en-US" w:eastAsia="zh-CN"/>
        </w:rPr>
        <w:t>图 1  崖州区“两带六组团”产业空间结构</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1005" w:leftChars="0" w:hanging="1005" w:hangingChars="419"/>
        <w:textAlignment w:val="auto"/>
        <w:rPr>
          <w:rFonts w:hint="eastAsia" w:ascii="方正楷体_GBK" w:hAnsi="方正楷体_GBK" w:eastAsia="方正楷体_GBK" w:cs="方正楷体_GBK"/>
          <w:sz w:val="24"/>
          <w:szCs w:val="21"/>
          <w:lang w:val="en-US" w:eastAsia="zh-CN"/>
        </w:rPr>
      </w:pPr>
      <w:r>
        <w:rPr>
          <w:rFonts w:hint="eastAsia" w:ascii="方正楷体_GBK" w:hAnsi="方正楷体_GBK" w:eastAsia="方正楷体_GBK" w:cs="方正楷体_GBK"/>
          <w:sz w:val="24"/>
          <w:szCs w:val="21"/>
          <w:lang w:val="en-US" w:eastAsia="zh-CN"/>
        </w:rPr>
        <w:t>图 2  崖州区热带农业发展布局示意图</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1005" w:leftChars="0" w:hanging="1005" w:hangingChars="419"/>
        <w:textAlignment w:val="auto"/>
        <w:rPr>
          <w:rFonts w:hint="eastAsia" w:ascii="方正楷体_GBK" w:hAnsi="方正楷体_GBK" w:eastAsia="方正楷体_GBK" w:cs="方正楷体_GBK"/>
          <w:sz w:val="24"/>
          <w:szCs w:val="21"/>
          <w:lang w:val="en-US" w:eastAsia="zh-CN"/>
        </w:rPr>
      </w:pPr>
      <w:r>
        <w:rPr>
          <w:rFonts w:hint="eastAsia" w:ascii="方正楷体_GBK" w:hAnsi="方正楷体_GBK" w:eastAsia="方正楷体_GBK" w:cs="方正楷体_GBK"/>
          <w:sz w:val="24"/>
          <w:szCs w:val="21"/>
          <w:lang w:val="en-US" w:eastAsia="zh-CN"/>
        </w:rPr>
        <w:t>图 3  崖州区现代渔业发展布局示意图</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1005" w:leftChars="0" w:hanging="1005" w:hangingChars="419"/>
        <w:textAlignment w:val="auto"/>
        <w:rPr>
          <w:rFonts w:hint="eastAsia" w:ascii="方正楷体_GBK" w:hAnsi="方正楷体_GBK" w:eastAsia="方正楷体_GBK" w:cs="方正楷体_GBK"/>
          <w:sz w:val="24"/>
          <w:szCs w:val="21"/>
          <w:lang w:val="en-US" w:eastAsia="zh-CN"/>
        </w:rPr>
      </w:pPr>
      <w:r>
        <w:rPr>
          <w:rFonts w:hint="eastAsia" w:ascii="方正楷体_GBK" w:hAnsi="方正楷体_GBK" w:eastAsia="方正楷体_GBK" w:cs="方正楷体_GBK"/>
          <w:sz w:val="24"/>
          <w:szCs w:val="21"/>
          <w:lang w:val="en-US" w:eastAsia="zh-CN"/>
        </w:rPr>
        <w:t>图 4  崖州区第二产业发展布局示意图</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1005" w:leftChars="0" w:hanging="1005" w:hangingChars="419"/>
        <w:textAlignment w:val="auto"/>
        <w:rPr>
          <w:rFonts w:hint="eastAsia" w:ascii="方正楷体_GBK" w:hAnsi="方正楷体_GBK" w:eastAsia="方正楷体_GBK" w:cs="方正楷体_GBK"/>
          <w:sz w:val="24"/>
          <w:szCs w:val="21"/>
          <w:lang w:val="en-US" w:eastAsia="zh-CN"/>
        </w:rPr>
      </w:pPr>
      <w:r>
        <w:rPr>
          <w:rFonts w:hint="eastAsia" w:ascii="方正楷体_GBK" w:hAnsi="方正楷体_GBK" w:eastAsia="方正楷体_GBK" w:cs="方正楷体_GBK"/>
          <w:sz w:val="24"/>
          <w:szCs w:val="21"/>
          <w:lang w:val="en-US" w:eastAsia="zh-CN"/>
        </w:rPr>
        <w:t>图 5  “崖州八景”盛世再现布局示意图</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1005" w:leftChars="0" w:hanging="1005" w:hangingChars="419"/>
        <w:textAlignment w:val="auto"/>
        <w:rPr>
          <w:rFonts w:hint="eastAsia" w:ascii="方正楷体_GBK" w:hAnsi="方正楷体_GBK" w:eastAsia="方正楷体_GBK" w:cs="方正楷体_GBK"/>
          <w:sz w:val="24"/>
          <w:szCs w:val="21"/>
          <w:lang w:val="en-US" w:eastAsia="zh-CN"/>
        </w:rPr>
      </w:pPr>
      <w:r>
        <w:rPr>
          <w:rFonts w:hint="eastAsia" w:ascii="方正楷体_GBK" w:hAnsi="方正楷体_GBK" w:eastAsia="方正楷体_GBK" w:cs="方正楷体_GBK"/>
          <w:sz w:val="24"/>
          <w:szCs w:val="21"/>
          <w:lang w:val="en-US" w:eastAsia="zh-CN"/>
        </w:rPr>
        <w:t>图 6  崖州区旅游业发展布局示意图</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1005" w:leftChars="0" w:hanging="1005" w:hangingChars="419"/>
        <w:textAlignment w:val="auto"/>
        <w:rPr>
          <w:rFonts w:hint="eastAsia" w:ascii="方正楷体_GBK" w:hAnsi="方正楷体_GBK" w:eastAsia="方正楷体_GBK" w:cs="方正楷体_GBK"/>
          <w:sz w:val="24"/>
          <w:szCs w:val="21"/>
          <w:lang w:val="en-US" w:eastAsia="zh-CN"/>
        </w:rPr>
      </w:pPr>
      <w:r>
        <w:rPr>
          <w:rFonts w:hint="eastAsia" w:ascii="方正楷体_GBK" w:hAnsi="方正楷体_GBK" w:eastAsia="方正楷体_GBK" w:cs="方正楷体_GBK"/>
          <w:sz w:val="24"/>
          <w:szCs w:val="21"/>
          <w:lang w:val="en-US" w:eastAsia="zh-CN"/>
        </w:rPr>
        <w:t>图 7  崖州区商贸物流业发展布局示意图</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1005" w:leftChars="0" w:hanging="1005" w:hangingChars="419"/>
        <w:textAlignment w:val="auto"/>
        <w:rPr>
          <w:rFonts w:hint="eastAsia" w:ascii="方正楷体_GBK" w:hAnsi="方正楷体_GBK" w:eastAsia="方正楷体_GBK" w:cs="方正楷体_GBK"/>
          <w:sz w:val="24"/>
          <w:szCs w:val="21"/>
          <w:lang w:val="en-US" w:eastAsia="zh-CN"/>
        </w:rPr>
      </w:pPr>
      <w:r>
        <w:rPr>
          <w:rFonts w:hint="eastAsia" w:ascii="方正楷体_GBK" w:hAnsi="方正楷体_GBK" w:eastAsia="方正楷体_GBK" w:cs="方正楷体_GBK"/>
          <w:sz w:val="24"/>
          <w:szCs w:val="21"/>
          <w:lang w:val="en-US" w:eastAsia="zh-CN"/>
        </w:rPr>
        <w:t>图 8  康养项目发展路径</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1005" w:leftChars="0" w:hanging="1005" w:hangingChars="419"/>
        <w:textAlignment w:val="auto"/>
        <w:rPr>
          <w:rFonts w:hint="eastAsia" w:ascii="方正楷体_GBK" w:hAnsi="方正楷体_GBK" w:eastAsia="方正楷体_GBK" w:cs="方正楷体_GBK"/>
          <w:sz w:val="24"/>
          <w:szCs w:val="21"/>
          <w:lang w:val="en-US" w:eastAsia="zh-CN"/>
        </w:rPr>
      </w:pPr>
      <w:r>
        <w:rPr>
          <w:rFonts w:hint="eastAsia" w:ascii="方正楷体_GBK" w:hAnsi="方正楷体_GBK" w:eastAsia="方正楷体_GBK" w:cs="方正楷体_GBK"/>
          <w:sz w:val="24"/>
          <w:szCs w:val="21"/>
          <w:lang w:val="en-US" w:eastAsia="zh-CN"/>
        </w:rPr>
        <w:t>图 9  康养项目功能布局意向（概念意向图）</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1005" w:leftChars="0" w:hanging="1005" w:hangingChars="419"/>
        <w:textAlignment w:val="auto"/>
        <w:rPr>
          <w:rFonts w:hint="eastAsia" w:ascii="方正楷体_GBK" w:hAnsi="方正楷体_GBK" w:eastAsia="方正楷体_GBK" w:cs="方正楷体_GBK"/>
          <w:sz w:val="24"/>
          <w:szCs w:val="21"/>
          <w:lang w:val="en-US" w:eastAsia="zh-CN"/>
        </w:rPr>
      </w:pPr>
      <w:r>
        <w:rPr>
          <w:rFonts w:hint="eastAsia" w:ascii="方正楷体_GBK" w:hAnsi="方正楷体_GBK" w:eastAsia="方正楷体_GBK" w:cs="方正楷体_GBK"/>
          <w:sz w:val="24"/>
          <w:szCs w:val="21"/>
          <w:lang w:val="en-US" w:eastAsia="zh-CN"/>
        </w:rPr>
        <w:t>图10  哈佛中国国际医疗中心（康复中心）发展理念体系</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1005" w:leftChars="0" w:hanging="1005" w:hangingChars="419"/>
        <w:textAlignment w:val="auto"/>
        <w:rPr>
          <w:rFonts w:hint="eastAsia" w:ascii="方正楷体_GBK" w:hAnsi="方正楷体_GBK" w:eastAsia="方正楷体_GBK" w:cs="方正楷体_GBK"/>
          <w:sz w:val="24"/>
          <w:szCs w:val="21"/>
          <w:lang w:val="en-US" w:eastAsia="zh-CN"/>
        </w:rPr>
      </w:pPr>
      <w:r>
        <w:rPr>
          <w:rFonts w:hint="eastAsia" w:ascii="方正楷体_GBK" w:hAnsi="方正楷体_GBK" w:eastAsia="方正楷体_GBK" w:cs="方正楷体_GBK"/>
          <w:sz w:val="24"/>
          <w:szCs w:val="21"/>
          <w:lang w:val="en-US" w:eastAsia="zh-CN"/>
        </w:rPr>
        <w:t>图11  壁球洲际比赛场地和一般比赛训练场地</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1005" w:leftChars="0" w:hanging="1005" w:hangingChars="419"/>
        <w:textAlignment w:val="auto"/>
        <w:rPr>
          <w:rFonts w:hint="eastAsia" w:ascii="方正楷体_GBK" w:hAnsi="方正楷体_GBK" w:eastAsia="方正楷体_GBK" w:cs="方正楷体_GBK"/>
          <w:sz w:val="24"/>
          <w:szCs w:val="21"/>
          <w:lang w:val="en-US" w:eastAsia="zh-CN"/>
        </w:rPr>
      </w:pPr>
      <w:r>
        <w:rPr>
          <w:rFonts w:hint="eastAsia" w:ascii="方正楷体_GBK" w:hAnsi="方正楷体_GBK" w:eastAsia="方正楷体_GBK" w:cs="方正楷体_GBK"/>
          <w:sz w:val="24"/>
          <w:szCs w:val="21"/>
          <w:lang w:val="en-US" w:eastAsia="zh-CN"/>
        </w:rPr>
        <w:t>图12  壁球户外室内选址与全球知名地标交相辉映效果图</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1005" w:leftChars="0" w:hanging="1005" w:hangingChars="419"/>
        <w:textAlignment w:val="auto"/>
        <w:rPr>
          <w:rFonts w:hint="eastAsia" w:ascii="方正楷体_GBK" w:hAnsi="方正楷体_GBK" w:eastAsia="方正楷体_GBK" w:cs="方正楷体_GBK"/>
          <w:sz w:val="24"/>
          <w:szCs w:val="21"/>
          <w:lang w:val="en-US" w:eastAsia="zh-CN"/>
        </w:rPr>
      </w:pPr>
      <w:r>
        <w:rPr>
          <w:rFonts w:hint="eastAsia" w:ascii="方正楷体_GBK" w:hAnsi="方正楷体_GBK" w:eastAsia="方正楷体_GBK" w:cs="方正楷体_GBK"/>
          <w:sz w:val="24"/>
          <w:szCs w:val="21"/>
          <w:lang w:val="en-US" w:eastAsia="zh-CN"/>
        </w:rPr>
        <w:t>图13  角头湾沙滩运动公园项目选址建议</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1005" w:leftChars="0" w:hanging="1005" w:hangingChars="419"/>
        <w:textAlignment w:val="auto"/>
        <w:rPr>
          <w:rFonts w:hint="eastAsia" w:ascii="方正楷体_GBK" w:hAnsi="方正楷体_GBK" w:eastAsia="方正楷体_GBK" w:cs="方正楷体_GBK"/>
          <w:sz w:val="24"/>
          <w:szCs w:val="21"/>
          <w:lang w:val="en-US" w:eastAsia="zh-CN"/>
        </w:rPr>
      </w:pPr>
      <w:r>
        <w:rPr>
          <w:rFonts w:hint="eastAsia" w:ascii="方正楷体_GBK" w:hAnsi="方正楷体_GBK" w:eastAsia="方正楷体_GBK" w:cs="方正楷体_GBK"/>
          <w:sz w:val="24"/>
          <w:szCs w:val="21"/>
          <w:lang w:val="en-US" w:eastAsia="zh-CN"/>
        </w:rPr>
        <w:t>图14  海南岛南部岸线4个紧临海岸线乡村区位条件对比</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1005" w:leftChars="0" w:hanging="1005" w:hangingChars="419"/>
        <w:textAlignment w:val="auto"/>
        <w:rPr>
          <w:rFonts w:hint="eastAsia" w:ascii="方正楷体_GBK" w:hAnsi="方正楷体_GBK" w:eastAsia="方正楷体_GBK" w:cs="方正楷体_GBK"/>
          <w:sz w:val="24"/>
          <w:szCs w:val="21"/>
          <w:lang w:val="en-US" w:eastAsia="zh-CN"/>
        </w:rPr>
      </w:pPr>
      <w:r>
        <w:rPr>
          <w:rFonts w:hint="eastAsia" w:ascii="方正楷体_GBK" w:hAnsi="方正楷体_GBK" w:eastAsia="方正楷体_GBK" w:cs="方正楷体_GBK"/>
          <w:sz w:val="24"/>
          <w:szCs w:val="21"/>
          <w:lang w:val="en-US" w:eastAsia="zh-CN"/>
        </w:rPr>
        <w:t>图15  案例对标：天涯区马岭社区整体包装开发实景图</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1005" w:leftChars="0" w:hanging="1005" w:hangingChars="419"/>
        <w:textAlignment w:val="auto"/>
        <w:rPr>
          <w:rFonts w:hint="eastAsia" w:ascii="方正楷体_GBK" w:hAnsi="方正楷体_GBK" w:eastAsia="方正楷体_GBK" w:cs="方正楷体_GBK"/>
          <w:sz w:val="24"/>
          <w:szCs w:val="21"/>
          <w:lang w:val="en-US" w:eastAsia="zh-CN"/>
        </w:rPr>
      </w:pPr>
      <w:r>
        <w:rPr>
          <w:rFonts w:hint="eastAsia" w:ascii="方正楷体_GBK" w:hAnsi="方正楷体_GBK" w:eastAsia="方正楷体_GBK" w:cs="方正楷体_GBK"/>
          <w:sz w:val="24"/>
          <w:szCs w:val="21"/>
          <w:lang w:val="en-US" w:eastAsia="zh-CN"/>
        </w:rPr>
        <w:t>图16  “南海之恋”旅拍公园项目选址建议</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1005" w:leftChars="0" w:hanging="1005" w:hangingChars="419"/>
        <w:textAlignment w:val="auto"/>
        <w:rPr>
          <w:rFonts w:hint="eastAsia" w:ascii="方正楷体_GBK" w:hAnsi="方正楷体_GBK" w:eastAsia="方正楷体_GBK" w:cs="方正楷体_GBK"/>
          <w:sz w:val="24"/>
          <w:szCs w:val="21"/>
          <w:lang w:val="en-US" w:eastAsia="zh-CN"/>
        </w:rPr>
      </w:pPr>
      <w:r>
        <w:rPr>
          <w:rFonts w:hint="eastAsia" w:ascii="方正楷体_GBK" w:hAnsi="方正楷体_GBK" w:eastAsia="方正楷体_GBK" w:cs="方正楷体_GBK"/>
          <w:sz w:val="24"/>
          <w:szCs w:val="21"/>
          <w:lang w:val="en-US" w:eastAsia="zh-CN"/>
        </w:rPr>
        <w:t>图17  三亚红色革命学习基地（梅山）项目选址建议</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1005" w:leftChars="0" w:hanging="1005" w:hangingChars="419"/>
        <w:textAlignment w:val="auto"/>
        <w:rPr>
          <w:rFonts w:hint="eastAsia" w:ascii="方正楷体_GBK" w:hAnsi="方正楷体_GBK" w:eastAsia="方正楷体_GBK" w:cs="方正楷体_GBK"/>
          <w:sz w:val="24"/>
          <w:szCs w:val="21"/>
          <w:lang w:val="en-US" w:eastAsia="zh-CN"/>
        </w:rPr>
      </w:pPr>
      <w:r>
        <w:rPr>
          <w:rFonts w:hint="eastAsia" w:ascii="方正楷体_GBK" w:hAnsi="方正楷体_GBK" w:eastAsia="方正楷体_GBK" w:cs="方正楷体_GBK"/>
          <w:sz w:val="24"/>
          <w:szCs w:val="21"/>
          <w:lang w:val="en-US" w:eastAsia="zh-CN"/>
        </w:rPr>
        <w:t>图18  芒果青春小镇项目总规划图</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1005" w:leftChars="0" w:hanging="1005" w:hangingChars="419"/>
        <w:textAlignment w:val="auto"/>
        <w:rPr>
          <w:rFonts w:hint="eastAsia" w:ascii="方正楷体_GBK" w:hAnsi="方正楷体_GBK" w:eastAsia="方正楷体_GBK" w:cs="方正楷体_GBK"/>
          <w:sz w:val="24"/>
          <w:szCs w:val="21"/>
          <w:lang w:val="en-US" w:eastAsia="zh-CN"/>
        </w:rPr>
      </w:pPr>
      <w:r>
        <w:rPr>
          <w:rFonts w:hint="eastAsia" w:ascii="方正楷体_GBK" w:hAnsi="方正楷体_GBK" w:eastAsia="方正楷体_GBK" w:cs="方正楷体_GBK"/>
          <w:sz w:val="24"/>
          <w:szCs w:val="21"/>
          <w:lang w:val="en-US" w:eastAsia="zh-CN"/>
        </w:rPr>
        <w:t>图19  崖州农产品加工产业园项目选址建议</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1005" w:leftChars="0" w:hanging="1005" w:hangingChars="419"/>
        <w:textAlignment w:val="auto"/>
        <w:rPr>
          <w:rFonts w:hint="eastAsia" w:ascii="方正楷体_GBK" w:hAnsi="方正楷体_GBK" w:eastAsia="方正楷体_GBK" w:cs="方正楷体_GBK"/>
          <w:sz w:val="24"/>
          <w:szCs w:val="21"/>
          <w:lang w:val="en-US" w:eastAsia="zh-CN"/>
        </w:rPr>
      </w:pPr>
      <w:r>
        <w:rPr>
          <w:rFonts w:hint="eastAsia" w:ascii="方正楷体_GBK" w:hAnsi="方正楷体_GBK" w:eastAsia="方正楷体_GBK" w:cs="方正楷体_GBK"/>
          <w:sz w:val="24"/>
          <w:szCs w:val="21"/>
          <w:lang w:val="en-US" w:eastAsia="zh-CN"/>
        </w:rPr>
        <w:t>图20  生态循环肉牛繁育示范基地项目选址建议</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1005" w:leftChars="0" w:hanging="1005" w:hangingChars="419"/>
        <w:textAlignment w:val="auto"/>
        <w:rPr>
          <w:rFonts w:hint="eastAsia" w:ascii="方正楷体_GBK" w:hAnsi="方正楷体_GBK" w:eastAsia="方正楷体_GBK" w:cs="方正楷体_GBK"/>
          <w:sz w:val="24"/>
          <w:szCs w:val="21"/>
          <w:lang w:val="en-US" w:eastAsia="zh-CN"/>
        </w:rPr>
      </w:pPr>
      <w:r>
        <w:rPr>
          <w:rFonts w:hint="eastAsia" w:ascii="方正楷体_GBK" w:hAnsi="方正楷体_GBK" w:eastAsia="方正楷体_GBK" w:cs="方正楷体_GBK"/>
          <w:sz w:val="24"/>
          <w:szCs w:val="21"/>
          <w:lang w:val="en-US" w:eastAsia="zh-CN"/>
        </w:rPr>
        <w:t>图21  工厂化水产养殖基地设计示意图</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1005" w:leftChars="0" w:hanging="1005" w:hangingChars="419"/>
        <w:textAlignment w:val="auto"/>
        <w:rPr>
          <w:rFonts w:hint="eastAsia" w:ascii="方正楷体_GBK" w:hAnsi="方正楷体_GBK" w:eastAsia="方正楷体_GBK" w:cs="方正楷体_GBK"/>
          <w:sz w:val="24"/>
          <w:szCs w:val="21"/>
          <w:lang w:val="en-US" w:eastAsia="zh-CN"/>
        </w:rPr>
      </w:pPr>
      <w:r>
        <w:rPr>
          <w:rFonts w:hint="eastAsia" w:ascii="方正楷体_GBK" w:hAnsi="方正楷体_GBK" w:eastAsia="方正楷体_GBK" w:cs="方正楷体_GBK"/>
          <w:sz w:val="24"/>
          <w:szCs w:val="21"/>
          <w:lang w:val="en-US" w:eastAsia="zh-CN"/>
        </w:rPr>
        <w:t>图22  工厂化水产养殖基地项目选址建议</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1005" w:leftChars="0" w:hanging="1005" w:hangingChars="419"/>
        <w:textAlignment w:val="auto"/>
        <w:rPr>
          <w:rFonts w:hint="eastAsia" w:ascii="方正楷体_GBK" w:hAnsi="方正楷体_GBK" w:eastAsia="方正楷体_GBK" w:cs="方正楷体_GBK"/>
          <w:sz w:val="24"/>
          <w:szCs w:val="21"/>
          <w:lang w:val="en-US" w:eastAsia="zh-CN"/>
        </w:rPr>
      </w:pPr>
      <w:r>
        <w:rPr>
          <w:rFonts w:hint="eastAsia" w:ascii="方正楷体_GBK" w:hAnsi="方正楷体_GBK" w:eastAsia="方正楷体_GBK" w:cs="方正楷体_GBK"/>
          <w:sz w:val="24"/>
          <w:szCs w:val="21"/>
          <w:lang w:val="en-US" w:eastAsia="zh-CN"/>
        </w:rPr>
        <w:t>图23  两种大型网箱养殖工船外部示意图</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1005" w:leftChars="0" w:hanging="1005" w:hangingChars="419"/>
        <w:textAlignment w:val="auto"/>
        <w:rPr>
          <w:rFonts w:hint="eastAsia" w:ascii="方正楷体_GBK" w:hAnsi="方正楷体_GBK" w:eastAsia="方正楷体_GBK" w:cs="方正楷体_GBK"/>
          <w:sz w:val="24"/>
          <w:szCs w:val="21"/>
          <w:lang w:val="en-US" w:eastAsia="zh-CN"/>
        </w:rPr>
      </w:pPr>
      <w:r>
        <w:rPr>
          <w:rFonts w:hint="eastAsia" w:ascii="方正楷体_GBK" w:hAnsi="方正楷体_GBK" w:eastAsia="方正楷体_GBK" w:cs="方正楷体_GBK"/>
          <w:sz w:val="24"/>
          <w:szCs w:val="21"/>
          <w:lang w:val="en-US" w:eastAsia="zh-CN"/>
        </w:rPr>
        <w:t>图24  主题乐园旅游区项目选址建议</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1005" w:leftChars="0" w:hanging="1005" w:hangingChars="419"/>
        <w:textAlignment w:val="auto"/>
        <w:rPr>
          <w:rFonts w:hint="eastAsia" w:ascii="方正楷体_GBK" w:hAnsi="方正楷体_GBK" w:eastAsia="方正楷体_GBK" w:cs="方正楷体_GBK"/>
          <w:sz w:val="24"/>
          <w:szCs w:val="21"/>
          <w:lang w:val="en-US" w:eastAsia="zh-CN"/>
        </w:rPr>
      </w:pPr>
      <w:r>
        <w:rPr>
          <w:rFonts w:hint="eastAsia" w:ascii="方正楷体_GBK" w:hAnsi="方正楷体_GBK" w:eastAsia="方正楷体_GBK" w:cs="方正楷体_GBK"/>
          <w:sz w:val="24"/>
          <w:szCs w:val="21"/>
          <w:lang w:val="en-US" w:eastAsia="zh-CN"/>
        </w:rPr>
        <w:br w:type="page"/>
      </w:r>
    </w:p>
    <w:p>
      <w:pPr>
        <w:ind w:left="0" w:leftChars="0" w:firstLine="0" w:firstLineChars="0"/>
        <w:jc w:val="center"/>
        <w:rPr>
          <w:rFonts w:hint="default" w:ascii="黑体" w:hAnsi="黑体" w:eastAsia="黑体" w:cs="黑体"/>
          <w:b/>
          <w:bCs/>
          <w:sz w:val="32"/>
          <w:szCs w:val="32"/>
          <w:lang w:val="en-US" w:eastAsia="zh-CN"/>
        </w:rPr>
      </w:pPr>
      <w:r>
        <w:rPr>
          <w:rFonts w:hint="eastAsia" w:ascii="黑体" w:hAnsi="黑体" w:eastAsia="黑体" w:cs="黑体"/>
          <w:b/>
          <w:bCs/>
          <w:sz w:val="32"/>
          <w:szCs w:val="32"/>
          <w:lang w:val="en-US" w:eastAsia="zh-CN"/>
        </w:rPr>
        <w:t>专 栏 目 录</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1005" w:leftChars="0" w:hanging="1005" w:hangingChars="419"/>
        <w:textAlignment w:val="auto"/>
        <w:rPr>
          <w:rFonts w:hint="eastAsia" w:ascii="方正楷体_GBK" w:hAnsi="方正楷体_GBK" w:eastAsia="方正楷体_GBK" w:cs="方正楷体_GBK"/>
          <w:sz w:val="24"/>
          <w:szCs w:val="21"/>
          <w:lang w:val="en-US" w:eastAsia="zh-CN"/>
        </w:rPr>
      </w:pPr>
      <w:r>
        <w:rPr>
          <w:rFonts w:hint="eastAsia" w:ascii="方正楷体_GBK" w:hAnsi="方正楷体_GBK" w:eastAsia="方正楷体_GBK" w:cs="方正楷体_GBK"/>
          <w:sz w:val="24"/>
          <w:szCs w:val="21"/>
          <w:lang w:val="en-US" w:eastAsia="zh-CN"/>
        </w:rPr>
        <w:t>专栏 1  案例借鉴：浙江省舟山市面向东海大力发展海洋经济</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1005" w:leftChars="0" w:hanging="1005" w:hangingChars="419"/>
        <w:textAlignment w:val="auto"/>
        <w:rPr>
          <w:rFonts w:hint="eastAsia" w:ascii="方正楷体_GBK" w:hAnsi="方正楷体_GBK" w:eastAsia="方正楷体_GBK" w:cs="方正楷体_GBK"/>
          <w:sz w:val="24"/>
          <w:szCs w:val="21"/>
          <w:lang w:val="en-US" w:eastAsia="zh-CN"/>
        </w:rPr>
      </w:pPr>
      <w:r>
        <w:rPr>
          <w:rFonts w:hint="eastAsia" w:ascii="方正楷体_GBK" w:hAnsi="方正楷体_GBK" w:eastAsia="方正楷体_GBK" w:cs="方正楷体_GBK"/>
          <w:sz w:val="24"/>
          <w:szCs w:val="21"/>
          <w:lang w:val="en-US" w:eastAsia="zh-CN"/>
        </w:rPr>
        <w:t>专栏 2  崖州在大三亚区域一体化协调发展中的重要作用</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1005" w:leftChars="0" w:hanging="1005" w:hangingChars="419"/>
        <w:textAlignment w:val="auto"/>
        <w:rPr>
          <w:rFonts w:hint="eastAsia" w:ascii="方正楷体_GBK" w:hAnsi="方正楷体_GBK" w:eastAsia="方正楷体_GBK" w:cs="方正楷体_GBK"/>
          <w:sz w:val="24"/>
          <w:szCs w:val="21"/>
          <w:lang w:val="en-US" w:eastAsia="zh-CN"/>
        </w:rPr>
      </w:pPr>
      <w:r>
        <w:rPr>
          <w:rFonts w:hint="eastAsia" w:ascii="方正楷体_GBK" w:hAnsi="方正楷体_GBK" w:eastAsia="方正楷体_GBK" w:cs="方正楷体_GBK"/>
          <w:sz w:val="24"/>
          <w:szCs w:val="21"/>
          <w:lang w:val="en-US" w:eastAsia="zh-CN"/>
        </w:rPr>
        <w:t>专栏 3  案例借鉴：日本筑波科技城、台湾新竹科技城与周边地区融合发展</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1005" w:leftChars="0" w:hanging="1005" w:hangingChars="419"/>
        <w:textAlignment w:val="auto"/>
        <w:rPr>
          <w:rFonts w:hint="eastAsia" w:ascii="方正楷体_GBK" w:hAnsi="方正楷体_GBK" w:eastAsia="方正楷体_GBK" w:cs="方正楷体_GBK"/>
          <w:sz w:val="24"/>
          <w:szCs w:val="21"/>
          <w:lang w:val="en-US" w:eastAsia="zh-CN"/>
        </w:rPr>
      </w:pPr>
      <w:r>
        <w:rPr>
          <w:rFonts w:hint="eastAsia" w:ascii="方正楷体_GBK" w:hAnsi="方正楷体_GBK" w:eastAsia="方正楷体_GBK" w:cs="方正楷体_GBK"/>
          <w:sz w:val="24"/>
          <w:szCs w:val="21"/>
          <w:lang w:val="en-US" w:eastAsia="zh-CN"/>
        </w:rPr>
        <w:t>专栏 4  案例借鉴：“中国蔬菜之乡”山东寿光的高效农业模式</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1005" w:leftChars="0" w:hanging="1005" w:hangingChars="419"/>
        <w:textAlignment w:val="auto"/>
        <w:rPr>
          <w:rFonts w:hint="eastAsia" w:ascii="方正楷体_GBK" w:hAnsi="方正楷体_GBK" w:eastAsia="方正楷体_GBK" w:cs="方正楷体_GBK"/>
          <w:sz w:val="24"/>
          <w:szCs w:val="21"/>
          <w:lang w:val="en-US" w:eastAsia="zh-CN"/>
        </w:rPr>
      </w:pPr>
      <w:r>
        <w:rPr>
          <w:rFonts w:hint="eastAsia" w:ascii="方正楷体_GBK" w:hAnsi="方正楷体_GBK" w:eastAsia="方正楷体_GBK" w:cs="方正楷体_GBK"/>
          <w:sz w:val="24"/>
          <w:szCs w:val="21"/>
          <w:lang w:val="en-US" w:eastAsia="zh-CN"/>
        </w:rPr>
        <w:t>专栏 5  案例借鉴：欧洲最大渔港西班牙比戈（Vigo）渔港</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1005" w:leftChars="0" w:hanging="1005" w:hangingChars="419"/>
        <w:textAlignment w:val="auto"/>
        <w:rPr>
          <w:rFonts w:hint="eastAsia" w:ascii="方正楷体_GBK" w:hAnsi="方正楷体_GBK" w:eastAsia="方正楷体_GBK" w:cs="方正楷体_GBK"/>
          <w:sz w:val="24"/>
          <w:szCs w:val="21"/>
          <w:lang w:val="en-US" w:eastAsia="zh-CN"/>
        </w:rPr>
      </w:pPr>
      <w:r>
        <w:rPr>
          <w:rFonts w:hint="eastAsia" w:ascii="方正楷体_GBK" w:hAnsi="方正楷体_GBK" w:eastAsia="方正楷体_GBK" w:cs="方正楷体_GBK"/>
          <w:sz w:val="24"/>
          <w:szCs w:val="21"/>
          <w:lang w:val="en-US" w:eastAsia="zh-CN"/>
        </w:rPr>
        <w:t>专栏 6  现代渔业“往岸上走、往深海走、往休闲渔业走”</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1005" w:leftChars="0" w:hanging="1005" w:hangingChars="419"/>
        <w:textAlignment w:val="auto"/>
        <w:rPr>
          <w:rFonts w:hint="eastAsia" w:ascii="方正楷体_GBK" w:hAnsi="方正楷体_GBK" w:eastAsia="方正楷体_GBK" w:cs="方正楷体_GBK"/>
          <w:sz w:val="24"/>
          <w:szCs w:val="21"/>
          <w:lang w:val="en-US" w:eastAsia="zh-CN"/>
        </w:rPr>
      </w:pPr>
      <w:r>
        <w:rPr>
          <w:rFonts w:hint="eastAsia" w:ascii="方正楷体_GBK" w:hAnsi="方正楷体_GBK" w:eastAsia="方正楷体_GBK" w:cs="方正楷体_GBK"/>
          <w:sz w:val="24"/>
          <w:szCs w:val="21"/>
          <w:lang w:val="en-US" w:eastAsia="zh-CN"/>
        </w:rPr>
        <w:t>专栏 7  海南在自贸港背景下发展绿色高端制造业的可选方向</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1005" w:leftChars="0" w:hanging="1005" w:hangingChars="419"/>
        <w:textAlignment w:val="auto"/>
        <w:rPr>
          <w:rFonts w:hint="eastAsia" w:ascii="方正楷体_GBK" w:hAnsi="方正楷体_GBK" w:eastAsia="方正楷体_GBK" w:cs="方正楷体_GBK"/>
          <w:sz w:val="24"/>
          <w:szCs w:val="21"/>
          <w:lang w:val="en-US" w:eastAsia="zh-CN"/>
        </w:rPr>
      </w:pPr>
      <w:r>
        <w:rPr>
          <w:rFonts w:hint="eastAsia" w:ascii="方正楷体_GBK" w:hAnsi="方正楷体_GBK" w:eastAsia="方正楷体_GBK" w:cs="方正楷体_GBK"/>
          <w:sz w:val="24"/>
          <w:szCs w:val="21"/>
          <w:lang w:val="en-US" w:eastAsia="zh-CN"/>
        </w:rPr>
        <w:t>专栏 8  崖州发展热带特色高效农业上位政策规划出处和原文</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1005" w:leftChars="0" w:hanging="1005" w:hangingChars="419"/>
        <w:textAlignment w:val="auto"/>
        <w:rPr>
          <w:rFonts w:hint="eastAsia" w:ascii="方正楷体_GBK" w:hAnsi="方正楷体_GBK" w:eastAsia="方正楷体_GBK" w:cs="方正楷体_GBK"/>
          <w:sz w:val="24"/>
          <w:szCs w:val="21"/>
          <w:lang w:val="en-US" w:eastAsia="zh-CN"/>
        </w:rPr>
      </w:pPr>
      <w:r>
        <w:rPr>
          <w:rFonts w:hint="eastAsia" w:ascii="方正楷体_GBK" w:hAnsi="方正楷体_GBK" w:eastAsia="方正楷体_GBK" w:cs="方正楷体_GBK"/>
          <w:sz w:val="24"/>
          <w:szCs w:val="21"/>
          <w:lang w:val="en-US" w:eastAsia="zh-CN"/>
        </w:rPr>
        <w:t>专栏 9  崖州发展渔业（休闲渔业）上位政策出处和原文</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1005" w:leftChars="0" w:hanging="1005" w:hangingChars="419"/>
        <w:textAlignment w:val="auto"/>
        <w:rPr>
          <w:rFonts w:hint="eastAsia" w:ascii="方正楷体_GBK" w:hAnsi="方正楷体_GBK" w:eastAsia="方正楷体_GBK" w:cs="方正楷体_GBK"/>
          <w:sz w:val="24"/>
          <w:szCs w:val="21"/>
          <w:lang w:val="en-US" w:eastAsia="zh-CN"/>
        </w:rPr>
      </w:pPr>
      <w:r>
        <w:rPr>
          <w:rFonts w:hint="eastAsia" w:ascii="方正楷体_GBK" w:hAnsi="方正楷体_GBK" w:eastAsia="方正楷体_GBK" w:cs="方正楷体_GBK"/>
          <w:sz w:val="24"/>
          <w:szCs w:val="21"/>
          <w:lang w:val="en-US" w:eastAsia="zh-CN"/>
        </w:rPr>
        <w:t>专栏10  案例借鉴：近邻乐东县的农业“五化”进程</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1005" w:leftChars="0" w:hanging="1005" w:hangingChars="419"/>
        <w:textAlignment w:val="auto"/>
        <w:rPr>
          <w:rFonts w:hint="eastAsia" w:ascii="方正楷体_GBK" w:hAnsi="方正楷体_GBK" w:eastAsia="方正楷体_GBK" w:cs="方正楷体_GBK"/>
          <w:sz w:val="24"/>
          <w:szCs w:val="21"/>
          <w:lang w:val="en-US" w:eastAsia="zh-CN"/>
        </w:rPr>
      </w:pPr>
      <w:r>
        <w:rPr>
          <w:rFonts w:hint="eastAsia" w:ascii="方正楷体_GBK" w:hAnsi="方正楷体_GBK" w:eastAsia="方正楷体_GBK" w:cs="方正楷体_GBK"/>
          <w:sz w:val="24"/>
          <w:szCs w:val="21"/>
          <w:lang w:val="en-US" w:eastAsia="zh-CN"/>
        </w:rPr>
        <w:t>专栏11  案例借鉴：山东寿光菜农之家联合社</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1005" w:leftChars="0" w:hanging="1005" w:hangingChars="419"/>
        <w:textAlignment w:val="auto"/>
        <w:rPr>
          <w:rFonts w:hint="eastAsia" w:ascii="方正楷体_GBK" w:hAnsi="方正楷体_GBK" w:eastAsia="方正楷体_GBK" w:cs="方正楷体_GBK"/>
          <w:sz w:val="24"/>
          <w:szCs w:val="21"/>
          <w:lang w:val="en-US" w:eastAsia="zh-CN"/>
        </w:rPr>
      </w:pPr>
      <w:r>
        <w:rPr>
          <w:rFonts w:hint="eastAsia" w:ascii="方正楷体_GBK" w:hAnsi="方正楷体_GBK" w:eastAsia="方正楷体_GBK" w:cs="方正楷体_GBK"/>
          <w:sz w:val="24"/>
          <w:szCs w:val="21"/>
          <w:lang w:val="en-US" w:eastAsia="zh-CN"/>
        </w:rPr>
        <w:t>专栏12  水产养殖业发展前景看好</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1005" w:leftChars="0" w:hanging="1005" w:hangingChars="419"/>
        <w:textAlignment w:val="auto"/>
        <w:rPr>
          <w:rFonts w:hint="eastAsia" w:ascii="方正楷体_GBK" w:hAnsi="方正楷体_GBK" w:eastAsia="方正楷体_GBK" w:cs="方正楷体_GBK"/>
          <w:sz w:val="24"/>
          <w:szCs w:val="21"/>
          <w:lang w:val="en-US" w:eastAsia="zh-CN"/>
        </w:rPr>
      </w:pPr>
      <w:r>
        <w:rPr>
          <w:rFonts w:hint="eastAsia" w:ascii="方正楷体_GBK" w:hAnsi="方正楷体_GBK" w:eastAsia="方正楷体_GBK" w:cs="方正楷体_GBK"/>
          <w:sz w:val="24"/>
          <w:szCs w:val="21"/>
          <w:lang w:val="en-US" w:eastAsia="zh-CN"/>
        </w:rPr>
        <w:t>专栏13  崖州湾养殖水域规划指引</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1005" w:leftChars="0" w:hanging="1005" w:hangingChars="419"/>
        <w:textAlignment w:val="auto"/>
        <w:rPr>
          <w:rFonts w:hint="default" w:ascii="方正楷体_GBK" w:hAnsi="方正楷体_GBK" w:eastAsia="方正楷体_GBK" w:cs="方正楷体_GBK"/>
          <w:sz w:val="24"/>
          <w:szCs w:val="21"/>
          <w:lang w:val="en-US" w:eastAsia="zh-CN"/>
        </w:rPr>
      </w:pPr>
      <w:r>
        <w:rPr>
          <w:rFonts w:hint="eastAsia" w:ascii="方正楷体_GBK" w:hAnsi="方正楷体_GBK" w:eastAsia="方正楷体_GBK" w:cs="方正楷体_GBK"/>
          <w:sz w:val="24"/>
          <w:szCs w:val="21"/>
          <w:lang w:val="en-US" w:eastAsia="zh-CN"/>
        </w:rPr>
        <w:t xml:space="preserve">专栏14  </w:t>
      </w:r>
      <w:r>
        <w:rPr>
          <w:rFonts w:hint="default" w:ascii="方正楷体_GBK" w:hAnsi="方正楷体_GBK" w:eastAsia="方正楷体_GBK" w:cs="方正楷体_GBK"/>
          <w:sz w:val="24"/>
          <w:szCs w:val="21"/>
          <w:lang w:val="en-US" w:eastAsia="zh-CN"/>
        </w:rPr>
        <w:t>从《海南自由贸易港建设总体方案》“2025年前重点任务”中解读崖州第二产业发展机遇</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1005" w:leftChars="0" w:hanging="1005" w:hangingChars="419"/>
        <w:textAlignment w:val="auto"/>
        <w:rPr>
          <w:rFonts w:hint="eastAsia" w:ascii="方正楷体_GBK" w:hAnsi="方正楷体_GBK" w:eastAsia="方正楷体_GBK" w:cs="方正楷体_GBK"/>
          <w:sz w:val="24"/>
          <w:szCs w:val="21"/>
          <w:lang w:val="en-US" w:eastAsia="zh-CN"/>
        </w:rPr>
      </w:pPr>
      <w:r>
        <w:rPr>
          <w:rFonts w:hint="eastAsia" w:ascii="方正楷体_GBK" w:hAnsi="方正楷体_GBK" w:eastAsia="方正楷体_GBK" w:cs="方正楷体_GBK"/>
          <w:sz w:val="24"/>
          <w:szCs w:val="21"/>
          <w:lang w:val="en-US" w:eastAsia="zh-CN"/>
        </w:rPr>
        <w:t>专栏15  从《海南自由贸易港建设总体方案》“2025年前重点任务”中解读崖州第三产业发展机遇</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1005" w:leftChars="0" w:hanging="1005" w:hangingChars="419"/>
        <w:textAlignment w:val="auto"/>
        <w:rPr>
          <w:rFonts w:hint="eastAsia" w:ascii="方正楷体_GBK" w:hAnsi="方正楷体_GBK" w:eastAsia="方正楷体_GBK" w:cs="方正楷体_GBK"/>
          <w:sz w:val="24"/>
          <w:szCs w:val="21"/>
          <w:lang w:val="en-US" w:eastAsia="zh-CN"/>
        </w:rPr>
      </w:pPr>
      <w:r>
        <w:rPr>
          <w:rFonts w:hint="eastAsia" w:ascii="方正楷体_GBK" w:hAnsi="方正楷体_GBK" w:eastAsia="方正楷体_GBK" w:cs="方正楷体_GBK"/>
          <w:sz w:val="24"/>
          <w:szCs w:val="21"/>
          <w:lang w:val="en-US" w:eastAsia="zh-CN"/>
        </w:rPr>
        <w:t>专栏16  崖州发展文化旅游和体育旅游上位政策出处和原文</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1005" w:leftChars="0" w:hanging="1005" w:hangingChars="419"/>
        <w:textAlignment w:val="auto"/>
        <w:rPr>
          <w:rFonts w:hint="eastAsia" w:ascii="方正楷体_GBK" w:hAnsi="方正楷体_GBK" w:eastAsia="方正楷体_GBK" w:cs="方正楷体_GBK"/>
          <w:sz w:val="24"/>
          <w:szCs w:val="21"/>
          <w:lang w:val="en-US" w:eastAsia="zh-CN"/>
        </w:rPr>
      </w:pPr>
      <w:r>
        <w:rPr>
          <w:rFonts w:hint="eastAsia" w:ascii="方正楷体_GBK" w:hAnsi="方正楷体_GBK" w:eastAsia="方正楷体_GBK" w:cs="方正楷体_GBK"/>
          <w:sz w:val="24"/>
          <w:szCs w:val="21"/>
          <w:lang w:val="en-US" w:eastAsia="zh-CN"/>
        </w:rPr>
        <w:t>专栏17  崖州发展商贸物流业上位政策规划出处和原文</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1005" w:leftChars="0" w:hanging="1005" w:hangingChars="419"/>
        <w:textAlignment w:val="auto"/>
        <w:rPr>
          <w:rFonts w:hint="eastAsia" w:ascii="方正楷体_GBK" w:hAnsi="方正楷体_GBK" w:eastAsia="方正楷体_GBK" w:cs="方正楷体_GBK"/>
          <w:sz w:val="24"/>
          <w:szCs w:val="21"/>
          <w:lang w:val="en-US" w:eastAsia="zh-CN"/>
        </w:rPr>
      </w:pPr>
      <w:r>
        <w:rPr>
          <w:rFonts w:hint="eastAsia" w:ascii="方正楷体_GBK" w:hAnsi="方正楷体_GBK" w:eastAsia="方正楷体_GBK" w:cs="方正楷体_GBK"/>
          <w:sz w:val="24"/>
          <w:szCs w:val="21"/>
          <w:lang w:val="en-US" w:eastAsia="zh-CN"/>
        </w:rPr>
        <w:t>专栏18  崖州区文化旅游的独特重要资源——23处文物保护单位</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1005" w:leftChars="0" w:hanging="1005" w:hangingChars="419"/>
        <w:textAlignment w:val="auto"/>
        <w:rPr>
          <w:rFonts w:hint="eastAsia" w:ascii="方正楷体_GBK" w:hAnsi="方正楷体_GBK" w:eastAsia="方正楷体_GBK" w:cs="方正楷体_GBK"/>
          <w:sz w:val="24"/>
          <w:szCs w:val="21"/>
          <w:lang w:val="en-US" w:eastAsia="zh-CN"/>
        </w:rPr>
      </w:pPr>
      <w:r>
        <w:rPr>
          <w:rFonts w:hint="eastAsia" w:ascii="方正楷体_GBK" w:hAnsi="方正楷体_GBK" w:eastAsia="方正楷体_GBK" w:cs="方正楷体_GBK"/>
          <w:sz w:val="24"/>
          <w:szCs w:val="21"/>
          <w:lang w:val="en-US" w:eastAsia="zh-CN"/>
        </w:rPr>
        <w:t>专栏19  海南全省文化旅游业发展普遍存在的不足</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1005" w:leftChars="0" w:hanging="1005" w:hangingChars="419"/>
        <w:textAlignment w:val="auto"/>
        <w:rPr>
          <w:rFonts w:hint="eastAsia" w:ascii="方正楷体_GBK" w:hAnsi="方正楷体_GBK" w:eastAsia="方正楷体_GBK" w:cs="方正楷体_GBK"/>
          <w:sz w:val="24"/>
          <w:szCs w:val="21"/>
          <w:lang w:val="en-US" w:eastAsia="zh-CN"/>
        </w:rPr>
      </w:pPr>
      <w:r>
        <w:rPr>
          <w:rFonts w:hint="eastAsia" w:ascii="方正楷体_GBK" w:hAnsi="方正楷体_GBK" w:eastAsia="方正楷体_GBK" w:cs="方正楷体_GBK"/>
          <w:sz w:val="24"/>
          <w:szCs w:val="21"/>
          <w:lang w:val="en-US" w:eastAsia="zh-CN"/>
        </w:rPr>
        <w:t>专栏20  南海历史文化是宣誓南海主权的重要武器</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1005" w:leftChars="0" w:hanging="1005" w:hangingChars="419"/>
        <w:textAlignment w:val="auto"/>
        <w:rPr>
          <w:rFonts w:hint="eastAsia" w:ascii="方正楷体_GBK" w:hAnsi="方正楷体_GBK" w:eastAsia="方正楷体_GBK" w:cs="方正楷体_GBK"/>
          <w:sz w:val="24"/>
          <w:szCs w:val="21"/>
          <w:lang w:val="en-US" w:eastAsia="zh-CN"/>
        </w:rPr>
      </w:pPr>
      <w:r>
        <w:rPr>
          <w:rFonts w:hint="eastAsia" w:ascii="方正楷体_GBK" w:hAnsi="方正楷体_GBK" w:eastAsia="方正楷体_GBK" w:cs="方正楷体_GBK"/>
          <w:sz w:val="24"/>
          <w:szCs w:val="21"/>
          <w:lang w:val="en-US" w:eastAsia="zh-CN"/>
        </w:rPr>
        <w:t>专栏21  崖州与南海文化</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1005" w:leftChars="0" w:hanging="1005" w:hangingChars="419"/>
        <w:textAlignment w:val="auto"/>
        <w:rPr>
          <w:rFonts w:hint="eastAsia" w:ascii="方正楷体_GBK" w:hAnsi="方正楷体_GBK" w:eastAsia="方正楷体_GBK" w:cs="方正楷体_GBK"/>
          <w:sz w:val="24"/>
          <w:szCs w:val="21"/>
          <w:lang w:val="en-US" w:eastAsia="zh-CN"/>
        </w:rPr>
      </w:pPr>
      <w:r>
        <w:rPr>
          <w:rFonts w:hint="eastAsia" w:ascii="方正楷体_GBK" w:hAnsi="方正楷体_GBK" w:eastAsia="方正楷体_GBK" w:cs="方正楷体_GBK"/>
          <w:sz w:val="24"/>
          <w:szCs w:val="21"/>
          <w:lang w:val="en-US" w:eastAsia="zh-CN"/>
        </w:rPr>
        <w:t>专栏22  “N景”文化案例借鉴：西湖十景和羊城八景</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1005" w:leftChars="0" w:hanging="1005" w:hangingChars="419"/>
        <w:textAlignment w:val="auto"/>
        <w:rPr>
          <w:rFonts w:hint="eastAsia" w:ascii="方正楷体_GBK" w:hAnsi="方正楷体_GBK" w:eastAsia="方正楷体_GBK" w:cs="方正楷体_GBK"/>
          <w:sz w:val="24"/>
          <w:szCs w:val="21"/>
          <w:lang w:val="en-US" w:eastAsia="zh-CN"/>
        </w:rPr>
      </w:pPr>
      <w:r>
        <w:rPr>
          <w:rFonts w:hint="eastAsia" w:ascii="方正楷体_GBK" w:hAnsi="方正楷体_GBK" w:eastAsia="方正楷体_GBK" w:cs="方正楷体_GBK"/>
          <w:sz w:val="24"/>
          <w:szCs w:val="21"/>
          <w:lang w:val="en-US" w:eastAsia="zh-CN"/>
        </w:rPr>
        <w:t>专栏23  元朝王仕熙《崖州八景》和清朝钟元棣《崖州新八景》</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1005" w:leftChars="0" w:hanging="1005" w:hangingChars="419"/>
        <w:textAlignment w:val="auto"/>
        <w:rPr>
          <w:rFonts w:hint="eastAsia" w:ascii="方正楷体_GBK" w:hAnsi="方正楷体_GBK" w:eastAsia="方正楷体_GBK" w:cs="方正楷体_GBK"/>
          <w:sz w:val="24"/>
          <w:szCs w:val="21"/>
          <w:lang w:val="en-US" w:eastAsia="zh-CN"/>
        </w:rPr>
      </w:pPr>
      <w:r>
        <w:rPr>
          <w:rFonts w:hint="eastAsia" w:ascii="方正楷体_GBK" w:hAnsi="方正楷体_GBK" w:eastAsia="方正楷体_GBK" w:cs="方正楷体_GBK"/>
          <w:sz w:val="24"/>
          <w:szCs w:val="21"/>
          <w:lang w:val="en-US" w:eastAsia="zh-CN"/>
        </w:rPr>
        <w:t>专栏24  打造农旅联动全域旅游精品路线</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1005" w:leftChars="0" w:hanging="1005" w:hangingChars="419"/>
        <w:textAlignment w:val="auto"/>
        <w:rPr>
          <w:rFonts w:hint="eastAsia" w:ascii="方正楷体_GBK" w:hAnsi="方正楷体_GBK" w:eastAsia="方正楷体_GBK" w:cs="方正楷体_GBK"/>
          <w:sz w:val="24"/>
          <w:szCs w:val="21"/>
          <w:lang w:val="en-US" w:eastAsia="zh-CN"/>
        </w:rPr>
      </w:pPr>
      <w:r>
        <w:rPr>
          <w:rFonts w:hint="eastAsia" w:ascii="方正楷体_GBK" w:hAnsi="方正楷体_GBK" w:eastAsia="方正楷体_GBK" w:cs="方正楷体_GBK"/>
          <w:sz w:val="24"/>
          <w:szCs w:val="21"/>
          <w:lang w:val="en-US" w:eastAsia="zh-CN"/>
        </w:rPr>
        <w:t>专栏25  《海南省休闲渔业发展规划（2019-2025年）》解读</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1005" w:leftChars="0" w:hanging="1005" w:hangingChars="419"/>
        <w:textAlignment w:val="auto"/>
        <w:rPr>
          <w:rFonts w:hint="eastAsia" w:ascii="方正楷体_GBK" w:hAnsi="方正楷体_GBK" w:eastAsia="方正楷体_GBK" w:cs="方正楷体_GBK"/>
          <w:sz w:val="24"/>
          <w:szCs w:val="21"/>
          <w:lang w:val="en-US" w:eastAsia="zh-CN"/>
        </w:rPr>
      </w:pPr>
      <w:r>
        <w:rPr>
          <w:rFonts w:hint="eastAsia" w:ascii="方正楷体_GBK" w:hAnsi="方正楷体_GBK" w:eastAsia="方正楷体_GBK" w:cs="方正楷体_GBK"/>
          <w:sz w:val="24"/>
          <w:szCs w:val="21"/>
          <w:lang w:val="en-US" w:eastAsia="zh-CN"/>
        </w:rPr>
        <w:t>专栏26  案例借鉴：国内外优秀的特色体育运动体验公园</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1005" w:leftChars="0" w:hanging="1005" w:hangingChars="419"/>
        <w:textAlignment w:val="auto"/>
        <w:rPr>
          <w:rFonts w:hint="eastAsia" w:ascii="方正楷体_GBK" w:hAnsi="方正楷体_GBK" w:eastAsia="方正楷体_GBK" w:cs="方正楷体_GBK"/>
          <w:sz w:val="24"/>
          <w:szCs w:val="21"/>
          <w:lang w:val="en-US" w:eastAsia="zh-CN"/>
        </w:rPr>
      </w:pPr>
      <w:r>
        <w:rPr>
          <w:rFonts w:hint="eastAsia" w:ascii="方正楷体_GBK" w:hAnsi="方正楷体_GBK" w:eastAsia="方正楷体_GBK" w:cs="方正楷体_GBK"/>
          <w:sz w:val="24"/>
          <w:szCs w:val="21"/>
          <w:lang w:val="en-US" w:eastAsia="zh-CN"/>
        </w:rPr>
        <w:t>专栏27  案例借鉴：奥兰多通过主题乐园成为美国第一大旅游目的地城市</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1005" w:leftChars="0" w:hanging="1005" w:hangingChars="419"/>
        <w:textAlignment w:val="auto"/>
        <w:rPr>
          <w:rFonts w:hint="eastAsia" w:ascii="方正楷体_GBK" w:hAnsi="方正楷体_GBK" w:eastAsia="方正楷体_GBK" w:cs="方正楷体_GBK"/>
          <w:sz w:val="24"/>
          <w:szCs w:val="21"/>
          <w:lang w:val="en-US" w:eastAsia="zh-CN"/>
        </w:rPr>
      </w:pPr>
      <w:r>
        <w:rPr>
          <w:rFonts w:hint="eastAsia" w:ascii="方正楷体_GBK" w:hAnsi="方正楷体_GBK" w:eastAsia="方正楷体_GBK" w:cs="方正楷体_GBK"/>
          <w:sz w:val="24"/>
          <w:szCs w:val="21"/>
          <w:lang w:val="en-US" w:eastAsia="zh-CN"/>
        </w:rPr>
        <w:t>专栏28  《全国沿海渔港建设规划（2018-2025年）》解读</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1005" w:leftChars="0" w:hanging="1005" w:hangingChars="419"/>
        <w:textAlignment w:val="auto"/>
        <w:rPr>
          <w:rFonts w:hint="eastAsia" w:ascii="方正楷体_GBK" w:hAnsi="方正楷体_GBK" w:eastAsia="方正楷体_GBK" w:cs="方正楷体_GBK"/>
          <w:sz w:val="24"/>
          <w:szCs w:val="21"/>
          <w:lang w:val="en-US" w:eastAsia="zh-CN"/>
        </w:rPr>
      </w:pPr>
      <w:r>
        <w:rPr>
          <w:rFonts w:hint="eastAsia" w:ascii="方正楷体_GBK" w:hAnsi="方正楷体_GBK" w:eastAsia="方正楷体_GBK" w:cs="方正楷体_GBK"/>
          <w:sz w:val="24"/>
          <w:szCs w:val="21"/>
          <w:lang w:val="en-US" w:eastAsia="zh-CN"/>
        </w:rPr>
        <w:t>专栏29  “4·13”以来主要领导在三亚市（崖州区）开展自贸区（港）建设调研活动时提出的要求</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1005" w:leftChars="0" w:hanging="1005" w:hangingChars="419"/>
        <w:textAlignment w:val="auto"/>
        <w:rPr>
          <w:rFonts w:hint="eastAsia" w:ascii="方正楷体_GBK" w:hAnsi="方正楷体_GBK" w:eastAsia="方正楷体_GBK" w:cs="方正楷体_GBK"/>
          <w:sz w:val="24"/>
          <w:szCs w:val="21"/>
          <w:lang w:val="en-US" w:eastAsia="zh-CN"/>
        </w:rPr>
      </w:pPr>
      <w:r>
        <w:rPr>
          <w:rFonts w:hint="eastAsia" w:ascii="方正楷体_GBK" w:hAnsi="方正楷体_GBK" w:eastAsia="方正楷体_GBK" w:cs="方正楷体_GBK"/>
          <w:sz w:val="24"/>
          <w:szCs w:val="21"/>
          <w:lang w:val="en-US" w:eastAsia="zh-CN"/>
        </w:rPr>
        <w:t>专栏30  海南及大三亚区域战略定位、产业定位梳理</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1005" w:leftChars="0" w:hanging="1005" w:hangingChars="419"/>
        <w:textAlignment w:val="auto"/>
        <w:rPr>
          <w:rFonts w:hint="eastAsia" w:ascii="方正楷体_GBK" w:hAnsi="方正楷体_GBK" w:eastAsia="方正楷体_GBK" w:cs="方正楷体_GBK"/>
          <w:sz w:val="24"/>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1005" w:leftChars="0" w:hanging="1005" w:hangingChars="419"/>
        <w:textAlignment w:val="auto"/>
        <w:rPr>
          <w:rFonts w:hint="eastAsia" w:ascii="方正楷体_GBK" w:hAnsi="方正楷体_GBK" w:eastAsia="方正楷体_GBK" w:cs="方正楷体_GBK"/>
          <w:sz w:val="24"/>
          <w:szCs w:val="21"/>
          <w:lang w:val="en-US" w:eastAsia="zh-CN"/>
        </w:rPr>
        <w:sectPr>
          <w:pgSz w:w="11906" w:h="16838"/>
          <w:pgMar w:top="1440" w:right="1800" w:bottom="1440" w:left="1800" w:header="851" w:footer="992" w:gutter="0"/>
          <w:cols w:space="425" w:num="1"/>
          <w:docGrid w:type="lines" w:linePitch="312" w:charSpace="0"/>
        </w:sect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pStyle w:val="2"/>
        <w:bidi w:val="0"/>
        <w:rPr>
          <w:rFonts w:hint="eastAsia"/>
          <w:lang w:val="en-US" w:eastAsia="zh-CN"/>
        </w:rPr>
      </w:pPr>
      <w:bookmarkStart w:id="0" w:name="_Toc6740"/>
      <w:bookmarkStart w:id="1" w:name="_Toc4037"/>
      <w:bookmarkStart w:id="2" w:name="_Toc12317"/>
      <w:r>
        <w:rPr>
          <w:rFonts w:hint="eastAsia"/>
          <w:lang w:val="en-US" w:eastAsia="zh-CN"/>
        </w:rPr>
        <w:t>第一章  导言</w:t>
      </w:r>
      <w:bookmarkEnd w:id="0"/>
      <w:bookmarkEnd w:id="1"/>
      <w:bookmarkEnd w:id="2"/>
    </w:p>
    <w:p>
      <w:pPr>
        <w:rPr>
          <w:rFonts w:hint="eastAsia"/>
          <w:lang w:val="en-US" w:eastAsia="zh-CN"/>
        </w:rPr>
      </w:pPr>
      <w:r>
        <w:rPr>
          <w:rFonts w:hint="eastAsia"/>
          <w:lang w:val="en-US" w:eastAsia="zh-CN"/>
        </w:rPr>
        <w:br w:type="page"/>
      </w:r>
    </w:p>
    <w:p>
      <w:pPr>
        <w:pStyle w:val="3"/>
        <w:bidi w:val="0"/>
        <w:rPr>
          <w:rFonts w:hint="default"/>
          <w:lang w:val="en-US" w:eastAsia="zh-CN"/>
        </w:rPr>
      </w:pPr>
      <w:bookmarkStart w:id="3" w:name="_Toc1559"/>
      <w:bookmarkStart w:id="4" w:name="_Toc7112"/>
      <w:bookmarkStart w:id="5" w:name="_Toc4298"/>
      <w:r>
        <w:rPr>
          <w:rFonts w:hint="eastAsia"/>
          <w:lang w:val="en-US" w:eastAsia="zh-CN"/>
        </w:rPr>
        <w:t>第一节  基本概况</w:t>
      </w:r>
      <w:bookmarkEnd w:id="3"/>
      <w:bookmarkEnd w:id="4"/>
      <w:bookmarkEnd w:id="5"/>
    </w:p>
    <w:p>
      <w:pPr>
        <w:pStyle w:val="4"/>
        <w:bidi w:val="0"/>
        <w:rPr>
          <w:rFonts w:hint="default"/>
          <w:lang w:val="en-US" w:eastAsia="zh-CN"/>
        </w:rPr>
      </w:pPr>
      <w:bookmarkStart w:id="6" w:name="_Toc21188"/>
      <w:bookmarkStart w:id="7" w:name="_Toc16436"/>
      <w:bookmarkStart w:id="8" w:name="_Toc5414"/>
      <w:r>
        <w:rPr>
          <w:rFonts w:hint="eastAsia"/>
          <w:lang w:val="en-US" w:eastAsia="zh-CN"/>
        </w:rPr>
        <w:t>一、背景</w:t>
      </w:r>
      <w:bookmarkEnd w:id="6"/>
      <w:bookmarkEnd w:id="7"/>
      <w:bookmarkEnd w:id="8"/>
    </w:p>
    <w:p>
      <w:pPr>
        <w:bidi w:val="0"/>
        <w:rPr>
          <w:rFonts w:hint="eastAsia"/>
          <w:lang w:val="en-US" w:eastAsia="zh-CN"/>
        </w:rPr>
      </w:pPr>
      <w:r>
        <w:rPr>
          <w:rFonts w:hint="eastAsia"/>
          <w:lang w:val="en-US" w:eastAsia="zh-CN"/>
        </w:rPr>
        <w:t>“十四五”时期是我国产业发展从规模增长向质量提升的关键期，是海南建设自贸港、融入全球产业大格局的攻坚期，是三亚打造“五个城市”（打造生态旅游消费城市、文化体育健康城市、科技创新智慧城市、金融法治服务城市、开放之城）的关键期。</w:t>
      </w:r>
    </w:p>
    <w:p>
      <w:pPr>
        <w:bidi w:val="0"/>
        <w:rPr>
          <w:rFonts w:hint="default"/>
          <w:lang w:val="en-US" w:eastAsia="zh-CN"/>
        </w:rPr>
      </w:pPr>
      <w:r>
        <w:rPr>
          <w:rFonts w:hint="eastAsia"/>
          <w:lang w:val="en-US" w:eastAsia="zh-CN"/>
        </w:rPr>
        <w:t>崖州是海南历史最悠久的城郡，崖州区2015年1月撤镇设区，是海南最年轻的市辖区（除三沙市西沙区、南沙区）。崖州区是国内重要的反季节瓜菜和热带水果生产基地，拥有国内最大的南繁育种基地。在崖州区成立以来GDP年均增速达到7.9%（实际价格，下同），不考虑疫情影响到2019年年均增速达到9.1%，在国内外变化复杂的形势下实现了高速增长，三产比重超过了一产，实现由农业区向服务业区的转变。“十三五”时期也是三亚崖州湾科技城在崖州区全面起航的关键期，为崖州发展注入前所未有的动力，使崖州由偏居南疆一隅的千年古城一跃成为走在先端科技前沿的未来之城，崖州又一次成为国家级重大战略的落子之地。</w:t>
      </w:r>
    </w:p>
    <w:p>
      <w:pPr>
        <w:bidi w:val="0"/>
        <w:rPr>
          <w:rFonts w:hint="default"/>
          <w:lang w:val="en-US" w:eastAsia="zh-CN"/>
        </w:rPr>
      </w:pPr>
      <w:r>
        <w:rPr>
          <w:rFonts w:hint="default"/>
          <w:lang w:val="en-US" w:eastAsia="zh-CN"/>
        </w:rPr>
        <w:t>站在新的历史起点上，</w:t>
      </w:r>
      <w:r>
        <w:rPr>
          <w:rFonts w:hint="eastAsia"/>
          <w:lang w:val="en-US" w:eastAsia="zh-CN"/>
        </w:rPr>
        <w:t>在崖州湾科技城的强力带动辐射下，崖州区正在迎来新经济、新模式、新业态的系列变革。综合来看，崖州区经济发展起步期已经毕业，正在进入快速发展的上升期，这一期间传统优势产业亟需整合升级、做大做强、迅速占领区域和行业头部位置，新兴产业需要坚定方向、大力培育、突破不稳定的萌芽阶段进入良性发展轨道。整体看“十四五”时期，国家战略和海南系列政策给崖州带来了良好的外部机遇，传统消费升级和后疫情时代消费变革给崖州营造了向好的产业环境。尽管崖州的发展基础较为薄弱，但“一张白纸好画图”，崖州推进经济转型升级的历史惯性阻力较小，战略性留白保存下来的空间资源为崖州发展提供了各种可能。</w:t>
      </w:r>
    </w:p>
    <w:p>
      <w:pPr>
        <w:bidi w:val="0"/>
        <w:rPr>
          <w:rFonts w:hint="eastAsia"/>
          <w:lang w:val="en-US" w:eastAsia="zh-CN"/>
        </w:rPr>
      </w:pPr>
      <w:r>
        <w:rPr>
          <w:rFonts w:hint="eastAsia"/>
          <w:lang w:val="en-US" w:eastAsia="zh-CN"/>
        </w:rPr>
        <w:t>为</w:t>
      </w:r>
      <w:r>
        <w:rPr>
          <w:rFonts w:hint="default"/>
          <w:lang w:val="en-US" w:eastAsia="zh-CN"/>
        </w:rPr>
        <w:t>科学谋划</w:t>
      </w:r>
      <w:r>
        <w:rPr>
          <w:rFonts w:hint="eastAsia"/>
          <w:lang w:val="en-US" w:eastAsia="zh-CN"/>
        </w:rPr>
        <w:t>崖州</w:t>
      </w:r>
      <w:r>
        <w:rPr>
          <w:rFonts w:hint="default"/>
          <w:lang w:val="en-US" w:eastAsia="zh-CN"/>
        </w:rPr>
        <w:t>未来五年</w:t>
      </w:r>
      <w:r>
        <w:rPr>
          <w:rFonts w:hint="eastAsia"/>
          <w:lang w:val="en-US" w:eastAsia="zh-CN"/>
        </w:rPr>
        <w:t>及更长远时期</w:t>
      </w:r>
      <w:r>
        <w:rPr>
          <w:rFonts w:hint="default"/>
          <w:lang w:val="en-US" w:eastAsia="zh-CN"/>
        </w:rPr>
        <w:t>产业发展，</w:t>
      </w:r>
      <w:r>
        <w:rPr>
          <w:rFonts w:hint="eastAsia"/>
          <w:lang w:val="en-US" w:eastAsia="zh-CN"/>
        </w:rPr>
        <w:t>高瞻远瞩布局</w:t>
      </w:r>
      <w:r>
        <w:rPr>
          <w:rFonts w:hint="default"/>
          <w:lang w:val="en-US" w:eastAsia="zh-CN"/>
        </w:rPr>
        <w:t>前沿产业领域，</w:t>
      </w:r>
      <w:r>
        <w:rPr>
          <w:rFonts w:hint="eastAsia"/>
          <w:lang w:val="en-US" w:eastAsia="zh-CN"/>
        </w:rPr>
        <w:t>优化提升整合传统优势产业，</w:t>
      </w:r>
      <w:r>
        <w:rPr>
          <w:rFonts w:hint="default"/>
          <w:lang w:val="en-US" w:eastAsia="zh-CN"/>
        </w:rPr>
        <w:t>构建现代产业体系，</w:t>
      </w:r>
      <w:r>
        <w:rPr>
          <w:rFonts w:hint="eastAsia"/>
          <w:lang w:val="en-US" w:eastAsia="zh-CN"/>
        </w:rPr>
        <w:t>提高崖州保障国家战略的能力，提升崖州在大三亚经济圈中的地位，启动《三亚市崖州区产业发展研究报告》编制工作，为崖州产业发展指明方向。</w:t>
      </w:r>
    </w:p>
    <w:p>
      <w:pPr>
        <w:pStyle w:val="4"/>
        <w:bidi w:val="0"/>
        <w:rPr>
          <w:rFonts w:hint="default"/>
          <w:lang w:val="en-US" w:eastAsia="zh-CN"/>
        </w:rPr>
      </w:pPr>
      <w:bookmarkStart w:id="9" w:name="_Toc12599"/>
      <w:bookmarkStart w:id="10" w:name="_Toc26331"/>
      <w:bookmarkStart w:id="11" w:name="_Toc22099"/>
      <w:r>
        <w:rPr>
          <w:rFonts w:hint="eastAsia"/>
          <w:lang w:val="en-US" w:eastAsia="zh-CN"/>
        </w:rPr>
        <w:t>二、规划范围</w:t>
      </w:r>
      <w:bookmarkEnd w:id="9"/>
      <w:bookmarkEnd w:id="10"/>
      <w:bookmarkEnd w:id="11"/>
    </w:p>
    <w:p>
      <w:pPr>
        <w:bidi w:val="0"/>
        <w:rPr>
          <w:rFonts w:hint="eastAsia"/>
          <w:lang w:val="en-US" w:eastAsia="zh-CN"/>
        </w:rPr>
      </w:pPr>
      <w:r>
        <w:rPr>
          <w:rFonts w:hint="eastAsia"/>
          <w:lang w:val="en-US" w:eastAsia="zh-CN"/>
        </w:rPr>
        <w:t>《三亚市崖州区产业发展研究报告》的空间范围为三亚市崖州区，不包括三亚崖州湾科技城的产业发展。崖州区位于海南岛南端三亚市的西部，北、西接乐东县，东临天涯区，南依南海，陆地面积350.58平方公里，辖32个村（社区）居，88个自然村。</w:t>
      </w:r>
    </w:p>
    <w:p>
      <w:pPr>
        <w:bidi w:val="0"/>
        <w:rPr>
          <w:rFonts w:hint="eastAsia"/>
          <w:lang w:val="en-US" w:eastAsia="zh-CN"/>
        </w:rPr>
      </w:pPr>
      <w:r>
        <w:rPr>
          <w:rFonts w:hint="eastAsia"/>
          <w:lang w:val="en-US" w:eastAsia="zh-CN"/>
        </w:rPr>
        <w:t>规划的产业范围为第一产业、第二产业、第三产业。</w:t>
      </w:r>
    </w:p>
    <w:p>
      <w:pPr>
        <w:bidi w:val="0"/>
        <w:spacing w:line="240" w:lineRule="auto"/>
        <w:ind w:firstLine="0" w:firstLineChars="0"/>
        <w:jc w:val="center"/>
        <w:rPr>
          <w:rFonts w:hint="eastAsia" w:ascii="楷体" w:hAnsi="楷体" w:eastAsia="楷体" w:cs="楷体"/>
          <w:b w:val="0"/>
          <w:bCs w:val="0"/>
          <w:sz w:val="28"/>
          <w:szCs w:val="28"/>
          <w:lang w:val="en-US" w:eastAsia="zh-CN"/>
        </w:rPr>
      </w:pPr>
    </w:p>
    <w:p>
      <w:pPr>
        <w:bidi w:val="0"/>
        <w:spacing w:line="240" w:lineRule="auto"/>
        <w:ind w:firstLine="0" w:firstLineChars="0"/>
        <w:jc w:val="center"/>
        <w:rPr>
          <w:rFonts w:hint="eastAsia" w:ascii="楷体" w:hAnsi="楷体" w:eastAsia="楷体" w:cs="楷体"/>
          <w:b w:val="0"/>
          <w:bCs w:val="0"/>
          <w:sz w:val="28"/>
          <w:szCs w:val="28"/>
          <w:lang w:val="en-US" w:eastAsia="zh-CN"/>
        </w:rPr>
      </w:pPr>
      <w:r>
        <w:rPr>
          <w:rFonts w:hint="eastAsia" w:ascii="楷体" w:hAnsi="楷体" w:eastAsia="楷体" w:cs="楷体"/>
          <w:b w:val="0"/>
          <w:bCs w:val="0"/>
          <w:sz w:val="28"/>
          <w:szCs w:val="28"/>
          <w:lang w:val="en-US" w:eastAsia="zh-CN"/>
        </w:rPr>
        <w:t>表1  崖州区社区乡村的范型和数量</w:t>
      </w:r>
    </w:p>
    <w:tbl>
      <w:tblPr>
        <w:tblStyle w:val="1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60"/>
        <w:gridCol w:w="1061"/>
        <w:gridCol w:w="64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060" w:type="dxa"/>
            <w:tcBorders>
              <w:top w:val="thinThickSmallGap" w:color="A4A4A4" w:sz="12"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bCs/>
                <w:i w:val="0"/>
                <w:color w:val="000000"/>
                <w:kern w:val="2"/>
                <w:sz w:val="24"/>
                <w:szCs w:val="24"/>
                <w:u w:val="none"/>
                <w:lang w:val="en-US" w:eastAsia="zh-CN" w:bidi="ar"/>
              </w:rPr>
            </w:pPr>
            <w:r>
              <w:rPr>
                <w:rFonts w:hint="eastAsia" w:ascii="楷体" w:hAnsi="楷体" w:eastAsia="楷体" w:cs="楷体"/>
                <w:b/>
                <w:bCs/>
                <w:i w:val="0"/>
                <w:color w:val="000000"/>
                <w:kern w:val="2"/>
                <w:sz w:val="24"/>
                <w:szCs w:val="24"/>
                <w:u w:val="none"/>
                <w:lang w:val="en-US" w:eastAsia="zh-CN" w:bidi="ar"/>
              </w:rPr>
              <w:t>范型</w:t>
            </w:r>
          </w:p>
        </w:tc>
        <w:tc>
          <w:tcPr>
            <w:tcW w:w="1061" w:type="dxa"/>
            <w:tcBorders>
              <w:top w:val="thinThickSmallGap" w:color="A4A4A4" w:sz="12"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bCs/>
                <w:i w:val="0"/>
                <w:color w:val="000000"/>
                <w:kern w:val="2"/>
                <w:sz w:val="24"/>
                <w:szCs w:val="24"/>
                <w:u w:val="none"/>
                <w:lang w:val="en-US" w:eastAsia="zh-CN" w:bidi="ar"/>
              </w:rPr>
            </w:pPr>
            <w:r>
              <w:rPr>
                <w:rFonts w:hint="eastAsia" w:ascii="楷体" w:hAnsi="楷体" w:eastAsia="楷体" w:cs="楷体"/>
                <w:b/>
                <w:bCs/>
                <w:i w:val="0"/>
                <w:color w:val="000000"/>
                <w:kern w:val="2"/>
                <w:sz w:val="24"/>
                <w:szCs w:val="24"/>
                <w:u w:val="none"/>
                <w:lang w:val="en-US" w:eastAsia="zh-CN" w:bidi="ar"/>
              </w:rPr>
              <w:t>数量</w:t>
            </w:r>
          </w:p>
        </w:tc>
        <w:tc>
          <w:tcPr>
            <w:tcW w:w="6401" w:type="dxa"/>
            <w:tcBorders>
              <w:top w:val="thinThickSmallGap" w:color="A4A4A4" w:sz="12"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bCs/>
                <w:i w:val="0"/>
                <w:color w:val="000000"/>
                <w:kern w:val="2"/>
                <w:sz w:val="24"/>
                <w:szCs w:val="24"/>
                <w:u w:val="none"/>
                <w:lang w:val="en-US" w:eastAsia="zh-CN" w:bidi="ar"/>
              </w:rPr>
            </w:pPr>
            <w:r>
              <w:rPr>
                <w:rFonts w:hint="eastAsia" w:ascii="楷体" w:hAnsi="楷体" w:eastAsia="楷体" w:cs="楷体"/>
                <w:b/>
                <w:bCs/>
                <w:i w:val="0"/>
                <w:color w:val="000000"/>
                <w:kern w:val="2"/>
                <w:sz w:val="24"/>
                <w:szCs w:val="24"/>
                <w:u w:val="none"/>
                <w:lang w:val="en-US" w:eastAsia="zh-CN" w:bidi="ar"/>
              </w:rPr>
              <w:t>社区、乡村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06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color w:val="000000"/>
                <w:kern w:val="2"/>
                <w:sz w:val="24"/>
                <w:szCs w:val="24"/>
                <w:u w:val="none"/>
                <w:lang w:val="en-US" w:eastAsia="zh-CN" w:bidi="ar"/>
              </w:rPr>
            </w:pPr>
            <w:r>
              <w:rPr>
                <w:rFonts w:hint="default" w:ascii="楷体" w:hAnsi="楷体" w:eastAsia="楷体" w:cs="楷体"/>
                <w:b w:val="0"/>
                <w:bCs w:val="0"/>
                <w:i w:val="0"/>
                <w:color w:val="000000"/>
                <w:kern w:val="2"/>
                <w:sz w:val="24"/>
                <w:szCs w:val="24"/>
                <w:u w:val="none"/>
                <w:lang w:val="en-US" w:eastAsia="zh-CN" w:bidi="ar"/>
              </w:rPr>
              <w:t>滨海型</w:t>
            </w:r>
          </w:p>
        </w:tc>
        <w:tc>
          <w:tcPr>
            <w:tcW w:w="106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13个</w:t>
            </w:r>
          </w:p>
        </w:tc>
        <w:tc>
          <w:tcPr>
            <w:tcW w:w="640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color w:val="000000"/>
                <w:kern w:val="2"/>
                <w:sz w:val="24"/>
                <w:szCs w:val="24"/>
                <w:u w:val="none"/>
                <w:lang w:val="en-US" w:eastAsia="zh-CN" w:bidi="ar"/>
              </w:rPr>
            </w:pPr>
            <w:r>
              <w:rPr>
                <w:rFonts w:hint="default" w:ascii="楷体" w:hAnsi="楷体" w:eastAsia="楷体" w:cs="楷体"/>
                <w:b w:val="0"/>
                <w:bCs w:val="0"/>
                <w:i w:val="0"/>
                <w:color w:val="000000"/>
                <w:kern w:val="2"/>
                <w:sz w:val="24"/>
                <w:szCs w:val="24"/>
                <w:u w:val="none"/>
                <w:lang w:val="en-US" w:eastAsia="zh-CN" w:bidi="ar"/>
              </w:rPr>
              <w:t>雀信社区、文明社区、龙港社区、中和社区、东京社区、梅联社区、梅西村、梅东村、长山村、镇海村、盐灶村、乾隆村、大蛋村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06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color w:val="000000"/>
                <w:kern w:val="2"/>
                <w:sz w:val="24"/>
                <w:szCs w:val="24"/>
                <w:u w:val="none"/>
                <w:lang w:val="en-US" w:eastAsia="zh-CN" w:bidi="ar"/>
              </w:rPr>
            </w:pPr>
            <w:r>
              <w:rPr>
                <w:rFonts w:hint="default" w:ascii="楷体" w:hAnsi="楷体" w:eastAsia="楷体" w:cs="楷体"/>
                <w:b w:val="0"/>
                <w:bCs w:val="0"/>
                <w:i w:val="0"/>
                <w:color w:val="000000"/>
                <w:kern w:val="2"/>
                <w:sz w:val="24"/>
                <w:szCs w:val="24"/>
                <w:u w:val="none"/>
                <w:lang w:val="en-US" w:eastAsia="zh-CN" w:bidi="ar"/>
              </w:rPr>
              <w:t>依山型</w:t>
            </w:r>
          </w:p>
        </w:tc>
        <w:tc>
          <w:tcPr>
            <w:tcW w:w="106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9个</w:t>
            </w:r>
          </w:p>
        </w:tc>
        <w:tc>
          <w:tcPr>
            <w:tcW w:w="640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color w:val="000000"/>
                <w:kern w:val="2"/>
                <w:sz w:val="24"/>
                <w:szCs w:val="24"/>
                <w:u w:val="none"/>
                <w:lang w:val="en-US" w:eastAsia="zh-CN" w:bidi="ar"/>
              </w:rPr>
            </w:pPr>
            <w:r>
              <w:rPr>
                <w:rFonts w:hint="default" w:ascii="楷体" w:hAnsi="楷体" w:eastAsia="楷体" w:cs="楷体"/>
                <w:b w:val="0"/>
                <w:bCs w:val="0"/>
                <w:i w:val="0"/>
                <w:color w:val="000000"/>
                <w:kern w:val="2"/>
                <w:sz w:val="24"/>
                <w:szCs w:val="24"/>
                <w:u w:val="none"/>
                <w:lang w:val="en-US" w:eastAsia="zh-CN" w:bidi="ar"/>
              </w:rPr>
              <w:t>抱古村、北岭村、赤草村、海棠村、三更村、凤岭村、南山村、三公里村、雅安村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06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color w:val="000000"/>
                <w:kern w:val="2"/>
                <w:sz w:val="24"/>
                <w:szCs w:val="24"/>
                <w:u w:val="none"/>
                <w:lang w:val="en-US" w:eastAsia="zh-CN" w:bidi="ar"/>
              </w:rPr>
            </w:pPr>
            <w:r>
              <w:rPr>
                <w:rFonts w:hint="default" w:ascii="楷体" w:hAnsi="楷体" w:eastAsia="楷体" w:cs="楷体"/>
                <w:b w:val="0"/>
                <w:bCs w:val="0"/>
                <w:i w:val="0"/>
                <w:color w:val="000000"/>
                <w:kern w:val="2"/>
                <w:sz w:val="24"/>
                <w:szCs w:val="24"/>
                <w:u w:val="none"/>
                <w:lang w:val="en-US" w:eastAsia="zh-CN" w:bidi="ar"/>
              </w:rPr>
              <w:t>环城型</w:t>
            </w:r>
          </w:p>
        </w:tc>
        <w:tc>
          <w:tcPr>
            <w:tcW w:w="106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8个</w:t>
            </w:r>
          </w:p>
        </w:tc>
        <w:tc>
          <w:tcPr>
            <w:tcW w:w="640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color w:val="000000"/>
                <w:kern w:val="2"/>
                <w:sz w:val="24"/>
                <w:szCs w:val="24"/>
                <w:u w:val="none"/>
                <w:lang w:val="en-US" w:eastAsia="zh-CN" w:bidi="ar"/>
              </w:rPr>
            </w:pPr>
            <w:r>
              <w:rPr>
                <w:rFonts w:hint="default" w:ascii="楷体" w:hAnsi="楷体" w:eastAsia="楷体" w:cs="楷体"/>
                <w:b w:val="0"/>
                <w:bCs w:val="0"/>
                <w:i w:val="0"/>
                <w:color w:val="000000"/>
                <w:kern w:val="2"/>
                <w:sz w:val="24"/>
                <w:szCs w:val="24"/>
                <w:u w:val="none"/>
                <w:lang w:val="en-US" w:eastAsia="zh-CN" w:bidi="ar"/>
              </w:rPr>
              <w:t>东关社区、城西村、城东村、西关村、崖城村、拱北村、南滨居、临高村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060" w:type="dxa"/>
            <w:tcBorders>
              <w:bottom w:val="thickThinSmallGap" w:color="A4A4A4" w:sz="12"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color w:val="000000"/>
                <w:kern w:val="2"/>
                <w:sz w:val="24"/>
                <w:szCs w:val="24"/>
                <w:u w:val="none"/>
                <w:lang w:val="en-US" w:eastAsia="zh-CN" w:bidi="ar"/>
              </w:rPr>
            </w:pPr>
            <w:r>
              <w:rPr>
                <w:rFonts w:hint="default" w:ascii="楷体" w:hAnsi="楷体" w:eastAsia="楷体" w:cs="楷体"/>
                <w:b w:val="0"/>
                <w:bCs w:val="0"/>
                <w:i w:val="0"/>
                <w:color w:val="000000"/>
                <w:kern w:val="2"/>
                <w:sz w:val="24"/>
                <w:szCs w:val="24"/>
                <w:u w:val="none"/>
                <w:lang w:val="en-US" w:eastAsia="zh-CN" w:bidi="ar"/>
              </w:rPr>
              <w:t>特色型</w:t>
            </w:r>
          </w:p>
        </w:tc>
        <w:tc>
          <w:tcPr>
            <w:tcW w:w="1061" w:type="dxa"/>
            <w:tcBorders>
              <w:bottom w:val="thickThinSmallGap" w:color="A4A4A4" w:sz="12"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2个</w:t>
            </w:r>
          </w:p>
        </w:tc>
        <w:tc>
          <w:tcPr>
            <w:tcW w:w="6401" w:type="dxa"/>
            <w:tcBorders>
              <w:bottom w:val="thickThinSmallGap" w:color="A4A4A4" w:sz="12"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color w:val="000000"/>
                <w:kern w:val="2"/>
                <w:sz w:val="24"/>
                <w:szCs w:val="24"/>
                <w:u w:val="none"/>
                <w:lang w:val="en-US" w:eastAsia="zh-CN" w:bidi="ar"/>
              </w:rPr>
            </w:pPr>
            <w:r>
              <w:rPr>
                <w:rFonts w:hint="default" w:ascii="楷体" w:hAnsi="楷体" w:eastAsia="楷体" w:cs="楷体"/>
                <w:b w:val="0"/>
                <w:bCs w:val="0"/>
                <w:i w:val="0"/>
                <w:color w:val="000000"/>
                <w:kern w:val="2"/>
                <w:sz w:val="24"/>
                <w:szCs w:val="24"/>
                <w:u w:val="none"/>
                <w:lang w:val="en-US" w:eastAsia="zh-CN" w:bidi="ar"/>
              </w:rPr>
              <w:t>水南村、保平村</w:t>
            </w:r>
          </w:p>
        </w:tc>
      </w:tr>
    </w:tbl>
    <w:p>
      <w:pPr>
        <w:pStyle w:val="4"/>
        <w:bidi w:val="0"/>
        <w:rPr>
          <w:rFonts w:hint="eastAsia"/>
          <w:lang w:val="en-US" w:eastAsia="zh-CN"/>
        </w:rPr>
      </w:pPr>
      <w:bookmarkStart w:id="12" w:name="_Toc8059"/>
      <w:bookmarkStart w:id="13" w:name="_Toc13188"/>
      <w:bookmarkStart w:id="14" w:name="_Toc11115"/>
      <w:r>
        <w:rPr>
          <w:rFonts w:hint="eastAsia"/>
          <w:lang w:val="en-US" w:eastAsia="zh-CN"/>
        </w:rPr>
        <w:t>三、规划期限</w:t>
      </w:r>
      <w:bookmarkEnd w:id="12"/>
      <w:bookmarkEnd w:id="13"/>
      <w:bookmarkEnd w:id="14"/>
    </w:p>
    <w:p>
      <w:pPr>
        <w:bidi w:val="0"/>
        <w:rPr>
          <w:rFonts w:hint="default"/>
          <w:lang w:val="en-US" w:eastAsia="zh-CN"/>
        </w:rPr>
      </w:pPr>
      <w:r>
        <w:rPr>
          <w:rFonts w:hint="eastAsia"/>
          <w:lang w:val="en-US" w:eastAsia="zh-CN"/>
        </w:rPr>
        <w:t>规划的战略愿景、产业定位、产业体系、空间结构着眼于2035年，与海南自贸港建设时序一致。</w:t>
      </w:r>
    </w:p>
    <w:p>
      <w:pPr>
        <w:bidi w:val="0"/>
        <w:rPr>
          <w:rFonts w:hint="default"/>
          <w:lang w:val="en-US" w:eastAsia="zh-CN"/>
        </w:rPr>
      </w:pPr>
      <w:r>
        <w:rPr>
          <w:rFonts w:hint="eastAsia"/>
          <w:lang w:val="en-US" w:eastAsia="zh-CN"/>
        </w:rPr>
        <w:t>规划的项目策划、招商建议着眼于2025年，与海南自贸港“早期安排、早期收获”和“十四五”发展阶段一致。</w:t>
      </w:r>
    </w:p>
    <w:p>
      <w:pPr>
        <w:bidi w:val="0"/>
        <w:rPr>
          <w:rFonts w:hint="eastAsia"/>
          <w:lang w:val="en-US" w:eastAsia="zh-CN"/>
        </w:rPr>
      </w:pPr>
      <w:r>
        <w:rPr>
          <w:rFonts w:hint="eastAsia"/>
          <w:lang w:val="en-US" w:eastAsia="zh-CN"/>
        </w:rPr>
        <w:t>规划的基础数据以崖州区建区以来（2015-2020年）为主，部分更新较慢的数据采用2018年、2019年数据。</w:t>
      </w:r>
    </w:p>
    <w:p>
      <w:pPr>
        <w:pStyle w:val="3"/>
        <w:bidi w:val="0"/>
        <w:rPr>
          <w:rFonts w:hint="default"/>
          <w:lang w:val="en-US" w:eastAsia="zh-CN"/>
        </w:rPr>
      </w:pPr>
      <w:bookmarkStart w:id="15" w:name="_Toc13947"/>
      <w:bookmarkStart w:id="16" w:name="_Toc30412"/>
      <w:bookmarkStart w:id="17" w:name="_Toc13336"/>
      <w:r>
        <w:rPr>
          <w:rFonts w:hint="eastAsia"/>
          <w:lang w:val="en-US" w:eastAsia="zh-CN"/>
        </w:rPr>
        <w:t>第二节  崖州战略机遇解读</w:t>
      </w:r>
      <w:bookmarkEnd w:id="15"/>
      <w:bookmarkEnd w:id="16"/>
      <w:bookmarkEnd w:id="17"/>
    </w:p>
    <w:p>
      <w:pPr>
        <w:pStyle w:val="4"/>
        <w:numPr>
          <w:ilvl w:val="0"/>
          <w:numId w:val="1"/>
        </w:numPr>
        <w:bidi w:val="0"/>
        <w:rPr>
          <w:rFonts w:hint="eastAsia"/>
          <w:lang w:val="en-US" w:eastAsia="zh-CN"/>
        </w:rPr>
      </w:pPr>
      <w:bookmarkStart w:id="18" w:name="_Toc3576"/>
      <w:bookmarkStart w:id="19" w:name="_Toc19560"/>
      <w:bookmarkStart w:id="20" w:name="_Toc12902"/>
      <w:r>
        <w:rPr>
          <w:rFonts w:hint="eastAsia"/>
          <w:lang w:val="en-US" w:eastAsia="zh-CN"/>
        </w:rPr>
        <w:t>中央决定建设海南自由贸易港，赋予崖州产业发展新机遇</w:t>
      </w:r>
      <w:bookmarkEnd w:id="18"/>
      <w:bookmarkEnd w:id="19"/>
      <w:bookmarkEnd w:id="20"/>
    </w:p>
    <w:p>
      <w:pPr>
        <w:rPr>
          <w:rFonts w:hint="eastAsia"/>
          <w:lang w:val="en-US" w:eastAsia="zh-CN"/>
        </w:rPr>
      </w:pPr>
      <w:r>
        <w:rPr>
          <w:rFonts w:hint="eastAsia" w:ascii="仿宋_GB2312" w:eastAsia="仿宋_GB2312"/>
          <w:lang w:val="en-US" w:eastAsia="zh-CN"/>
        </w:rPr>
        <w:fldChar w:fldCharType="begin"/>
      </w:r>
      <w:r>
        <w:rPr>
          <w:rFonts w:hint="eastAsia" w:ascii="仿宋_GB2312" w:eastAsia="仿宋_GB2312"/>
          <w:lang w:val="en-US" w:eastAsia="zh-CN"/>
        </w:rPr>
        <w:instrText xml:space="preserve"> HYPERLINK "http://www.baidu.com/link?url=xhzqvgGel3I48f6Fo2MKTzYFObxaIBRKZLSVniclykd8RUFsztjFNoOMohGBxjNn6J1u2xoQJCcaB1woyE6poa" \t "https://www.baidu.com/_blank" </w:instrText>
      </w:r>
      <w:r>
        <w:rPr>
          <w:rFonts w:hint="eastAsia" w:ascii="仿宋_GB2312" w:eastAsia="仿宋_GB2312"/>
          <w:lang w:val="en-US" w:eastAsia="zh-CN"/>
        </w:rPr>
        <w:fldChar w:fldCharType="separate"/>
      </w:r>
      <w:r>
        <w:rPr>
          <w:rFonts w:hint="eastAsia" w:ascii="仿宋_GB2312" w:eastAsia="仿宋_GB2312"/>
          <w:lang w:val="en-US" w:eastAsia="zh-CN"/>
        </w:rPr>
        <w:t>“世界处于百年未有之大变局”</w:t>
      </w:r>
      <w:r>
        <w:rPr>
          <w:rFonts w:hint="eastAsia" w:ascii="仿宋_GB2312" w:eastAsia="仿宋_GB2312"/>
          <w:lang w:val="en-US" w:eastAsia="zh-CN"/>
        </w:rPr>
        <w:fldChar w:fldCharType="end"/>
      </w:r>
      <w:r>
        <w:rPr>
          <w:rFonts w:hint="eastAsia"/>
          <w:lang w:val="en-US" w:eastAsia="zh-CN"/>
        </w:rPr>
        <w:t>，当今世界正在经历新一轮大发展大变革大调整，保护主义、单边主义抬头，经济全球化遭遇更大的逆风和回头浪。</w:t>
      </w:r>
      <w:r>
        <w:rPr>
          <w:rFonts w:hint="eastAsia" w:ascii="仿宋_GB2312" w:eastAsia="仿宋_GB2312"/>
          <w:lang w:val="en-US" w:eastAsia="zh-CN"/>
        </w:rPr>
        <w:t>我国积极把握新时期国际经贸合作格局重构机遇，主动融入全球产业格局、参与全球经济治理，力争在全球经济版图中实现由赶超者向引领者转变</w:t>
      </w:r>
      <w:r>
        <w:rPr>
          <w:rFonts w:hint="eastAsia"/>
          <w:lang w:val="en-US" w:eastAsia="zh-CN"/>
        </w:rPr>
        <w:t>，打造从</w:t>
      </w:r>
      <w:r>
        <w:rPr>
          <w:rFonts w:hint="eastAsia" w:ascii="仿宋_GB2312" w:eastAsia="仿宋_GB2312"/>
          <w:lang w:val="en-US" w:eastAsia="zh-CN"/>
        </w:rPr>
        <w:t>上海到海南、从沿海到内陆的雁阵式自贸</w:t>
      </w:r>
      <w:r>
        <w:rPr>
          <w:rFonts w:hint="eastAsia"/>
          <w:lang w:val="en-US" w:eastAsia="zh-CN"/>
        </w:rPr>
        <w:t>区港</w:t>
      </w:r>
      <w:r>
        <w:rPr>
          <w:rFonts w:hint="eastAsia" w:ascii="仿宋_GB2312" w:eastAsia="仿宋_GB2312"/>
          <w:lang w:val="en-US" w:eastAsia="zh-CN"/>
        </w:rPr>
        <w:t>开放</w:t>
      </w:r>
      <w:r>
        <w:rPr>
          <w:rFonts w:hint="eastAsia"/>
          <w:lang w:val="en-US" w:eastAsia="zh-CN"/>
        </w:rPr>
        <w:t>格局</w:t>
      </w:r>
      <w:r>
        <w:rPr>
          <w:rFonts w:hint="eastAsia" w:ascii="仿宋_GB2312" w:eastAsia="仿宋_GB2312"/>
          <w:lang w:val="en-US" w:eastAsia="zh-CN"/>
        </w:rPr>
        <w:t>。</w:t>
      </w:r>
      <w:r>
        <w:rPr>
          <w:rFonts w:hint="eastAsia"/>
          <w:lang w:val="en-US" w:eastAsia="zh-CN"/>
        </w:rPr>
        <w:t>中央支持海南逐步探索、稳步推进中国特色自由贸易港建设，分步骤、分阶段建立自由贸易港政策和制度体系。</w:t>
      </w:r>
    </w:p>
    <w:p>
      <w:pPr>
        <w:rPr>
          <w:rFonts w:hint="default" w:ascii="仿宋_GB2312" w:eastAsia="仿宋_GB2312"/>
          <w:lang w:val="en-US" w:eastAsia="zh-CN"/>
        </w:rPr>
      </w:pPr>
      <w:r>
        <w:rPr>
          <w:rFonts w:hint="eastAsia"/>
          <w:lang w:val="en-US" w:eastAsia="zh-CN"/>
        </w:rPr>
        <w:t>《海南自由贸易港建设总体方案》提出了39条制度设计，18条2025年前“早期安排、早期收获”重点任务，7条2035年前重点任务。</w:t>
      </w:r>
      <w:r>
        <w:rPr>
          <w:rFonts w:hint="eastAsia" w:ascii="仿宋_GB2312" w:eastAsia="仿宋_GB2312"/>
          <w:lang w:val="en-US" w:eastAsia="zh-CN"/>
        </w:rPr>
        <w:t>崖州区是“大三亚”</w:t>
      </w:r>
      <w:r>
        <w:rPr>
          <w:rFonts w:hint="eastAsia"/>
          <w:lang w:val="en-US" w:eastAsia="zh-CN"/>
        </w:rPr>
        <w:t>经济圈</w:t>
      </w:r>
      <w:r>
        <w:rPr>
          <w:rFonts w:hint="eastAsia" w:ascii="仿宋_GB2312" w:eastAsia="仿宋_GB2312"/>
          <w:lang w:val="en-US" w:eastAsia="zh-CN"/>
        </w:rPr>
        <w:t>重要节点，</w:t>
      </w:r>
      <w:r>
        <w:rPr>
          <w:rFonts w:hint="eastAsia"/>
          <w:lang w:val="en-US" w:eastAsia="zh-CN"/>
        </w:rPr>
        <w:t>在引入旅游大项目、开放中心渔港、农渔产品商贸加工物流、打造高效农渔业、承接科技城产业溢出、培育绿色高端制造业等方面可以对接自贸港政策，捅破崖州产业发展的天花板，建立高质量的开放型产业体系。</w:t>
      </w:r>
    </w:p>
    <w:p>
      <w:pPr>
        <w:pStyle w:val="4"/>
        <w:numPr>
          <w:ilvl w:val="0"/>
          <w:numId w:val="1"/>
        </w:numPr>
        <w:bidi w:val="0"/>
        <w:rPr>
          <w:rFonts w:hint="eastAsia"/>
          <w:b w:val="0"/>
          <w:lang w:val="en-US" w:eastAsia="zh-CN"/>
        </w:rPr>
      </w:pPr>
      <w:bookmarkStart w:id="21" w:name="_Toc29410"/>
      <w:bookmarkStart w:id="22" w:name="_Toc20232"/>
      <w:bookmarkStart w:id="23" w:name="_Toc25571"/>
      <w:r>
        <w:rPr>
          <w:rFonts w:hint="eastAsia"/>
          <w:b w:val="0"/>
          <w:lang w:val="en-US" w:eastAsia="zh-CN"/>
        </w:rPr>
        <w:t>国家进一步加快建设海洋强国，赋予崖州服务南海新使命</w:t>
      </w:r>
      <w:bookmarkEnd w:id="21"/>
      <w:bookmarkEnd w:id="22"/>
      <w:bookmarkEnd w:id="23"/>
    </w:p>
    <w:p>
      <w:pPr>
        <w:bidi w:val="0"/>
        <w:rPr>
          <w:rFonts w:hint="eastAsia" w:ascii="仿宋_GB2312" w:eastAsia="仿宋_GB2312"/>
          <w:lang w:val="en-US" w:eastAsia="zh-CN"/>
        </w:rPr>
      </w:pPr>
      <w:r>
        <w:rPr>
          <w:rFonts w:hint="eastAsia" w:ascii="仿宋_GB2312" w:eastAsia="仿宋_GB2312"/>
          <w:lang w:val="en-US" w:eastAsia="zh-CN"/>
        </w:rPr>
        <w:t>习总书记在党的十九大报告中指出“坚持陆海统筹，加快建设海洋强国。”南海是中国面积最大、资源能源最丰富的海区，是中国南门户、丝路战略支点、两洋（</w:t>
      </w:r>
      <w:r>
        <w:rPr>
          <w:rFonts w:hint="eastAsia"/>
          <w:lang w:val="en-US" w:eastAsia="zh-CN"/>
        </w:rPr>
        <w:t>太</w:t>
      </w:r>
      <w:r>
        <w:rPr>
          <w:rFonts w:hint="eastAsia" w:ascii="仿宋_GB2312" w:eastAsia="仿宋_GB2312"/>
          <w:lang w:val="en-US" w:eastAsia="zh-CN"/>
        </w:rPr>
        <w:t>平洋、印度洋）两洲（亚洲、大洋洲）咽喉，是保护国家安全的重要屏障和进出两大洋的战略通道。</w:t>
      </w:r>
    </w:p>
    <w:p>
      <w:pPr>
        <w:bidi w:val="0"/>
        <w:rPr>
          <w:rFonts w:hint="eastAsia" w:ascii="仿宋_GB2312" w:eastAsia="仿宋_GB2312"/>
          <w:lang w:val="en-US" w:eastAsia="zh-CN"/>
        </w:rPr>
      </w:pPr>
      <w:r>
        <w:rPr>
          <w:rFonts w:hint="eastAsia" w:ascii="仿宋_GB2312" w:eastAsia="仿宋_GB2312"/>
          <w:lang w:val="en-US" w:eastAsia="zh-CN"/>
        </w:rPr>
        <w:t>“三区一中心”</w:t>
      </w:r>
      <w:r>
        <w:rPr>
          <w:rFonts w:hint="eastAsia"/>
          <w:lang w:val="en-US" w:eastAsia="zh-CN"/>
        </w:rPr>
        <w:t>之一</w:t>
      </w:r>
      <w:r>
        <w:rPr>
          <w:rFonts w:hint="eastAsia" w:ascii="仿宋_GB2312" w:eastAsia="仿宋_GB2312"/>
          <w:lang w:val="en-US" w:eastAsia="zh-CN"/>
        </w:rPr>
        <w:t>的国家重大战略服务保障区是国家赋予海南的重要</w:t>
      </w:r>
      <w:r>
        <w:rPr>
          <w:rFonts w:hint="eastAsia"/>
          <w:lang w:val="en-US" w:eastAsia="zh-CN"/>
        </w:rPr>
        <w:t>使命。</w:t>
      </w:r>
      <w:r>
        <w:rPr>
          <w:rFonts w:hint="eastAsia" w:ascii="仿宋_GB2312" w:eastAsia="仿宋_GB2312"/>
          <w:lang w:val="en-US" w:eastAsia="zh-CN"/>
        </w:rPr>
        <w:t>崖州位于海南岛最南端、直面广袤南海，历史上就是丝绸之路的重要支点，</w:t>
      </w:r>
      <w:r>
        <w:rPr>
          <w:rFonts w:hint="eastAsia"/>
          <w:lang w:val="en-US" w:eastAsia="zh-CN"/>
        </w:rPr>
        <w:t>新时期将</w:t>
      </w:r>
      <w:r>
        <w:rPr>
          <w:rFonts w:hint="eastAsia" w:ascii="仿宋_GB2312" w:eastAsia="仿宋_GB2312"/>
          <w:lang w:val="en-US" w:eastAsia="zh-CN"/>
        </w:rPr>
        <w:t>在维护南海主权、维护国家安全和利益方面发挥重要作用，</w:t>
      </w:r>
      <w:r>
        <w:rPr>
          <w:rFonts w:hint="eastAsia"/>
          <w:lang w:val="en-US" w:eastAsia="zh-CN"/>
        </w:rPr>
        <w:t>成为</w:t>
      </w:r>
      <w:r>
        <w:rPr>
          <w:rFonts w:hint="eastAsia" w:ascii="仿宋_GB2312" w:eastAsia="仿宋_GB2312"/>
          <w:lang w:val="en-US" w:eastAsia="zh-CN"/>
        </w:rPr>
        <w:t>服务保障南海</w:t>
      </w:r>
      <w:r>
        <w:rPr>
          <w:rFonts w:hint="eastAsia"/>
          <w:lang w:val="en-US" w:eastAsia="zh-CN"/>
        </w:rPr>
        <w:t>、</w:t>
      </w:r>
      <w:r>
        <w:rPr>
          <w:rFonts w:hint="eastAsia" w:ascii="仿宋_GB2312" w:eastAsia="仿宋_GB2312"/>
          <w:lang w:val="en-US" w:eastAsia="zh-CN"/>
        </w:rPr>
        <w:t>开发利用南海资源</w:t>
      </w:r>
      <w:r>
        <w:rPr>
          <w:rFonts w:hint="eastAsia"/>
          <w:lang w:val="en-US" w:eastAsia="zh-CN"/>
        </w:rPr>
        <w:t>的后方基地</w:t>
      </w:r>
      <w:r>
        <w:rPr>
          <w:rFonts w:hint="eastAsia" w:ascii="仿宋_GB2312" w:eastAsia="仿宋_GB2312"/>
          <w:lang w:val="en-US" w:eastAsia="zh-CN"/>
        </w:rPr>
        <w:t>。</w:t>
      </w:r>
    </w:p>
    <w:p>
      <w:pPr>
        <w:pStyle w:val="4"/>
        <w:numPr>
          <w:ilvl w:val="0"/>
          <w:numId w:val="1"/>
        </w:numPr>
        <w:bidi w:val="0"/>
        <w:rPr>
          <w:rFonts w:hint="eastAsia"/>
          <w:b w:val="0"/>
          <w:lang w:val="en-US" w:eastAsia="zh-CN"/>
        </w:rPr>
      </w:pPr>
      <w:bookmarkStart w:id="24" w:name="_Toc7758"/>
      <w:bookmarkStart w:id="25" w:name="_Toc3238"/>
      <w:bookmarkStart w:id="26" w:name="_Toc21986"/>
      <w:r>
        <w:rPr>
          <w:rFonts w:hint="eastAsia"/>
          <w:b w:val="0"/>
          <w:lang w:val="en-US" w:eastAsia="zh-CN"/>
        </w:rPr>
        <w:t>国家布局南繁深海等重大战略，赋予崖州产城融合新任务</w:t>
      </w:r>
      <w:bookmarkEnd w:id="24"/>
      <w:bookmarkEnd w:id="25"/>
      <w:bookmarkEnd w:id="26"/>
    </w:p>
    <w:p>
      <w:pPr>
        <w:rPr>
          <w:rFonts w:hint="eastAsia"/>
          <w:lang w:val="en-US" w:eastAsia="zh-CN"/>
        </w:rPr>
      </w:pPr>
      <w:r>
        <w:rPr>
          <w:rFonts w:hint="eastAsia" w:ascii="仿宋_GB2312" w:eastAsia="仿宋_GB2312"/>
          <w:lang w:val="en-US" w:eastAsia="zh-CN"/>
        </w:rPr>
        <w:t>三亚崖州湾科技城代表</w:t>
      </w:r>
      <w:r>
        <w:rPr>
          <w:rFonts w:hint="eastAsia"/>
          <w:lang w:val="en-US" w:eastAsia="zh-CN"/>
        </w:rPr>
        <w:t>了</w:t>
      </w:r>
      <w:r>
        <w:rPr>
          <w:rFonts w:hint="eastAsia" w:ascii="仿宋_GB2312" w:eastAsia="仿宋_GB2312"/>
          <w:lang w:val="en-US" w:eastAsia="zh-CN"/>
        </w:rPr>
        <w:t>国家南繁科技和深海科技最高水平，</w:t>
      </w:r>
      <w:r>
        <w:rPr>
          <w:rFonts w:hint="eastAsia"/>
          <w:lang w:val="en-US" w:eastAsia="zh-CN"/>
        </w:rPr>
        <w:t>打造</w:t>
      </w:r>
      <w:r>
        <w:rPr>
          <w:rFonts w:hint="eastAsia" w:ascii="仿宋_GB2312" w:eastAsia="仿宋_GB2312"/>
          <w:lang w:val="en-US" w:eastAsia="zh-CN"/>
        </w:rPr>
        <w:t>“一港”即南山港、“三城”即南繁科技城、深海科技城、科教城、“一基地”即全球动植物种质资源引进中转基地</w:t>
      </w:r>
      <w:r>
        <w:rPr>
          <w:rFonts w:hint="eastAsia"/>
          <w:lang w:val="en-US" w:eastAsia="zh-CN"/>
        </w:rPr>
        <w:t>的</w:t>
      </w:r>
      <w:r>
        <w:rPr>
          <w:rFonts w:hint="eastAsia" w:ascii="仿宋_GB2312" w:eastAsia="仿宋_GB2312"/>
          <w:lang w:val="en-US" w:eastAsia="zh-CN"/>
        </w:rPr>
        <w:t>功能格局，加速深海重器、粮食安全等国家战略资源导入</w:t>
      </w:r>
      <w:r>
        <w:rPr>
          <w:rFonts w:hint="eastAsia"/>
          <w:lang w:val="en-US" w:eastAsia="zh-CN"/>
        </w:rPr>
        <w:t>。</w:t>
      </w:r>
    </w:p>
    <w:p>
      <w:pPr>
        <w:rPr>
          <w:rFonts w:hint="eastAsia" w:ascii="仿宋_GB2312" w:eastAsia="仿宋_GB2312"/>
          <w:lang w:val="en-US" w:eastAsia="zh-CN"/>
        </w:rPr>
      </w:pPr>
      <w:r>
        <w:rPr>
          <w:rFonts w:hint="eastAsia" w:ascii="仿宋_GB2312" w:eastAsia="仿宋_GB2312"/>
          <w:lang w:val="en-US" w:eastAsia="zh-CN"/>
        </w:rPr>
        <w:t>崖州延续千年的战略</w:t>
      </w:r>
      <w:r>
        <w:rPr>
          <w:rFonts w:hint="eastAsia"/>
          <w:lang w:val="en-US" w:eastAsia="zh-CN"/>
        </w:rPr>
        <w:t>地位</w:t>
      </w:r>
      <w:r>
        <w:rPr>
          <w:rFonts w:hint="eastAsia" w:ascii="仿宋_GB2312" w:eastAsia="仿宋_GB2312"/>
          <w:lang w:val="en-US" w:eastAsia="zh-CN"/>
        </w:rPr>
        <w:t>再次凸显，又一次得到来自中央政府的直接青睐，承担国家级战略任务。崖州区要全力服务</w:t>
      </w:r>
      <w:r>
        <w:rPr>
          <w:rFonts w:hint="eastAsia"/>
          <w:lang w:val="en-US" w:eastAsia="zh-CN"/>
        </w:rPr>
        <w:t>好崖州湾科技城建设发展，积极承接科技城研发成果就近溢出就地转化，向科技城提供社会服务劳动力，提高消费服务业满足高知高收人群日常需求，打造环境服务俱佳的高品质宜居社区，</w:t>
      </w:r>
      <w:r>
        <w:rPr>
          <w:rFonts w:hint="eastAsia" w:ascii="仿宋_GB2312" w:eastAsia="仿宋_GB2312"/>
          <w:lang w:val="en-US" w:eastAsia="zh-CN"/>
        </w:rPr>
        <w:t>实现区城融合发展。</w:t>
      </w:r>
    </w:p>
    <w:p>
      <w:pPr>
        <w:pStyle w:val="4"/>
        <w:numPr>
          <w:ilvl w:val="0"/>
          <w:numId w:val="1"/>
        </w:numPr>
        <w:bidi w:val="0"/>
        <w:rPr>
          <w:rFonts w:hint="eastAsia"/>
          <w:b w:val="0"/>
          <w:lang w:val="en-US" w:eastAsia="zh-CN"/>
        </w:rPr>
      </w:pPr>
      <w:bookmarkStart w:id="27" w:name="_Toc18062"/>
      <w:bookmarkStart w:id="28" w:name="_Toc32269"/>
      <w:bookmarkStart w:id="29" w:name="_Toc2437"/>
      <w:r>
        <w:rPr>
          <w:rFonts w:hint="eastAsia"/>
          <w:b w:val="0"/>
          <w:lang w:val="en-US" w:eastAsia="zh-CN"/>
        </w:rPr>
        <w:t>南繁技术的溢出效应加速释放，赋予崖州热带农业新动力</w:t>
      </w:r>
      <w:bookmarkEnd w:id="27"/>
      <w:bookmarkEnd w:id="28"/>
      <w:bookmarkEnd w:id="29"/>
    </w:p>
    <w:p>
      <w:pPr>
        <w:rPr>
          <w:rFonts w:hint="eastAsia"/>
          <w:lang w:val="en-US" w:eastAsia="zh-CN"/>
        </w:rPr>
      </w:pPr>
      <w:r>
        <w:rPr>
          <w:rFonts w:hint="eastAsia"/>
          <w:lang w:val="en-US" w:eastAsia="zh-CN"/>
        </w:rPr>
        <w:t>南繁科技城要建设国家南繁科研育种基地，打造国家热带农业科学中心，建设全球动植物种质资源引进中转基地。随着建设的不断成熟，将涌现出种苗、果业、蔬菜、畜牧、水产等领域先进技术成果。</w:t>
      </w:r>
    </w:p>
    <w:p>
      <w:pPr>
        <w:rPr>
          <w:rFonts w:hint="eastAsia" w:ascii="仿宋_GB2312" w:eastAsia="仿宋_GB2312"/>
          <w:lang w:val="en-US" w:eastAsia="zh-CN"/>
        </w:rPr>
      </w:pPr>
      <w:r>
        <w:rPr>
          <w:rFonts w:hint="eastAsia" w:ascii="仿宋_GB2312" w:eastAsia="仿宋_GB2312"/>
          <w:lang w:val="en-US" w:eastAsia="zh-CN"/>
        </w:rPr>
        <w:t>崖州就近就地</w:t>
      </w:r>
      <w:r>
        <w:rPr>
          <w:rFonts w:hint="eastAsia"/>
          <w:lang w:val="en-US" w:eastAsia="zh-CN"/>
        </w:rPr>
        <w:t>承接南繁技术溢出早有先例，南繁豇豆1688、南繁豇豆1798两种优质豇豆品种的</w:t>
      </w:r>
      <w:r>
        <w:rPr>
          <w:rFonts w:hint="eastAsia" w:ascii="仿宋_GB2312" w:eastAsia="仿宋_GB2312"/>
          <w:lang w:val="en-US" w:eastAsia="zh-CN"/>
        </w:rPr>
        <w:t>本地转化，催生了</w:t>
      </w:r>
      <w:r>
        <w:rPr>
          <w:rFonts w:hint="eastAsia"/>
          <w:lang w:val="en-US" w:eastAsia="zh-CN"/>
        </w:rPr>
        <w:t>崖州</w:t>
      </w:r>
      <w:r>
        <w:rPr>
          <w:rFonts w:hint="eastAsia" w:ascii="仿宋_GB2312" w:eastAsia="仿宋_GB2312"/>
          <w:lang w:val="en-US" w:eastAsia="zh-CN"/>
        </w:rPr>
        <w:t>冬季瓜菜种植产业。南繁科技城</w:t>
      </w:r>
      <w:r>
        <w:rPr>
          <w:rFonts w:hint="eastAsia"/>
          <w:lang w:val="en-US" w:eastAsia="zh-CN"/>
        </w:rPr>
        <w:t>将加快崖州大农业新品种示范推广、病虫害综合防治、标准化操作规范、农产品地方标准等新技术推广，给崖州发展热带高效农业持续注入科技动力。</w:t>
      </w:r>
    </w:p>
    <w:p>
      <w:pPr>
        <w:pStyle w:val="4"/>
        <w:numPr>
          <w:ilvl w:val="0"/>
          <w:numId w:val="1"/>
        </w:numPr>
        <w:bidi w:val="0"/>
        <w:rPr>
          <w:rFonts w:hint="eastAsia"/>
          <w:b w:val="0"/>
          <w:lang w:val="en-US" w:eastAsia="zh-CN"/>
        </w:rPr>
      </w:pPr>
      <w:bookmarkStart w:id="30" w:name="_Toc30955"/>
      <w:bookmarkStart w:id="31" w:name="_Toc935"/>
      <w:bookmarkStart w:id="32" w:name="_Toc25416"/>
      <w:r>
        <w:rPr>
          <w:rFonts w:hint="eastAsia"/>
          <w:b w:val="0"/>
          <w:lang w:val="en-US" w:eastAsia="zh-CN"/>
        </w:rPr>
        <w:t>迎接后疫情时代体验消费趋势，赋予崖州旅游产业新空间</w:t>
      </w:r>
      <w:bookmarkEnd w:id="30"/>
      <w:bookmarkEnd w:id="31"/>
      <w:bookmarkEnd w:id="32"/>
    </w:p>
    <w:p>
      <w:pPr>
        <w:rPr>
          <w:rFonts w:hint="default"/>
          <w:lang w:val="en-US" w:eastAsia="zh-CN"/>
        </w:rPr>
      </w:pPr>
      <w:r>
        <w:rPr>
          <w:rFonts w:hint="eastAsia" w:ascii="仿宋_GB2312" w:eastAsia="仿宋_GB2312"/>
          <w:lang w:val="en-US" w:eastAsia="zh-CN"/>
        </w:rPr>
        <w:t>后疫情时代户外体验</w:t>
      </w:r>
      <w:r>
        <w:rPr>
          <w:rFonts w:hint="eastAsia"/>
          <w:lang w:val="en-US" w:eastAsia="zh-CN"/>
        </w:rPr>
        <w:t>、体育</w:t>
      </w:r>
      <w:r>
        <w:rPr>
          <w:rFonts w:hint="eastAsia" w:ascii="仿宋_GB2312" w:eastAsia="仿宋_GB2312"/>
          <w:lang w:val="en-US" w:eastAsia="zh-CN"/>
        </w:rPr>
        <w:t>旅游</w:t>
      </w:r>
      <w:r>
        <w:rPr>
          <w:rFonts w:hint="eastAsia"/>
          <w:lang w:val="en-US" w:eastAsia="zh-CN"/>
        </w:rPr>
        <w:t>、主题乐园游、历史文化体验游、休闲农渔业游</w:t>
      </w:r>
      <w:r>
        <w:rPr>
          <w:rFonts w:hint="eastAsia" w:ascii="仿宋_GB2312" w:eastAsia="仿宋_GB2312"/>
          <w:lang w:val="en-US" w:eastAsia="zh-CN"/>
        </w:rPr>
        <w:t>将迎来新的发展阶段，</w:t>
      </w:r>
      <w:r>
        <w:rPr>
          <w:rFonts w:hint="eastAsia"/>
          <w:lang w:val="en-US" w:eastAsia="zh-CN"/>
        </w:rPr>
        <w:t>并</w:t>
      </w:r>
      <w:r>
        <w:rPr>
          <w:rFonts w:hint="eastAsia" w:ascii="仿宋_GB2312" w:eastAsia="仿宋_GB2312"/>
          <w:lang w:val="en-US" w:eastAsia="zh-CN"/>
        </w:rPr>
        <w:t>与90</w:t>
      </w:r>
      <w:r>
        <w:rPr>
          <w:rFonts w:hint="eastAsia"/>
          <w:lang w:val="en-US" w:eastAsia="zh-CN"/>
        </w:rPr>
        <w:t>后</w:t>
      </w:r>
      <w:r>
        <w:rPr>
          <w:rFonts w:hint="eastAsia" w:ascii="仿宋_GB2312" w:eastAsia="仿宋_GB2312"/>
          <w:lang w:val="en-US" w:eastAsia="zh-CN"/>
        </w:rPr>
        <w:t>00</w:t>
      </w:r>
      <w:r>
        <w:rPr>
          <w:rFonts w:hint="eastAsia"/>
          <w:lang w:val="en-US" w:eastAsia="zh-CN"/>
        </w:rPr>
        <w:t>后的</w:t>
      </w:r>
      <w:r>
        <w:rPr>
          <w:rFonts w:hint="eastAsia" w:ascii="仿宋_GB2312" w:eastAsia="仿宋_GB2312"/>
          <w:lang w:val="en-US" w:eastAsia="zh-CN"/>
        </w:rPr>
        <w:t>小众化、个性化、体验化</w:t>
      </w:r>
      <w:r>
        <w:rPr>
          <w:rFonts w:hint="eastAsia"/>
          <w:lang w:val="en-US" w:eastAsia="zh-CN"/>
        </w:rPr>
        <w:t>、社交化</w:t>
      </w:r>
      <w:r>
        <w:rPr>
          <w:rFonts w:hint="eastAsia" w:ascii="仿宋_GB2312" w:eastAsia="仿宋_GB2312"/>
          <w:lang w:val="en-US" w:eastAsia="zh-CN"/>
        </w:rPr>
        <w:t>消费观念</w:t>
      </w:r>
      <w:r>
        <w:rPr>
          <w:rFonts w:hint="eastAsia"/>
          <w:lang w:val="en-US" w:eastAsia="zh-CN"/>
        </w:rPr>
        <w:t>深度融合，旅游行为与</w:t>
      </w:r>
      <w:r>
        <w:rPr>
          <w:rFonts w:hint="eastAsia" w:ascii="仿宋_GB2312" w:eastAsia="仿宋_GB2312"/>
          <w:lang w:val="en-US" w:eastAsia="zh-CN"/>
        </w:rPr>
        <w:t>休闲</w:t>
      </w:r>
      <w:r>
        <w:rPr>
          <w:rFonts w:hint="eastAsia"/>
          <w:lang w:val="en-US" w:eastAsia="zh-CN"/>
        </w:rPr>
        <w:t>、</w:t>
      </w:r>
      <w:r>
        <w:rPr>
          <w:rFonts w:hint="eastAsia" w:ascii="仿宋_GB2312" w:eastAsia="仿宋_GB2312"/>
          <w:lang w:val="en-US" w:eastAsia="zh-CN"/>
        </w:rPr>
        <w:t>度假、养生</w:t>
      </w:r>
      <w:r>
        <w:rPr>
          <w:rFonts w:hint="eastAsia"/>
          <w:lang w:val="en-US" w:eastAsia="zh-CN"/>
        </w:rPr>
        <w:t>、旅拍、</w:t>
      </w:r>
      <w:r>
        <w:rPr>
          <w:rFonts w:hint="eastAsia" w:ascii="仿宋_GB2312" w:eastAsia="仿宋_GB2312"/>
          <w:lang w:val="en-US" w:eastAsia="zh-CN"/>
        </w:rPr>
        <w:t>亲子</w:t>
      </w:r>
      <w:r>
        <w:rPr>
          <w:rFonts w:hint="eastAsia"/>
          <w:lang w:val="en-US" w:eastAsia="zh-CN"/>
        </w:rPr>
        <w:t>、研学、探秘</w:t>
      </w:r>
      <w:r>
        <w:rPr>
          <w:rFonts w:hint="eastAsia" w:ascii="仿宋_GB2312" w:eastAsia="仿宋_GB2312"/>
          <w:lang w:val="en-US" w:eastAsia="zh-CN"/>
        </w:rPr>
        <w:t>、</w:t>
      </w:r>
      <w:r>
        <w:rPr>
          <w:rFonts w:hint="eastAsia"/>
          <w:lang w:val="en-US" w:eastAsia="zh-CN"/>
        </w:rPr>
        <w:t>美食、购物、线上即时社交等活动更加</w:t>
      </w:r>
      <w:r>
        <w:rPr>
          <w:rFonts w:hint="eastAsia" w:ascii="仿宋_GB2312" w:eastAsia="仿宋_GB2312"/>
          <w:lang w:val="en-US" w:eastAsia="zh-CN"/>
        </w:rPr>
        <w:t>紧密结合</w:t>
      </w:r>
      <w:r>
        <w:rPr>
          <w:rFonts w:hint="eastAsia"/>
          <w:lang w:val="en-US" w:eastAsia="zh-CN"/>
        </w:rPr>
        <w:t>，目的地旅游的特征更加明显。</w:t>
      </w:r>
    </w:p>
    <w:p>
      <w:pPr>
        <w:rPr>
          <w:rFonts w:hint="eastAsia"/>
          <w:lang w:val="en-US" w:eastAsia="zh-CN"/>
        </w:rPr>
      </w:pPr>
      <w:r>
        <w:rPr>
          <w:rFonts w:hint="eastAsia"/>
          <w:lang w:val="en-US" w:eastAsia="zh-CN"/>
        </w:rPr>
        <w:t>崖州在文化旅游、宗教旅游基础上，有更多机遇培育新的旅游产品业态，打造主题乐园、运动体验、婚纱旅拍、科技研学、农旅休闲等年轻化的旅游产品体系，积极培育新的旅游业产业方向和经济增长极，迎合新世代消费者需求，也为科技城的高知群体提供高端时尚休闲服务。</w:t>
      </w:r>
    </w:p>
    <w:p>
      <w:pPr>
        <w:pStyle w:val="4"/>
        <w:numPr>
          <w:ilvl w:val="0"/>
          <w:numId w:val="1"/>
        </w:numPr>
        <w:bidi w:val="0"/>
        <w:rPr>
          <w:rFonts w:hint="eastAsia"/>
          <w:b w:val="0"/>
          <w:lang w:val="en-US" w:eastAsia="zh-CN"/>
        </w:rPr>
      </w:pPr>
      <w:bookmarkStart w:id="33" w:name="_Toc22073"/>
      <w:bookmarkStart w:id="34" w:name="_Toc1437"/>
      <w:bookmarkStart w:id="35" w:name="_Toc1504"/>
      <w:r>
        <w:rPr>
          <w:rFonts w:hint="eastAsia"/>
          <w:b w:val="0"/>
          <w:lang w:val="en-US" w:eastAsia="zh-CN"/>
        </w:rPr>
        <w:t>海南推进大三亚经济圈一体化，赋予崖州西翼支点新功能</w:t>
      </w:r>
      <w:bookmarkEnd w:id="33"/>
      <w:bookmarkEnd w:id="34"/>
      <w:bookmarkEnd w:id="35"/>
    </w:p>
    <w:p>
      <w:pPr>
        <w:rPr>
          <w:rFonts w:hint="eastAsia" w:ascii="仿宋_GB2312" w:eastAsia="仿宋_GB2312"/>
          <w:lang w:val="en-US" w:eastAsia="zh-CN"/>
        </w:rPr>
      </w:pPr>
      <w:r>
        <w:rPr>
          <w:rFonts w:hint="eastAsia" w:ascii="仿宋_GB2312" w:eastAsia="仿宋_GB2312"/>
          <w:lang w:val="en-US" w:eastAsia="zh-CN"/>
        </w:rPr>
        <w:t>在“全省一盘棋、全岛同城化”指引下，海南打造区域协调发展新格局，推动“大三亚”经济圈一体化融合发展，以差异化、精细化、国际化为指引，消除“大三亚”区域间行政壁垒、促进生产要素自由流动、最大限度发挥资源效益，形成带动全省旅游经济发展的龙头和新的增长极。</w:t>
      </w:r>
    </w:p>
    <w:p>
      <w:pPr>
        <w:rPr>
          <w:rFonts w:hint="eastAsia"/>
          <w:lang w:val="en-US" w:eastAsia="zh-CN"/>
        </w:rPr>
      </w:pPr>
      <w:r>
        <w:rPr>
          <w:rFonts w:hint="eastAsia" w:ascii="仿宋_GB2312" w:eastAsia="仿宋_GB2312"/>
          <w:lang w:val="en-US" w:eastAsia="zh-CN"/>
        </w:rPr>
        <w:t>当前，“大三亚”西翼一体化进程落后于东翼，主要原因是西翼缺少支点。崖州是海南南部历史上的政治经济文化中心，在当前“大三亚”一体化进程中要发挥“东联西引”的支点作用，突出商贸、物流、科技、农产品加工、现代服务业等产业带动，打造辐射乐东、育才等周边区域的商贸枢纽型节点，成为推进西翼一体化进程的重要发动机。</w:t>
      </w:r>
    </w:p>
    <w:p>
      <w:pPr>
        <w:pStyle w:val="3"/>
        <w:bidi w:val="0"/>
        <w:rPr>
          <w:rFonts w:hint="default"/>
          <w:lang w:val="en-US" w:eastAsia="zh-CN"/>
        </w:rPr>
      </w:pPr>
      <w:bookmarkStart w:id="36" w:name="_Toc7017"/>
      <w:bookmarkStart w:id="37" w:name="_Toc7294"/>
      <w:bookmarkStart w:id="38" w:name="_Toc19012"/>
      <w:r>
        <w:rPr>
          <w:rFonts w:hint="eastAsia"/>
          <w:lang w:val="en-US" w:eastAsia="zh-CN"/>
        </w:rPr>
        <w:t>第三节  崖州发展基础解读</w:t>
      </w:r>
      <w:bookmarkEnd w:id="36"/>
      <w:bookmarkEnd w:id="37"/>
      <w:bookmarkEnd w:id="38"/>
    </w:p>
    <w:p>
      <w:pPr>
        <w:pStyle w:val="4"/>
        <w:numPr>
          <w:ilvl w:val="0"/>
          <w:numId w:val="2"/>
        </w:numPr>
        <w:bidi w:val="0"/>
        <w:rPr>
          <w:rFonts w:hint="default"/>
          <w:lang w:val="en-US" w:eastAsia="zh-CN"/>
        </w:rPr>
      </w:pPr>
      <w:bookmarkStart w:id="39" w:name="_Toc16802"/>
      <w:bookmarkStart w:id="40" w:name="_Toc19731"/>
      <w:bookmarkStart w:id="41" w:name="_Toc31181"/>
      <w:r>
        <w:rPr>
          <w:rFonts w:hint="eastAsia"/>
          <w:lang w:val="en-US" w:eastAsia="zh-CN"/>
        </w:rPr>
        <w:t>悠久的城郡、年轻的辖区</w:t>
      </w:r>
      <w:bookmarkEnd w:id="39"/>
      <w:r>
        <w:rPr>
          <w:rFonts w:hint="eastAsia"/>
          <w:lang w:val="en-US" w:eastAsia="zh-CN"/>
        </w:rPr>
        <w:t>，战略意义更重要</w:t>
      </w:r>
      <w:bookmarkEnd w:id="40"/>
      <w:bookmarkEnd w:id="41"/>
    </w:p>
    <w:p>
      <w:pPr>
        <w:rPr>
          <w:rFonts w:hint="eastAsia"/>
          <w:b w:val="0"/>
          <w:bCs w:val="0"/>
          <w:lang w:val="en-US" w:eastAsia="zh-CN"/>
        </w:rPr>
      </w:pPr>
      <w:r>
        <w:rPr>
          <w:rFonts w:hint="default"/>
          <w:lang w:val="en-US" w:eastAsia="zh-CN"/>
        </w:rPr>
        <w:t>崖州是海南历史最悠久的城郡</w:t>
      </w:r>
      <w:r>
        <w:rPr>
          <w:rFonts w:hint="eastAsia"/>
          <w:lang w:val="en-US" w:eastAsia="zh-CN"/>
        </w:rPr>
        <w:t>，是中央政府在海南设立最早的行政建制之一，历史可追溯上千年。崖州古城是“人文三亚”的原点，是三亚唯一的国家级历史文化名镇。崖州</w:t>
      </w:r>
      <w:r>
        <w:rPr>
          <w:rFonts w:hint="default"/>
          <w:lang w:val="en-US" w:eastAsia="zh-CN"/>
        </w:rPr>
        <w:t>也是海南最年轻的</w:t>
      </w:r>
      <w:r>
        <w:rPr>
          <w:rFonts w:hint="eastAsia"/>
          <w:lang w:val="en-US" w:eastAsia="zh-CN"/>
        </w:rPr>
        <w:t>地方政府机构</w:t>
      </w:r>
      <w:r>
        <w:rPr>
          <w:rFonts w:hint="default"/>
          <w:lang w:val="en-US" w:eastAsia="zh-CN"/>
        </w:rPr>
        <w:t>（除</w:t>
      </w:r>
      <w:r>
        <w:rPr>
          <w:rFonts w:hint="eastAsia"/>
          <w:lang w:val="en-US" w:eastAsia="zh-CN"/>
        </w:rPr>
        <w:t>三沙市</w:t>
      </w:r>
      <w:r>
        <w:rPr>
          <w:rFonts w:hint="default"/>
          <w:lang w:val="en-US" w:eastAsia="zh-CN"/>
        </w:rPr>
        <w:t>西沙区、南沙区）</w:t>
      </w:r>
      <w:r>
        <w:rPr>
          <w:rFonts w:hint="eastAsia"/>
          <w:lang w:val="en-US" w:eastAsia="zh-CN"/>
        </w:rPr>
        <w:t>，2015年设立崖州区。崖州区陆域面积350.58平方公里，占全省1.0%；2020年实现地区生产总值（GDP）66.3亿元，占全省1.2%；户籍人口10.5万人，占全省总人口1.1%。崖州用全省1%的土地面积、创造了1.2%产值、养育了1.1%人口，</w:t>
      </w:r>
      <w:r>
        <w:rPr>
          <w:rFonts w:hint="eastAsia"/>
          <w:b/>
          <w:bCs/>
          <w:lang w:val="en-US" w:eastAsia="zh-CN"/>
        </w:rPr>
        <w:t>如果把海南等分100份崖州约占1份</w:t>
      </w:r>
      <w:r>
        <w:rPr>
          <w:rFonts w:hint="eastAsia"/>
          <w:b w:val="0"/>
          <w:bCs w:val="0"/>
          <w:lang w:val="en-US" w:eastAsia="zh-CN"/>
        </w:rPr>
        <w:t>。</w:t>
      </w:r>
    </w:p>
    <w:p>
      <w:pPr>
        <w:rPr>
          <w:rFonts w:hint="default"/>
          <w:lang w:val="en-US" w:eastAsia="zh-CN"/>
        </w:rPr>
      </w:pPr>
      <w:r>
        <w:rPr>
          <w:rFonts w:hint="eastAsia"/>
          <w:b w:val="0"/>
          <w:bCs w:val="0"/>
          <w:lang w:val="en-US" w:eastAsia="zh-CN"/>
        </w:rPr>
        <w:t>崖州</w:t>
      </w:r>
      <w:r>
        <w:rPr>
          <w:rFonts w:hint="eastAsia"/>
          <w:b/>
          <w:bCs/>
          <w:lang w:val="en-US" w:eastAsia="zh-CN"/>
        </w:rPr>
        <w:t>战略意义远大于经济意义</w:t>
      </w:r>
      <w:r>
        <w:rPr>
          <w:rFonts w:hint="eastAsia"/>
          <w:b w:val="0"/>
          <w:bCs w:val="0"/>
          <w:lang w:val="en-US" w:eastAsia="zh-CN"/>
        </w:rPr>
        <w:t>，在海南“三区一中心”战略定位中，崖州承担了国家重大战略服务保障区中的部分职能，在海洋强国、南繁育种等战略中发挥着不可替代的作用。在国家战略加持下，崖州发挥岸线、土地、区位、交通、热带农业、商贸物流等条件，具有显著的后来居上优势。</w:t>
      </w:r>
    </w:p>
    <w:p>
      <w:pPr>
        <w:pStyle w:val="4"/>
        <w:numPr>
          <w:ilvl w:val="0"/>
          <w:numId w:val="2"/>
        </w:numPr>
        <w:bidi w:val="0"/>
        <w:rPr>
          <w:rFonts w:hint="eastAsia"/>
          <w:b w:val="0"/>
          <w:lang w:val="en-US" w:eastAsia="zh-CN"/>
        </w:rPr>
      </w:pPr>
      <w:bookmarkStart w:id="42" w:name="_Toc4328"/>
      <w:bookmarkStart w:id="43" w:name="_Toc12643"/>
      <w:bookmarkStart w:id="44" w:name="_Toc5977"/>
      <w:r>
        <w:rPr>
          <w:rFonts w:hint="eastAsia"/>
          <w:b w:val="0"/>
          <w:lang w:val="en-US" w:eastAsia="zh-CN"/>
        </w:rPr>
        <w:t>经济体量较小，</w:t>
      </w:r>
      <w:bookmarkEnd w:id="42"/>
      <w:r>
        <w:rPr>
          <w:rFonts w:hint="eastAsia"/>
          <w:b w:val="0"/>
          <w:lang w:val="en-US" w:eastAsia="zh-CN"/>
        </w:rPr>
        <w:t>经济发展处在起步阶段</w:t>
      </w:r>
      <w:bookmarkEnd w:id="43"/>
      <w:bookmarkEnd w:id="44"/>
    </w:p>
    <w:p>
      <w:pPr>
        <w:rPr>
          <w:rFonts w:hint="default"/>
          <w:lang w:val="en-US" w:eastAsia="zh-CN"/>
        </w:rPr>
      </w:pPr>
      <w:r>
        <w:rPr>
          <w:rFonts w:hint="eastAsia"/>
          <w:lang w:val="en-US" w:eastAsia="zh-CN"/>
        </w:rPr>
        <w:t>崖州区处于“双化”（产业化、城镇化）起步阶段，与海口、三亚7个发展较成熟市辖区相比，更接近县（市）发展水平。因此把崖州与全省15个县（市）进行比较，可以有效定位崖州的发展水平、发展阶段、对标对象，尽量准确描绘崖州发展画像。</w:t>
      </w:r>
    </w:p>
    <w:p>
      <w:pPr>
        <w:rPr>
          <w:rFonts w:hint="default"/>
          <w:lang w:val="en-US" w:eastAsia="zh-CN"/>
        </w:rPr>
      </w:pPr>
      <w:r>
        <w:rPr>
          <w:rFonts w:hint="eastAsia"/>
          <w:b/>
          <w:bCs/>
          <w:lang w:val="en-US" w:eastAsia="zh-CN"/>
        </w:rPr>
        <w:t>一是从人口规模看。</w:t>
      </w:r>
      <w:r>
        <w:rPr>
          <w:rFonts w:hint="eastAsia"/>
          <w:lang w:val="en-US" w:eastAsia="zh-CN"/>
        </w:rPr>
        <w:t>崖州区户籍人口为10.5万人，小于所有县（市）的人口规模，与五指山市的人口体量相当，</w:t>
      </w:r>
      <w:r>
        <w:rPr>
          <w:rFonts w:hint="eastAsia"/>
          <w:b/>
          <w:bCs/>
          <w:lang w:val="en-US" w:eastAsia="zh-CN"/>
        </w:rPr>
        <w:t>人口规模较小</w:t>
      </w:r>
      <w:r>
        <w:rPr>
          <w:rFonts w:hint="eastAsia"/>
          <w:b w:val="0"/>
          <w:bCs w:val="0"/>
          <w:lang w:val="en-US" w:eastAsia="zh-CN"/>
        </w:rPr>
        <w:t>。随着崖州湾科技城的加快发展，</w:t>
      </w:r>
      <w:r>
        <w:rPr>
          <w:rFonts w:hint="eastAsia"/>
          <w:b/>
          <w:bCs/>
          <w:lang w:val="en-US" w:eastAsia="zh-CN"/>
        </w:rPr>
        <w:t>中长期看人口后劲充足</w:t>
      </w:r>
      <w:r>
        <w:rPr>
          <w:rFonts w:hint="eastAsia"/>
          <w:b w:val="0"/>
          <w:bCs w:val="0"/>
          <w:lang w:val="en-US" w:eastAsia="zh-CN"/>
        </w:rPr>
        <w:t>，特别是高素质人群的比重高，是崖州长远发展的重要动力。</w:t>
      </w:r>
    </w:p>
    <w:p>
      <w:pPr>
        <w:rPr>
          <w:rFonts w:hint="eastAsia"/>
          <w:lang w:val="en-US" w:eastAsia="zh-CN"/>
        </w:rPr>
      </w:pPr>
      <w:r>
        <w:rPr>
          <w:rFonts w:hint="eastAsia"/>
          <w:b/>
          <w:bCs/>
          <w:u w:val="none"/>
          <w:lang w:val="en-US" w:eastAsia="zh-CN"/>
        </w:rPr>
        <w:t>二是从GDP总量看。</w:t>
      </w:r>
      <w:r>
        <w:rPr>
          <w:rFonts w:hint="eastAsia"/>
          <w:u w:val="none"/>
          <w:lang w:val="en-US" w:eastAsia="zh-CN"/>
        </w:rPr>
        <w:t>与琼中、白沙、保亭的经济体量相当，与大三亚区域的陵水、乐东有2-3倍的差距。</w:t>
      </w:r>
      <w:r>
        <w:rPr>
          <w:rFonts w:hint="eastAsia"/>
          <w:b/>
          <w:bCs/>
          <w:u w:val="none"/>
          <w:lang w:val="en-US" w:eastAsia="zh-CN"/>
        </w:rPr>
        <w:t>经济体量不大</w:t>
      </w:r>
      <w:r>
        <w:rPr>
          <w:rFonts w:hint="eastAsia"/>
          <w:b w:val="0"/>
          <w:bCs w:val="0"/>
          <w:u w:val="none"/>
          <w:lang w:val="en-US" w:eastAsia="zh-CN"/>
        </w:rPr>
        <w:t>，优势产业不突出不明显，但</w:t>
      </w:r>
      <w:r>
        <w:rPr>
          <w:rFonts w:hint="eastAsia"/>
          <w:b w:val="0"/>
          <w:bCs w:val="0"/>
          <w:lang w:val="en-US" w:eastAsia="zh-CN"/>
        </w:rPr>
        <w:t>一张白纸好画图，</w:t>
      </w:r>
      <w:r>
        <w:rPr>
          <w:rFonts w:hint="eastAsia"/>
          <w:b/>
          <w:bCs/>
          <w:lang w:val="en-US" w:eastAsia="zh-CN"/>
        </w:rPr>
        <w:t>培育新产业的惯性成本较小</w:t>
      </w:r>
      <w:r>
        <w:rPr>
          <w:rFonts w:hint="eastAsia"/>
          <w:lang w:val="en-US" w:eastAsia="zh-CN"/>
        </w:rPr>
        <w:t>。</w:t>
      </w:r>
    </w:p>
    <w:p>
      <w:pPr>
        <w:rPr>
          <w:rFonts w:hint="default"/>
          <w:lang w:val="en-US" w:eastAsia="zh-CN"/>
        </w:rPr>
      </w:pPr>
      <w:bookmarkStart w:id="45" w:name="_Toc32246"/>
      <w:r>
        <w:rPr>
          <w:rFonts w:hint="eastAsia" w:ascii="仿宋_GB2312" w:eastAsia="仿宋_GB2312"/>
          <w:b/>
          <w:bCs/>
          <w:lang w:val="en-US" w:eastAsia="zh-CN"/>
        </w:rPr>
        <w:t>三是从GDP增速看</w:t>
      </w:r>
      <w:r>
        <w:rPr>
          <w:rFonts w:hint="eastAsia"/>
          <w:b/>
          <w:bCs/>
          <w:lang w:val="en-US" w:eastAsia="zh-CN"/>
        </w:rPr>
        <w:t>。</w:t>
      </w:r>
      <w:r>
        <w:rPr>
          <w:rFonts w:hint="eastAsia" w:ascii="仿宋_GB2312" w:eastAsia="仿宋_GB2312"/>
          <w:lang w:val="en-US" w:eastAsia="zh-CN"/>
        </w:rPr>
        <w:t>建区以来GDP年均增速</w:t>
      </w:r>
      <w:r>
        <w:rPr>
          <w:rFonts w:hint="eastAsia"/>
          <w:lang w:val="en-US" w:eastAsia="zh-CN"/>
        </w:rPr>
        <w:t>7.9%，不考虑疫情影响到2019年年均增速达到</w:t>
      </w:r>
      <w:r>
        <w:rPr>
          <w:rFonts w:hint="eastAsia" w:ascii="仿宋_GB2312" w:eastAsia="仿宋_GB2312"/>
          <w:lang w:val="en-US" w:eastAsia="zh-CN"/>
        </w:rPr>
        <w:t>9.1%</w:t>
      </w:r>
      <w:r>
        <w:rPr>
          <w:rFonts w:hint="eastAsia"/>
          <w:lang w:val="en-US" w:eastAsia="zh-CN"/>
        </w:rPr>
        <w:t>，</w:t>
      </w:r>
      <w:r>
        <w:rPr>
          <w:rFonts w:hint="eastAsia" w:ascii="仿宋_GB2312" w:eastAsia="仿宋_GB2312"/>
          <w:lang w:val="en-US" w:eastAsia="zh-CN"/>
        </w:rPr>
        <w:t>显著高于各县（市），主要原因是GDP基数较小，固定资产投资、房地产投资和销售增长较快。</w:t>
      </w:r>
    </w:p>
    <w:p>
      <w:pPr>
        <w:rPr>
          <w:rFonts w:hint="eastAsia" w:ascii="仿宋_GB2312" w:eastAsia="仿宋_GB2312"/>
          <w:lang w:val="en-US" w:eastAsia="zh-CN"/>
        </w:rPr>
      </w:pPr>
      <w:r>
        <w:rPr>
          <w:rFonts w:hint="eastAsia" w:ascii="仿宋_GB2312" w:eastAsia="仿宋_GB2312"/>
          <w:b/>
          <w:bCs/>
          <w:lang w:val="en-US" w:eastAsia="zh-CN"/>
        </w:rPr>
        <w:t>四是从人均GDP看</w:t>
      </w:r>
      <w:r>
        <w:rPr>
          <w:rFonts w:hint="eastAsia"/>
          <w:b/>
          <w:bCs/>
          <w:lang w:val="en-US" w:eastAsia="zh-CN"/>
        </w:rPr>
        <w:t>。</w:t>
      </w:r>
      <w:r>
        <w:rPr>
          <w:rFonts w:hint="eastAsia" w:ascii="仿宋_GB2312" w:eastAsia="仿宋_GB2312"/>
          <w:lang w:val="en-US" w:eastAsia="zh-CN"/>
        </w:rPr>
        <w:t>崖州区为6.1万元，低于澄迈县，高于其他县（市），</w:t>
      </w:r>
      <w:r>
        <w:rPr>
          <w:rFonts w:hint="eastAsia" w:ascii="仿宋_GB2312" w:eastAsia="仿宋_GB2312"/>
          <w:b w:val="0"/>
          <w:bCs w:val="0"/>
          <w:lang w:val="en-US" w:eastAsia="zh-CN"/>
        </w:rPr>
        <w:t>超过全省5.65万元的平均水平，约为全国人均GDP约1万美元的87%。崖州人均GDP较高得益于崖州湾科技城的基建投资显著拉动GDP，房地产投资和销售势头较好，冬季瓜菜种植效益较好，同时全区人口基数较小。崖州GDP中固投带动作用十分显著，且人口基数较小使得人均GDP较高，因此不能得出发展质量较高的结论，经济发展仍处在起步阶段</w:t>
      </w:r>
      <w:r>
        <w:rPr>
          <w:rFonts w:hint="eastAsia" w:ascii="仿宋_GB2312" w:eastAsia="仿宋_GB2312"/>
          <w:lang w:val="en-US" w:eastAsia="zh-CN"/>
        </w:rPr>
        <w:t>。</w:t>
      </w:r>
    </w:p>
    <w:p>
      <w:pPr>
        <w:bidi w:val="0"/>
        <w:ind w:firstLine="0" w:firstLineChars="0"/>
        <w:jc w:val="center"/>
        <w:rPr>
          <w:rFonts w:hint="eastAsia" w:ascii="楷体" w:hAnsi="楷体" w:eastAsia="楷体" w:cs="楷体"/>
          <w:b w:val="0"/>
          <w:bCs w:val="0"/>
          <w:sz w:val="28"/>
          <w:szCs w:val="28"/>
          <w:lang w:val="en-US" w:eastAsia="zh-CN"/>
        </w:rPr>
      </w:pPr>
      <w:r>
        <w:rPr>
          <w:rFonts w:hint="eastAsia" w:ascii="楷体" w:hAnsi="楷体" w:eastAsia="楷体" w:cs="楷体"/>
          <w:b w:val="0"/>
          <w:bCs w:val="0"/>
          <w:sz w:val="28"/>
          <w:szCs w:val="28"/>
          <w:lang w:val="en-US" w:eastAsia="zh-CN"/>
        </w:rPr>
        <w:t>表2  崖州区与全省15个县（市）比较（2019年）</w:t>
      </w:r>
    </w:p>
    <w:tbl>
      <w:tblPr>
        <w:tblStyle w:val="1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7"/>
        <w:gridCol w:w="970"/>
        <w:gridCol w:w="728"/>
        <w:gridCol w:w="970"/>
        <w:gridCol w:w="849"/>
        <w:gridCol w:w="1274"/>
        <w:gridCol w:w="970"/>
        <w:gridCol w:w="691"/>
        <w:gridCol w:w="1007"/>
        <w:gridCol w:w="6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blHeader/>
          <w:jc w:val="center"/>
        </w:trPr>
        <w:tc>
          <w:tcPr>
            <w:tcW w:w="457" w:type="dxa"/>
            <w:tcBorders>
              <w:top w:val="thinThickSmallGap" w:color="A4A4A4" w:sz="12"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color w:val="000000"/>
                <w:sz w:val="21"/>
                <w:szCs w:val="21"/>
                <w:lang w:val="en-US" w:eastAsia="zh-CN"/>
              </w:rPr>
            </w:pPr>
            <w:r>
              <w:rPr>
                <w:rFonts w:hint="eastAsia" w:ascii="楷体" w:hAnsi="楷体" w:eastAsia="楷体" w:cs="楷体"/>
                <w:b/>
                <w:bCs/>
                <w:color w:val="000000"/>
                <w:sz w:val="21"/>
                <w:szCs w:val="21"/>
                <w:lang w:val="en-US" w:eastAsia="zh-CN"/>
              </w:rPr>
              <w:t>排名</w:t>
            </w:r>
          </w:p>
        </w:tc>
        <w:tc>
          <w:tcPr>
            <w:tcW w:w="1698" w:type="dxa"/>
            <w:gridSpan w:val="2"/>
            <w:tcBorders>
              <w:top w:val="thinThickSmallGap" w:color="A4A4A4" w:sz="12"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color w:val="000000"/>
                <w:sz w:val="21"/>
                <w:szCs w:val="21"/>
                <w:lang w:val="en-US" w:eastAsia="zh-CN"/>
              </w:rPr>
            </w:pPr>
            <w:r>
              <w:rPr>
                <w:rFonts w:hint="eastAsia" w:ascii="楷体" w:hAnsi="楷体" w:eastAsia="楷体" w:cs="楷体"/>
                <w:b/>
                <w:bCs/>
                <w:color w:val="000000"/>
                <w:sz w:val="21"/>
                <w:szCs w:val="21"/>
                <w:lang w:val="en-US" w:eastAsia="zh-CN"/>
              </w:rPr>
              <w:t>常住人口</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color w:val="000000"/>
                <w:sz w:val="21"/>
                <w:szCs w:val="21"/>
                <w:lang w:val="en-US" w:eastAsia="zh-CN"/>
              </w:rPr>
            </w:pPr>
            <w:r>
              <w:rPr>
                <w:rFonts w:hint="eastAsia" w:ascii="楷体" w:hAnsi="楷体" w:eastAsia="楷体" w:cs="楷体"/>
                <w:b/>
                <w:bCs/>
                <w:color w:val="000000"/>
                <w:sz w:val="21"/>
                <w:szCs w:val="21"/>
                <w:lang w:val="en-US" w:eastAsia="zh-CN"/>
              </w:rPr>
              <w:t>（万人）</w:t>
            </w:r>
          </w:p>
        </w:tc>
        <w:tc>
          <w:tcPr>
            <w:tcW w:w="1819" w:type="dxa"/>
            <w:gridSpan w:val="2"/>
            <w:tcBorders>
              <w:top w:val="thinThickSmallGap" w:color="A4A4A4" w:sz="12" w:space="0"/>
              <w:right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color w:val="000000"/>
                <w:kern w:val="2"/>
                <w:sz w:val="21"/>
                <w:szCs w:val="21"/>
                <w:u w:val="none"/>
                <w:lang w:val="en-US" w:eastAsia="zh-CN" w:bidi="ar"/>
              </w:rPr>
            </w:pPr>
            <w:r>
              <w:rPr>
                <w:rFonts w:hint="eastAsia" w:ascii="楷体" w:hAnsi="楷体" w:eastAsia="楷体" w:cs="楷体"/>
                <w:b/>
                <w:bCs/>
                <w:i w:val="0"/>
                <w:color w:val="000000"/>
                <w:kern w:val="2"/>
                <w:sz w:val="21"/>
                <w:szCs w:val="21"/>
                <w:u w:val="none"/>
                <w:lang w:val="en-US" w:eastAsia="zh-CN" w:bidi="ar"/>
              </w:rPr>
              <w:t>GDP</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color w:val="000000"/>
                <w:kern w:val="2"/>
                <w:sz w:val="21"/>
                <w:szCs w:val="21"/>
                <w:u w:val="none"/>
                <w:lang w:val="en-US" w:eastAsia="zh-CN" w:bidi="ar"/>
              </w:rPr>
            </w:pPr>
            <w:r>
              <w:rPr>
                <w:rFonts w:hint="eastAsia" w:ascii="楷体" w:hAnsi="楷体" w:eastAsia="楷体" w:cs="楷体"/>
                <w:b/>
                <w:bCs/>
                <w:i w:val="0"/>
                <w:color w:val="000000"/>
                <w:kern w:val="2"/>
                <w:sz w:val="21"/>
                <w:szCs w:val="21"/>
                <w:u w:val="none"/>
                <w:lang w:val="en-US" w:eastAsia="zh-CN" w:bidi="ar"/>
              </w:rPr>
              <w:t>（亿元）</w:t>
            </w:r>
          </w:p>
        </w:tc>
        <w:tc>
          <w:tcPr>
            <w:tcW w:w="1274" w:type="dxa"/>
            <w:tcBorders>
              <w:top w:val="thinThickSmallGap" w:color="A4A4A4" w:sz="12" w:space="0"/>
              <w:left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color w:val="000000"/>
                <w:kern w:val="2"/>
                <w:sz w:val="21"/>
                <w:szCs w:val="21"/>
                <w:u w:val="none"/>
                <w:lang w:val="en-US" w:eastAsia="zh-CN" w:bidi="ar"/>
              </w:rPr>
            </w:pPr>
            <w:r>
              <w:rPr>
                <w:rFonts w:hint="eastAsia" w:ascii="楷体" w:hAnsi="楷体" w:eastAsia="楷体" w:cs="楷体"/>
                <w:b/>
                <w:bCs/>
                <w:i w:val="0"/>
                <w:color w:val="000000"/>
                <w:kern w:val="2"/>
                <w:sz w:val="21"/>
                <w:szCs w:val="21"/>
                <w:u w:val="none"/>
                <w:lang w:val="en-US" w:eastAsia="zh-CN" w:bidi="ar"/>
              </w:rPr>
              <w:t>三次产业</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color w:val="000000"/>
                <w:kern w:val="2"/>
                <w:sz w:val="21"/>
                <w:szCs w:val="21"/>
                <w:u w:val="none"/>
                <w:lang w:val="en-US" w:eastAsia="zh-CN" w:bidi="ar"/>
              </w:rPr>
            </w:pPr>
            <w:r>
              <w:rPr>
                <w:rFonts w:hint="eastAsia" w:ascii="楷体" w:hAnsi="楷体" w:eastAsia="楷体" w:cs="楷体"/>
                <w:b/>
                <w:bCs/>
                <w:i w:val="0"/>
                <w:color w:val="000000"/>
                <w:kern w:val="2"/>
                <w:sz w:val="21"/>
                <w:szCs w:val="21"/>
                <w:u w:val="none"/>
                <w:lang w:val="en-US" w:eastAsia="zh-CN" w:bidi="ar"/>
              </w:rPr>
              <w:t>结构</w:t>
            </w:r>
          </w:p>
        </w:tc>
        <w:tc>
          <w:tcPr>
            <w:tcW w:w="1661" w:type="dxa"/>
            <w:gridSpan w:val="2"/>
            <w:tcBorders>
              <w:top w:val="thinThickSmallGap" w:color="A4A4A4" w:sz="12"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color w:val="000000"/>
                <w:sz w:val="21"/>
                <w:szCs w:val="21"/>
                <w:lang w:val="en-US" w:eastAsia="zh-CN"/>
              </w:rPr>
            </w:pPr>
            <w:r>
              <w:rPr>
                <w:rFonts w:hint="eastAsia" w:ascii="楷体" w:hAnsi="楷体" w:eastAsia="楷体" w:cs="楷体"/>
                <w:b/>
                <w:bCs/>
                <w:color w:val="000000"/>
                <w:sz w:val="21"/>
                <w:szCs w:val="21"/>
                <w:lang w:val="en-US" w:eastAsia="zh-CN"/>
              </w:rPr>
              <w:t>GDP增速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color w:val="000000"/>
                <w:sz w:val="21"/>
                <w:szCs w:val="21"/>
                <w:lang w:val="en-US" w:eastAsia="zh-CN"/>
              </w:rPr>
            </w:pPr>
            <w:r>
              <w:rPr>
                <w:rFonts w:hint="eastAsia" w:ascii="楷体" w:hAnsi="楷体" w:eastAsia="楷体" w:cs="楷体"/>
                <w:b/>
                <w:bCs/>
                <w:color w:val="000000"/>
                <w:sz w:val="21"/>
                <w:szCs w:val="21"/>
                <w:lang w:val="en-US" w:eastAsia="zh-CN"/>
              </w:rPr>
              <w:t>（%）</w:t>
            </w:r>
          </w:p>
        </w:tc>
        <w:tc>
          <w:tcPr>
            <w:tcW w:w="1613" w:type="dxa"/>
            <w:gridSpan w:val="2"/>
            <w:tcBorders>
              <w:top w:val="thinThickSmallGap" w:color="A4A4A4" w:sz="12"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color w:val="000000"/>
                <w:sz w:val="21"/>
                <w:szCs w:val="21"/>
                <w:lang w:val="en-US" w:eastAsia="zh-CN"/>
              </w:rPr>
            </w:pPr>
            <w:r>
              <w:rPr>
                <w:rFonts w:hint="eastAsia" w:ascii="楷体" w:hAnsi="楷体" w:eastAsia="楷体" w:cs="楷体"/>
                <w:b/>
                <w:bCs/>
                <w:color w:val="000000"/>
                <w:sz w:val="21"/>
                <w:szCs w:val="21"/>
                <w:lang w:val="en-US" w:eastAsia="zh-CN"/>
              </w:rPr>
              <w:t>人均GDP</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color w:val="000000"/>
                <w:sz w:val="21"/>
                <w:szCs w:val="21"/>
                <w:lang w:val="en-US" w:eastAsia="zh-CN"/>
              </w:rPr>
            </w:pPr>
            <w:r>
              <w:rPr>
                <w:rFonts w:hint="eastAsia" w:ascii="楷体" w:hAnsi="楷体" w:eastAsia="楷体" w:cs="楷体"/>
                <w:b/>
                <w:bCs/>
                <w:color w:val="000000"/>
                <w:sz w:val="21"/>
                <w:szCs w:val="21"/>
                <w:lang w:val="en-US" w:eastAsia="zh-CN"/>
              </w:rPr>
              <w:t>（万元）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45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1</w:t>
            </w:r>
          </w:p>
        </w:tc>
        <w:tc>
          <w:tcPr>
            <w:tcW w:w="970" w:type="dxa"/>
            <w:tcBorders>
              <w:righ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万宁市</w:t>
            </w:r>
          </w:p>
        </w:tc>
        <w:tc>
          <w:tcPr>
            <w:tcW w:w="728" w:type="dxa"/>
            <w:tcBorders>
              <w:lef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58.5</w:t>
            </w:r>
          </w:p>
        </w:tc>
        <w:tc>
          <w:tcPr>
            <w:tcW w:w="970" w:type="dxa"/>
            <w:tcBorders>
              <w:righ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澄迈县</w:t>
            </w:r>
          </w:p>
        </w:tc>
        <w:tc>
          <w:tcPr>
            <w:tcW w:w="849" w:type="dxa"/>
            <w:tcBorders>
              <w:left w:val="dashed" w:color="auto" w:sz="4" w:space="0"/>
              <w:righ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330.2</w:t>
            </w:r>
          </w:p>
        </w:tc>
        <w:tc>
          <w:tcPr>
            <w:tcW w:w="1274" w:type="dxa"/>
            <w:tcBorders>
              <w:lef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26∶26∶48</w:t>
            </w:r>
          </w:p>
        </w:tc>
        <w:tc>
          <w:tcPr>
            <w:tcW w:w="970" w:type="dxa"/>
            <w:tcBorders>
              <w:righ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color w:val="000000"/>
                <w:sz w:val="21"/>
                <w:szCs w:val="21"/>
                <w:lang w:val="en-US" w:eastAsia="zh-CN"/>
              </w:rPr>
            </w:pPr>
            <w:r>
              <w:rPr>
                <w:rFonts w:hint="eastAsia" w:ascii="楷体" w:hAnsi="楷体" w:eastAsia="楷体" w:cs="楷体"/>
                <w:b/>
                <w:bCs/>
                <w:color w:val="000000"/>
                <w:sz w:val="21"/>
                <w:szCs w:val="21"/>
                <w:lang w:val="en-US" w:eastAsia="zh-CN"/>
              </w:rPr>
              <w:t>崖州区</w:t>
            </w:r>
          </w:p>
        </w:tc>
        <w:tc>
          <w:tcPr>
            <w:tcW w:w="691" w:type="dxa"/>
            <w:tcBorders>
              <w:lef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bCs/>
                <w:color w:val="000000"/>
                <w:sz w:val="21"/>
                <w:szCs w:val="21"/>
                <w:lang w:val="en-US" w:eastAsia="zh-CN"/>
              </w:rPr>
            </w:pPr>
            <w:r>
              <w:rPr>
                <w:rFonts w:hint="eastAsia" w:ascii="楷体" w:hAnsi="楷体" w:eastAsia="楷体" w:cs="楷体"/>
                <w:b/>
                <w:bCs/>
                <w:color w:val="000000"/>
                <w:sz w:val="21"/>
                <w:szCs w:val="21"/>
                <w:lang w:val="en-US" w:eastAsia="zh-CN"/>
              </w:rPr>
              <w:t>13.2</w:t>
            </w:r>
          </w:p>
        </w:tc>
        <w:tc>
          <w:tcPr>
            <w:tcW w:w="1007" w:type="dxa"/>
            <w:tcBorders>
              <w:righ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澄迈县</w:t>
            </w:r>
          </w:p>
        </w:tc>
        <w:tc>
          <w:tcPr>
            <w:tcW w:w="606" w:type="dxa"/>
            <w:tcBorders>
              <w:lef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45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2</w:t>
            </w:r>
          </w:p>
        </w:tc>
        <w:tc>
          <w:tcPr>
            <w:tcW w:w="970" w:type="dxa"/>
            <w:tcBorders>
              <w:righ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文昌市</w:t>
            </w:r>
          </w:p>
        </w:tc>
        <w:tc>
          <w:tcPr>
            <w:tcW w:w="728" w:type="dxa"/>
            <w:tcBorders>
              <w:lef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57.5</w:t>
            </w:r>
          </w:p>
        </w:tc>
        <w:tc>
          <w:tcPr>
            <w:tcW w:w="970" w:type="dxa"/>
            <w:tcBorders>
              <w:righ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琼海市</w:t>
            </w:r>
          </w:p>
        </w:tc>
        <w:tc>
          <w:tcPr>
            <w:tcW w:w="849" w:type="dxa"/>
            <w:tcBorders>
              <w:left w:val="dashed" w:color="auto" w:sz="4" w:space="0"/>
              <w:righ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283.3</w:t>
            </w:r>
          </w:p>
        </w:tc>
        <w:tc>
          <w:tcPr>
            <w:tcW w:w="1274" w:type="dxa"/>
            <w:tcBorders>
              <w:lef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32∶13∶55</w:t>
            </w:r>
          </w:p>
        </w:tc>
        <w:tc>
          <w:tcPr>
            <w:tcW w:w="970" w:type="dxa"/>
            <w:tcBorders>
              <w:righ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160" w:leftChars="-50" w:right="-160" w:rightChars="-50" w:firstLine="0" w:firstLineChars="0"/>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五指山市</w:t>
            </w:r>
          </w:p>
        </w:tc>
        <w:tc>
          <w:tcPr>
            <w:tcW w:w="691" w:type="dxa"/>
            <w:tcBorders>
              <w:lef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6.0</w:t>
            </w:r>
          </w:p>
        </w:tc>
        <w:tc>
          <w:tcPr>
            <w:tcW w:w="1007" w:type="dxa"/>
            <w:tcBorders>
              <w:righ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color w:val="000000"/>
                <w:sz w:val="21"/>
                <w:szCs w:val="21"/>
                <w:lang w:val="en-US" w:eastAsia="zh-CN"/>
              </w:rPr>
            </w:pPr>
            <w:r>
              <w:rPr>
                <w:rFonts w:hint="eastAsia" w:ascii="楷体" w:hAnsi="楷体" w:eastAsia="楷体" w:cs="楷体"/>
                <w:b/>
                <w:bCs/>
                <w:color w:val="000000"/>
                <w:sz w:val="21"/>
                <w:szCs w:val="21"/>
                <w:lang w:val="en-US" w:eastAsia="zh-CN"/>
              </w:rPr>
              <w:t>崖州区</w:t>
            </w:r>
          </w:p>
        </w:tc>
        <w:tc>
          <w:tcPr>
            <w:tcW w:w="606" w:type="dxa"/>
            <w:tcBorders>
              <w:lef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bCs/>
                <w:color w:val="000000"/>
                <w:sz w:val="21"/>
                <w:szCs w:val="21"/>
                <w:lang w:val="en-US" w:eastAsia="zh-CN"/>
              </w:rPr>
            </w:pPr>
            <w:r>
              <w:rPr>
                <w:rFonts w:hint="eastAsia" w:ascii="楷体" w:hAnsi="楷体" w:eastAsia="楷体" w:cs="楷体"/>
                <w:b/>
                <w:bCs/>
                <w:color w:val="000000"/>
                <w:sz w:val="21"/>
                <w:szCs w:val="21"/>
                <w:lang w:val="en-US" w:eastAsia="zh-CN"/>
              </w:rPr>
              <w:t>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45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3</w:t>
            </w:r>
          </w:p>
        </w:tc>
        <w:tc>
          <w:tcPr>
            <w:tcW w:w="970" w:type="dxa"/>
            <w:tcBorders>
              <w:righ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琼海市</w:t>
            </w:r>
          </w:p>
        </w:tc>
        <w:tc>
          <w:tcPr>
            <w:tcW w:w="728" w:type="dxa"/>
            <w:tcBorders>
              <w:lef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52.1</w:t>
            </w:r>
          </w:p>
        </w:tc>
        <w:tc>
          <w:tcPr>
            <w:tcW w:w="970" w:type="dxa"/>
            <w:tcBorders>
              <w:righ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文昌市</w:t>
            </w:r>
          </w:p>
        </w:tc>
        <w:tc>
          <w:tcPr>
            <w:tcW w:w="849" w:type="dxa"/>
            <w:tcBorders>
              <w:left w:val="dashed" w:color="auto" w:sz="4" w:space="0"/>
              <w:righ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257.0</w:t>
            </w:r>
          </w:p>
        </w:tc>
        <w:tc>
          <w:tcPr>
            <w:tcW w:w="1274" w:type="dxa"/>
            <w:tcBorders>
              <w:lef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34∶21∶45</w:t>
            </w:r>
          </w:p>
        </w:tc>
        <w:tc>
          <w:tcPr>
            <w:tcW w:w="970" w:type="dxa"/>
            <w:tcBorders>
              <w:righ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澄迈县</w:t>
            </w:r>
          </w:p>
        </w:tc>
        <w:tc>
          <w:tcPr>
            <w:tcW w:w="691" w:type="dxa"/>
            <w:tcBorders>
              <w:lef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6.0</w:t>
            </w:r>
          </w:p>
        </w:tc>
        <w:tc>
          <w:tcPr>
            <w:tcW w:w="1007" w:type="dxa"/>
            <w:tcBorders>
              <w:righ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陵水县</w:t>
            </w:r>
          </w:p>
        </w:tc>
        <w:tc>
          <w:tcPr>
            <w:tcW w:w="606" w:type="dxa"/>
            <w:tcBorders>
              <w:lef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default"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45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4</w:t>
            </w:r>
          </w:p>
        </w:tc>
        <w:tc>
          <w:tcPr>
            <w:tcW w:w="970" w:type="dxa"/>
            <w:tcBorders>
              <w:righ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澄迈县</w:t>
            </w:r>
          </w:p>
        </w:tc>
        <w:tc>
          <w:tcPr>
            <w:tcW w:w="728" w:type="dxa"/>
            <w:tcBorders>
              <w:lef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49.4</w:t>
            </w:r>
          </w:p>
        </w:tc>
        <w:tc>
          <w:tcPr>
            <w:tcW w:w="970" w:type="dxa"/>
            <w:tcBorders>
              <w:righ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万宁市</w:t>
            </w:r>
          </w:p>
        </w:tc>
        <w:tc>
          <w:tcPr>
            <w:tcW w:w="849" w:type="dxa"/>
            <w:tcBorders>
              <w:left w:val="dashed" w:color="auto" w:sz="4" w:space="0"/>
              <w:righ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235.6</w:t>
            </w:r>
          </w:p>
        </w:tc>
        <w:tc>
          <w:tcPr>
            <w:tcW w:w="1274" w:type="dxa"/>
            <w:tcBorders>
              <w:lef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30∶22∶48</w:t>
            </w:r>
          </w:p>
        </w:tc>
        <w:tc>
          <w:tcPr>
            <w:tcW w:w="970" w:type="dxa"/>
            <w:tcBorders>
              <w:righ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琼中县</w:t>
            </w:r>
          </w:p>
        </w:tc>
        <w:tc>
          <w:tcPr>
            <w:tcW w:w="691" w:type="dxa"/>
            <w:tcBorders>
              <w:lef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5.5</w:t>
            </w:r>
          </w:p>
        </w:tc>
        <w:tc>
          <w:tcPr>
            <w:tcW w:w="1007" w:type="dxa"/>
            <w:tcBorders>
              <w:righ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琼海市</w:t>
            </w:r>
          </w:p>
        </w:tc>
        <w:tc>
          <w:tcPr>
            <w:tcW w:w="606" w:type="dxa"/>
            <w:tcBorders>
              <w:lef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45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5</w:t>
            </w:r>
          </w:p>
        </w:tc>
        <w:tc>
          <w:tcPr>
            <w:tcW w:w="970" w:type="dxa"/>
            <w:tcBorders>
              <w:righ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乐东县</w:t>
            </w:r>
          </w:p>
        </w:tc>
        <w:tc>
          <w:tcPr>
            <w:tcW w:w="728" w:type="dxa"/>
            <w:tcBorders>
              <w:lef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48.3</w:t>
            </w:r>
          </w:p>
        </w:tc>
        <w:tc>
          <w:tcPr>
            <w:tcW w:w="970" w:type="dxa"/>
            <w:tcBorders>
              <w:righ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临高县</w:t>
            </w:r>
          </w:p>
        </w:tc>
        <w:tc>
          <w:tcPr>
            <w:tcW w:w="849" w:type="dxa"/>
            <w:tcBorders>
              <w:left w:val="dashed" w:color="auto" w:sz="4" w:space="0"/>
              <w:righ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195.4</w:t>
            </w:r>
          </w:p>
        </w:tc>
        <w:tc>
          <w:tcPr>
            <w:tcW w:w="1274" w:type="dxa"/>
            <w:tcBorders>
              <w:lef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62∶ 7∶31</w:t>
            </w:r>
          </w:p>
        </w:tc>
        <w:tc>
          <w:tcPr>
            <w:tcW w:w="970" w:type="dxa"/>
            <w:tcBorders>
              <w:righ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文昌市</w:t>
            </w:r>
          </w:p>
        </w:tc>
        <w:tc>
          <w:tcPr>
            <w:tcW w:w="691" w:type="dxa"/>
            <w:tcBorders>
              <w:lef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5.2</w:t>
            </w:r>
          </w:p>
        </w:tc>
        <w:tc>
          <w:tcPr>
            <w:tcW w:w="1007" w:type="dxa"/>
            <w:tcBorders>
              <w:righ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昌江县</w:t>
            </w:r>
          </w:p>
        </w:tc>
        <w:tc>
          <w:tcPr>
            <w:tcW w:w="606" w:type="dxa"/>
            <w:tcBorders>
              <w:lef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45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6</w:t>
            </w:r>
          </w:p>
        </w:tc>
        <w:tc>
          <w:tcPr>
            <w:tcW w:w="970" w:type="dxa"/>
            <w:tcBorders>
              <w:righ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临高县</w:t>
            </w:r>
          </w:p>
        </w:tc>
        <w:tc>
          <w:tcPr>
            <w:tcW w:w="728" w:type="dxa"/>
            <w:tcBorders>
              <w:lef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45.1</w:t>
            </w:r>
          </w:p>
        </w:tc>
        <w:tc>
          <w:tcPr>
            <w:tcW w:w="970" w:type="dxa"/>
            <w:tcBorders>
              <w:righ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东方市</w:t>
            </w:r>
          </w:p>
        </w:tc>
        <w:tc>
          <w:tcPr>
            <w:tcW w:w="849" w:type="dxa"/>
            <w:tcBorders>
              <w:left w:val="dashed" w:color="auto" w:sz="4" w:space="0"/>
              <w:righ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193.1</w:t>
            </w:r>
          </w:p>
        </w:tc>
        <w:tc>
          <w:tcPr>
            <w:tcW w:w="1274" w:type="dxa"/>
            <w:tcBorders>
              <w:lef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25∶42∶33</w:t>
            </w:r>
          </w:p>
        </w:tc>
        <w:tc>
          <w:tcPr>
            <w:tcW w:w="970" w:type="dxa"/>
            <w:tcBorders>
              <w:righ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琼海市</w:t>
            </w:r>
          </w:p>
        </w:tc>
        <w:tc>
          <w:tcPr>
            <w:tcW w:w="691" w:type="dxa"/>
            <w:tcBorders>
              <w:lef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5.1</w:t>
            </w:r>
          </w:p>
        </w:tc>
        <w:tc>
          <w:tcPr>
            <w:tcW w:w="1007" w:type="dxa"/>
            <w:tcBorders>
              <w:righ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文昌市</w:t>
            </w:r>
          </w:p>
        </w:tc>
        <w:tc>
          <w:tcPr>
            <w:tcW w:w="606" w:type="dxa"/>
            <w:tcBorders>
              <w:lef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45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7</w:t>
            </w:r>
          </w:p>
        </w:tc>
        <w:tc>
          <w:tcPr>
            <w:tcW w:w="970" w:type="dxa"/>
            <w:tcBorders>
              <w:righ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东方市</w:t>
            </w:r>
          </w:p>
        </w:tc>
        <w:tc>
          <w:tcPr>
            <w:tcW w:w="728" w:type="dxa"/>
            <w:tcBorders>
              <w:lef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43.5</w:t>
            </w:r>
          </w:p>
        </w:tc>
        <w:tc>
          <w:tcPr>
            <w:tcW w:w="970" w:type="dxa"/>
            <w:tcBorders>
              <w:righ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陵水县</w:t>
            </w:r>
          </w:p>
        </w:tc>
        <w:tc>
          <w:tcPr>
            <w:tcW w:w="849" w:type="dxa"/>
            <w:tcBorders>
              <w:left w:val="dashed" w:color="auto" w:sz="4" w:space="0"/>
              <w:righ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163.1</w:t>
            </w:r>
          </w:p>
        </w:tc>
        <w:tc>
          <w:tcPr>
            <w:tcW w:w="1274" w:type="dxa"/>
            <w:tcBorders>
              <w:lef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27∶18∶55</w:t>
            </w:r>
          </w:p>
        </w:tc>
        <w:tc>
          <w:tcPr>
            <w:tcW w:w="970" w:type="dxa"/>
            <w:tcBorders>
              <w:righ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屯昌县</w:t>
            </w:r>
          </w:p>
        </w:tc>
        <w:tc>
          <w:tcPr>
            <w:tcW w:w="691" w:type="dxa"/>
            <w:tcBorders>
              <w:lef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5.0</w:t>
            </w:r>
          </w:p>
        </w:tc>
        <w:tc>
          <w:tcPr>
            <w:tcW w:w="1007" w:type="dxa"/>
            <w:tcBorders>
              <w:righ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东方市</w:t>
            </w:r>
          </w:p>
        </w:tc>
        <w:tc>
          <w:tcPr>
            <w:tcW w:w="606" w:type="dxa"/>
            <w:tcBorders>
              <w:lef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45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8</w:t>
            </w:r>
          </w:p>
        </w:tc>
        <w:tc>
          <w:tcPr>
            <w:tcW w:w="970" w:type="dxa"/>
            <w:tcBorders>
              <w:righ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陵水县</w:t>
            </w:r>
          </w:p>
        </w:tc>
        <w:tc>
          <w:tcPr>
            <w:tcW w:w="728" w:type="dxa"/>
            <w:tcBorders>
              <w:lef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33.4</w:t>
            </w:r>
          </w:p>
        </w:tc>
        <w:tc>
          <w:tcPr>
            <w:tcW w:w="970" w:type="dxa"/>
            <w:tcBorders>
              <w:righ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乐东县</w:t>
            </w:r>
          </w:p>
        </w:tc>
        <w:tc>
          <w:tcPr>
            <w:tcW w:w="849" w:type="dxa"/>
            <w:tcBorders>
              <w:left w:val="dashed" w:color="auto" w:sz="4" w:space="0"/>
              <w:righ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144.4</w:t>
            </w:r>
          </w:p>
        </w:tc>
        <w:tc>
          <w:tcPr>
            <w:tcW w:w="1274" w:type="dxa"/>
            <w:tcBorders>
              <w:lef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54∶12∶34</w:t>
            </w:r>
          </w:p>
        </w:tc>
        <w:tc>
          <w:tcPr>
            <w:tcW w:w="970" w:type="dxa"/>
            <w:tcBorders>
              <w:righ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临高县</w:t>
            </w:r>
          </w:p>
        </w:tc>
        <w:tc>
          <w:tcPr>
            <w:tcW w:w="691" w:type="dxa"/>
            <w:tcBorders>
              <w:lef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4.6</w:t>
            </w:r>
          </w:p>
        </w:tc>
        <w:tc>
          <w:tcPr>
            <w:tcW w:w="1007" w:type="dxa"/>
            <w:tcBorders>
              <w:righ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临高县</w:t>
            </w:r>
          </w:p>
        </w:tc>
        <w:tc>
          <w:tcPr>
            <w:tcW w:w="606" w:type="dxa"/>
            <w:tcBorders>
              <w:lef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45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9</w:t>
            </w:r>
          </w:p>
        </w:tc>
        <w:tc>
          <w:tcPr>
            <w:tcW w:w="970" w:type="dxa"/>
            <w:tcBorders>
              <w:righ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定安县</w:t>
            </w:r>
          </w:p>
        </w:tc>
        <w:tc>
          <w:tcPr>
            <w:tcW w:w="728" w:type="dxa"/>
            <w:tcBorders>
              <w:lef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30.1</w:t>
            </w:r>
          </w:p>
        </w:tc>
        <w:tc>
          <w:tcPr>
            <w:tcW w:w="970" w:type="dxa"/>
            <w:tcBorders>
              <w:righ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昌江县</w:t>
            </w:r>
          </w:p>
        </w:tc>
        <w:tc>
          <w:tcPr>
            <w:tcW w:w="849" w:type="dxa"/>
            <w:tcBorders>
              <w:left w:val="dashed" w:color="auto" w:sz="4" w:space="0"/>
              <w:righ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126.3</w:t>
            </w:r>
          </w:p>
        </w:tc>
        <w:tc>
          <w:tcPr>
            <w:tcW w:w="1274" w:type="dxa"/>
            <w:tcBorders>
              <w:lef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26∶42∶32</w:t>
            </w:r>
          </w:p>
        </w:tc>
        <w:tc>
          <w:tcPr>
            <w:tcW w:w="970" w:type="dxa"/>
            <w:tcBorders>
              <w:righ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白沙县</w:t>
            </w:r>
          </w:p>
        </w:tc>
        <w:tc>
          <w:tcPr>
            <w:tcW w:w="691" w:type="dxa"/>
            <w:tcBorders>
              <w:lef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4.5</w:t>
            </w:r>
          </w:p>
        </w:tc>
        <w:tc>
          <w:tcPr>
            <w:tcW w:w="1007" w:type="dxa"/>
            <w:tcBorders>
              <w:righ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万宁市</w:t>
            </w:r>
          </w:p>
        </w:tc>
        <w:tc>
          <w:tcPr>
            <w:tcW w:w="606" w:type="dxa"/>
            <w:tcBorders>
              <w:lef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45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10</w:t>
            </w:r>
          </w:p>
        </w:tc>
        <w:tc>
          <w:tcPr>
            <w:tcW w:w="970" w:type="dxa"/>
            <w:tcBorders>
              <w:righ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屯昌县</w:t>
            </w:r>
          </w:p>
        </w:tc>
        <w:tc>
          <w:tcPr>
            <w:tcW w:w="728" w:type="dxa"/>
            <w:tcBorders>
              <w:lef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26.9</w:t>
            </w:r>
          </w:p>
        </w:tc>
        <w:tc>
          <w:tcPr>
            <w:tcW w:w="970" w:type="dxa"/>
            <w:tcBorders>
              <w:righ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定安县</w:t>
            </w:r>
          </w:p>
        </w:tc>
        <w:tc>
          <w:tcPr>
            <w:tcW w:w="849" w:type="dxa"/>
            <w:tcBorders>
              <w:left w:val="dashed" w:color="auto" w:sz="4" w:space="0"/>
              <w:righ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104.4</w:t>
            </w:r>
          </w:p>
        </w:tc>
        <w:tc>
          <w:tcPr>
            <w:tcW w:w="1274" w:type="dxa"/>
            <w:tcBorders>
              <w:lef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35∶17∶48</w:t>
            </w:r>
          </w:p>
        </w:tc>
        <w:tc>
          <w:tcPr>
            <w:tcW w:w="970" w:type="dxa"/>
            <w:tcBorders>
              <w:righ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万宁市</w:t>
            </w:r>
          </w:p>
        </w:tc>
        <w:tc>
          <w:tcPr>
            <w:tcW w:w="691" w:type="dxa"/>
            <w:tcBorders>
              <w:lef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4.1</w:t>
            </w:r>
          </w:p>
        </w:tc>
        <w:tc>
          <w:tcPr>
            <w:tcW w:w="1007" w:type="dxa"/>
            <w:tcBorders>
              <w:righ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保亭县</w:t>
            </w:r>
          </w:p>
        </w:tc>
        <w:tc>
          <w:tcPr>
            <w:tcW w:w="606" w:type="dxa"/>
            <w:tcBorders>
              <w:lef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45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11</w:t>
            </w:r>
          </w:p>
        </w:tc>
        <w:tc>
          <w:tcPr>
            <w:tcW w:w="970" w:type="dxa"/>
            <w:tcBorders>
              <w:righ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昌江县</w:t>
            </w:r>
          </w:p>
        </w:tc>
        <w:tc>
          <w:tcPr>
            <w:tcW w:w="728" w:type="dxa"/>
            <w:tcBorders>
              <w:lef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23.6</w:t>
            </w:r>
          </w:p>
        </w:tc>
        <w:tc>
          <w:tcPr>
            <w:tcW w:w="970" w:type="dxa"/>
            <w:tcBorders>
              <w:righ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屯昌县</w:t>
            </w:r>
          </w:p>
        </w:tc>
        <w:tc>
          <w:tcPr>
            <w:tcW w:w="849" w:type="dxa"/>
            <w:tcBorders>
              <w:left w:val="dashed" w:color="auto" w:sz="4" w:space="0"/>
              <w:righ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85.7</w:t>
            </w:r>
          </w:p>
        </w:tc>
        <w:tc>
          <w:tcPr>
            <w:tcW w:w="1274" w:type="dxa"/>
            <w:tcBorders>
              <w:lef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36∶12∶52</w:t>
            </w:r>
          </w:p>
        </w:tc>
        <w:tc>
          <w:tcPr>
            <w:tcW w:w="970" w:type="dxa"/>
            <w:tcBorders>
              <w:righ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乐东县</w:t>
            </w:r>
          </w:p>
        </w:tc>
        <w:tc>
          <w:tcPr>
            <w:tcW w:w="691" w:type="dxa"/>
            <w:tcBorders>
              <w:lef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3.9</w:t>
            </w:r>
          </w:p>
        </w:tc>
        <w:tc>
          <w:tcPr>
            <w:tcW w:w="1007" w:type="dxa"/>
            <w:tcBorders>
              <w:righ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定安县</w:t>
            </w:r>
          </w:p>
        </w:tc>
        <w:tc>
          <w:tcPr>
            <w:tcW w:w="606" w:type="dxa"/>
            <w:tcBorders>
              <w:lef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45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12</w:t>
            </w:r>
          </w:p>
        </w:tc>
        <w:tc>
          <w:tcPr>
            <w:tcW w:w="970" w:type="dxa"/>
            <w:tcBorders>
              <w:righ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琼中县</w:t>
            </w:r>
          </w:p>
        </w:tc>
        <w:tc>
          <w:tcPr>
            <w:tcW w:w="728" w:type="dxa"/>
            <w:tcBorders>
              <w:lef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18.0</w:t>
            </w:r>
          </w:p>
        </w:tc>
        <w:tc>
          <w:tcPr>
            <w:tcW w:w="970" w:type="dxa"/>
            <w:tcBorders>
              <w:righ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color w:val="000000"/>
                <w:sz w:val="21"/>
                <w:szCs w:val="21"/>
                <w:lang w:val="en-US" w:eastAsia="zh-CN"/>
              </w:rPr>
            </w:pPr>
            <w:r>
              <w:rPr>
                <w:rFonts w:hint="eastAsia" w:ascii="楷体" w:hAnsi="楷体" w:eastAsia="楷体" w:cs="楷体"/>
                <w:b/>
                <w:bCs/>
                <w:color w:val="000000"/>
                <w:sz w:val="21"/>
                <w:szCs w:val="21"/>
                <w:lang w:val="en-US" w:eastAsia="zh-CN"/>
              </w:rPr>
              <w:t>崖州区</w:t>
            </w:r>
          </w:p>
        </w:tc>
        <w:tc>
          <w:tcPr>
            <w:tcW w:w="849" w:type="dxa"/>
            <w:tcBorders>
              <w:left w:val="dashed" w:color="auto" w:sz="4" w:space="0"/>
              <w:righ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bCs/>
                <w:color w:val="000000"/>
                <w:sz w:val="21"/>
                <w:szCs w:val="21"/>
                <w:lang w:val="en-US" w:eastAsia="zh-CN"/>
              </w:rPr>
            </w:pPr>
            <w:r>
              <w:rPr>
                <w:rFonts w:hint="eastAsia" w:ascii="楷体" w:hAnsi="楷体" w:eastAsia="楷体" w:cs="楷体"/>
                <w:b/>
                <w:bCs/>
                <w:color w:val="000000"/>
                <w:sz w:val="21"/>
                <w:szCs w:val="21"/>
                <w:lang w:val="en-US" w:eastAsia="zh-CN"/>
              </w:rPr>
              <w:t>64.3</w:t>
            </w:r>
          </w:p>
        </w:tc>
        <w:tc>
          <w:tcPr>
            <w:tcW w:w="1274" w:type="dxa"/>
            <w:tcBorders>
              <w:lef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b/>
                <w:bCs/>
                <w:color w:val="000000"/>
                <w:sz w:val="21"/>
                <w:szCs w:val="21"/>
                <w:lang w:val="en-US" w:eastAsia="zh-CN"/>
              </w:rPr>
              <w:t>32∶12∶56</w:t>
            </w:r>
          </w:p>
        </w:tc>
        <w:tc>
          <w:tcPr>
            <w:tcW w:w="970" w:type="dxa"/>
            <w:tcBorders>
              <w:righ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昌江县</w:t>
            </w:r>
          </w:p>
        </w:tc>
        <w:tc>
          <w:tcPr>
            <w:tcW w:w="691" w:type="dxa"/>
            <w:tcBorders>
              <w:lef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3.5</w:t>
            </w:r>
          </w:p>
        </w:tc>
        <w:tc>
          <w:tcPr>
            <w:tcW w:w="1007" w:type="dxa"/>
            <w:tcBorders>
              <w:righ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白沙县</w:t>
            </w:r>
          </w:p>
        </w:tc>
        <w:tc>
          <w:tcPr>
            <w:tcW w:w="606" w:type="dxa"/>
            <w:tcBorders>
              <w:lef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45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13</w:t>
            </w:r>
          </w:p>
        </w:tc>
        <w:tc>
          <w:tcPr>
            <w:tcW w:w="970" w:type="dxa"/>
            <w:tcBorders>
              <w:righ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白沙县</w:t>
            </w:r>
          </w:p>
        </w:tc>
        <w:tc>
          <w:tcPr>
            <w:tcW w:w="728" w:type="dxa"/>
            <w:tcBorders>
              <w:lef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17.3</w:t>
            </w:r>
          </w:p>
        </w:tc>
        <w:tc>
          <w:tcPr>
            <w:tcW w:w="970" w:type="dxa"/>
            <w:tcBorders>
              <w:righ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琼中县</w:t>
            </w:r>
          </w:p>
        </w:tc>
        <w:tc>
          <w:tcPr>
            <w:tcW w:w="849" w:type="dxa"/>
            <w:tcBorders>
              <w:left w:val="dashed" w:color="auto" w:sz="4" w:space="0"/>
              <w:righ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57.5</w:t>
            </w:r>
          </w:p>
        </w:tc>
        <w:tc>
          <w:tcPr>
            <w:tcW w:w="1274" w:type="dxa"/>
            <w:tcBorders>
              <w:lef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36∶15∶49</w:t>
            </w:r>
          </w:p>
        </w:tc>
        <w:tc>
          <w:tcPr>
            <w:tcW w:w="970" w:type="dxa"/>
            <w:tcBorders>
              <w:righ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保亭县</w:t>
            </w:r>
          </w:p>
        </w:tc>
        <w:tc>
          <w:tcPr>
            <w:tcW w:w="691" w:type="dxa"/>
            <w:tcBorders>
              <w:lef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3.3</w:t>
            </w:r>
          </w:p>
        </w:tc>
        <w:tc>
          <w:tcPr>
            <w:tcW w:w="1007" w:type="dxa"/>
            <w:tcBorders>
              <w:righ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琼中县</w:t>
            </w:r>
          </w:p>
        </w:tc>
        <w:tc>
          <w:tcPr>
            <w:tcW w:w="606" w:type="dxa"/>
            <w:tcBorders>
              <w:lef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45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14</w:t>
            </w:r>
          </w:p>
        </w:tc>
        <w:tc>
          <w:tcPr>
            <w:tcW w:w="970" w:type="dxa"/>
            <w:tcBorders>
              <w:righ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保亭县</w:t>
            </w:r>
          </w:p>
        </w:tc>
        <w:tc>
          <w:tcPr>
            <w:tcW w:w="728" w:type="dxa"/>
            <w:tcBorders>
              <w:lef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15.3</w:t>
            </w:r>
          </w:p>
        </w:tc>
        <w:tc>
          <w:tcPr>
            <w:tcW w:w="970" w:type="dxa"/>
            <w:tcBorders>
              <w:righ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白沙县</w:t>
            </w:r>
          </w:p>
        </w:tc>
        <w:tc>
          <w:tcPr>
            <w:tcW w:w="849" w:type="dxa"/>
            <w:tcBorders>
              <w:left w:val="dashed" w:color="auto" w:sz="4" w:space="0"/>
              <w:righ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56.6</w:t>
            </w:r>
          </w:p>
        </w:tc>
        <w:tc>
          <w:tcPr>
            <w:tcW w:w="1274" w:type="dxa"/>
            <w:tcBorders>
              <w:lef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41∶10∶49</w:t>
            </w:r>
          </w:p>
        </w:tc>
        <w:tc>
          <w:tcPr>
            <w:tcW w:w="970" w:type="dxa"/>
            <w:tcBorders>
              <w:righ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东方市</w:t>
            </w:r>
          </w:p>
        </w:tc>
        <w:tc>
          <w:tcPr>
            <w:tcW w:w="691" w:type="dxa"/>
            <w:tcBorders>
              <w:lef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3.2</w:t>
            </w:r>
          </w:p>
        </w:tc>
        <w:tc>
          <w:tcPr>
            <w:tcW w:w="1007" w:type="dxa"/>
            <w:tcBorders>
              <w:righ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屯昌县</w:t>
            </w:r>
          </w:p>
        </w:tc>
        <w:tc>
          <w:tcPr>
            <w:tcW w:w="606" w:type="dxa"/>
            <w:tcBorders>
              <w:lef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45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15</w:t>
            </w:r>
          </w:p>
        </w:tc>
        <w:tc>
          <w:tcPr>
            <w:tcW w:w="970" w:type="dxa"/>
            <w:tcBorders>
              <w:righ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160" w:leftChars="-50" w:right="-160" w:rightChars="-50" w:firstLine="0" w:firstLineChars="0"/>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五指山市</w:t>
            </w:r>
          </w:p>
        </w:tc>
        <w:tc>
          <w:tcPr>
            <w:tcW w:w="728" w:type="dxa"/>
            <w:tcBorders>
              <w:lef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10.7</w:t>
            </w:r>
          </w:p>
        </w:tc>
        <w:tc>
          <w:tcPr>
            <w:tcW w:w="970" w:type="dxa"/>
            <w:tcBorders>
              <w:righ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保亭县</w:t>
            </w:r>
          </w:p>
        </w:tc>
        <w:tc>
          <w:tcPr>
            <w:tcW w:w="849" w:type="dxa"/>
            <w:tcBorders>
              <w:left w:val="dashed" w:color="auto" w:sz="4" w:space="0"/>
              <w:righ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55.7</w:t>
            </w:r>
          </w:p>
        </w:tc>
        <w:tc>
          <w:tcPr>
            <w:tcW w:w="1274" w:type="dxa"/>
            <w:tcBorders>
              <w:lef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35∶11∶54</w:t>
            </w:r>
          </w:p>
        </w:tc>
        <w:tc>
          <w:tcPr>
            <w:tcW w:w="970" w:type="dxa"/>
            <w:tcBorders>
              <w:righ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定安县</w:t>
            </w:r>
          </w:p>
        </w:tc>
        <w:tc>
          <w:tcPr>
            <w:tcW w:w="691" w:type="dxa"/>
            <w:tcBorders>
              <w:lef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2.9</w:t>
            </w:r>
          </w:p>
        </w:tc>
        <w:tc>
          <w:tcPr>
            <w:tcW w:w="1007" w:type="dxa"/>
            <w:tcBorders>
              <w:righ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160" w:leftChars="-50" w:right="-160" w:rightChars="-50" w:firstLine="0" w:firstLineChars="0"/>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五指山市</w:t>
            </w:r>
          </w:p>
        </w:tc>
        <w:tc>
          <w:tcPr>
            <w:tcW w:w="606" w:type="dxa"/>
            <w:tcBorders>
              <w:lef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457" w:type="dxa"/>
            <w:tcBorders>
              <w:bottom w:val="thickThinSmallGap" w:color="A4A4A4" w:sz="12"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16</w:t>
            </w:r>
          </w:p>
        </w:tc>
        <w:tc>
          <w:tcPr>
            <w:tcW w:w="970" w:type="dxa"/>
            <w:tcBorders>
              <w:bottom w:val="thickThinSmallGap" w:color="A4A4A4" w:sz="12" w:space="0"/>
              <w:righ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color w:val="000000"/>
                <w:sz w:val="21"/>
                <w:szCs w:val="21"/>
                <w:lang w:val="en-US" w:eastAsia="zh-CN"/>
              </w:rPr>
            </w:pPr>
            <w:r>
              <w:rPr>
                <w:rFonts w:hint="eastAsia" w:ascii="楷体" w:hAnsi="楷体" w:eastAsia="楷体" w:cs="楷体"/>
                <w:b/>
                <w:bCs/>
                <w:color w:val="000000"/>
                <w:sz w:val="21"/>
                <w:szCs w:val="21"/>
                <w:lang w:val="en-US" w:eastAsia="zh-CN"/>
              </w:rPr>
              <w:t>崖州区</w:t>
            </w:r>
          </w:p>
        </w:tc>
        <w:tc>
          <w:tcPr>
            <w:tcW w:w="728" w:type="dxa"/>
            <w:tcBorders>
              <w:left w:val="dashed" w:color="auto" w:sz="4" w:space="0"/>
              <w:bottom w:val="thickThinSmallGap" w:color="A4A4A4" w:sz="12"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bCs/>
                <w:color w:val="000000"/>
                <w:sz w:val="21"/>
                <w:szCs w:val="21"/>
                <w:lang w:val="en-US" w:eastAsia="zh-CN"/>
              </w:rPr>
            </w:pPr>
            <w:r>
              <w:rPr>
                <w:rFonts w:hint="eastAsia" w:ascii="楷体" w:hAnsi="楷体" w:eastAsia="楷体" w:cs="楷体"/>
                <w:b/>
                <w:bCs/>
                <w:color w:val="000000"/>
                <w:sz w:val="21"/>
                <w:szCs w:val="21"/>
                <w:lang w:val="en-US" w:eastAsia="zh-CN"/>
              </w:rPr>
              <w:t>10.5</w:t>
            </w:r>
          </w:p>
        </w:tc>
        <w:tc>
          <w:tcPr>
            <w:tcW w:w="970" w:type="dxa"/>
            <w:tcBorders>
              <w:bottom w:val="thickThinSmallGap" w:color="A4A4A4" w:sz="12" w:space="0"/>
              <w:righ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160" w:leftChars="-50" w:right="-160" w:rightChars="-50" w:firstLine="0" w:firstLineChars="0"/>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五指山市</w:t>
            </w:r>
          </w:p>
        </w:tc>
        <w:tc>
          <w:tcPr>
            <w:tcW w:w="849" w:type="dxa"/>
            <w:tcBorders>
              <w:left w:val="dashed" w:color="auto" w:sz="4" w:space="0"/>
              <w:bottom w:val="thickThinSmallGap" w:color="A4A4A4" w:sz="12" w:space="0"/>
              <w:righ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34.0</w:t>
            </w:r>
          </w:p>
        </w:tc>
        <w:tc>
          <w:tcPr>
            <w:tcW w:w="1274" w:type="dxa"/>
            <w:tcBorders>
              <w:left w:val="dashed" w:color="auto" w:sz="4" w:space="0"/>
              <w:bottom w:val="thickThinSmallGap" w:color="A4A4A4" w:sz="12"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21∶21∶58</w:t>
            </w:r>
          </w:p>
        </w:tc>
        <w:tc>
          <w:tcPr>
            <w:tcW w:w="970" w:type="dxa"/>
            <w:tcBorders>
              <w:bottom w:val="thickThinSmallGap" w:color="A4A4A4" w:sz="12" w:space="0"/>
              <w:righ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陵水县</w:t>
            </w:r>
          </w:p>
        </w:tc>
        <w:tc>
          <w:tcPr>
            <w:tcW w:w="691" w:type="dxa"/>
            <w:tcBorders>
              <w:left w:val="dashed" w:color="auto" w:sz="4" w:space="0"/>
              <w:bottom w:val="thickThinSmallGap" w:color="A4A4A4" w:sz="12"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2.2</w:t>
            </w:r>
          </w:p>
        </w:tc>
        <w:tc>
          <w:tcPr>
            <w:tcW w:w="1007" w:type="dxa"/>
            <w:tcBorders>
              <w:bottom w:val="thickThinSmallGap" w:color="A4A4A4" w:sz="12" w:space="0"/>
              <w:right w:val="dashed"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乐东县</w:t>
            </w:r>
          </w:p>
        </w:tc>
        <w:tc>
          <w:tcPr>
            <w:tcW w:w="606" w:type="dxa"/>
            <w:tcBorders>
              <w:left w:val="dashed" w:color="auto" w:sz="4" w:space="0"/>
              <w:bottom w:val="thickThinSmallGap" w:color="A4A4A4" w:sz="12"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color w:val="000000"/>
                <w:sz w:val="21"/>
                <w:szCs w:val="21"/>
                <w:lang w:val="en-US" w:eastAsia="zh-CN"/>
              </w:rPr>
            </w:pPr>
            <w:r>
              <w:rPr>
                <w:rFonts w:hint="eastAsia" w:ascii="楷体" w:hAnsi="楷体" w:eastAsia="楷体" w:cs="楷体"/>
                <w:color w:val="000000"/>
                <w:sz w:val="21"/>
                <w:szCs w:val="21"/>
                <w:lang w:val="en-US" w:eastAsia="zh-CN"/>
              </w:rPr>
              <w:t>3.0</w:t>
            </w:r>
          </w:p>
        </w:tc>
      </w:tr>
    </w:tbl>
    <w:p>
      <w:pPr>
        <w:pStyle w:val="4"/>
        <w:numPr>
          <w:ilvl w:val="0"/>
          <w:numId w:val="2"/>
        </w:numPr>
        <w:bidi w:val="0"/>
        <w:rPr>
          <w:rFonts w:hint="default"/>
          <w:b w:val="0"/>
          <w:lang w:val="en-US" w:eastAsia="zh-CN"/>
        </w:rPr>
      </w:pPr>
      <w:bookmarkStart w:id="46" w:name="_Toc12775"/>
      <w:bookmarkStart w:id="47" w:name="_Toc15362"/>
      <w:r>
        <w:rPr>
          <w:rFonts w:hint="eastAsia"/>
          <w:b w:val="0"/>
          <w:lang w:val="en-US" w:eastAsia="zh-CN"/>
        </w:rPr>
        <w:t>GDP约占三亚全市的十分之一</w:t>
      </w:r>
      <w:bookmarkEnd w:id="45"/>
      <w:bookmarkEnd w:id="46"/>
      <w:bookmarkEnd w:id="47"/>
    </w:p>
    <w:p>
      <w:pPr>
        <w:rPr>
          <w:rFonts w:hint="default"/>
          <w:lang w:val="en-US" w:eastAsia="zh-CN"/>
        </w:rPr>
      </w:pPr>
      <w:r>
        <w:rPr>
          <w:rFonts w:hint="eastAsia"/>
          <w:lang w:val="en-US" w:eastAsia="zh-CN"/>
        </w:rPr>
        <w:t>2020年，崖州区GDP为66.3亿元，三亚全市为695.4亿元，崖州区占全市比重为9.5%，接近全市的十分之一。建区以来，崖州区GDP占三亚全市比重在10%上下波动。</w:t>
      </w:r>
    </w:p>
    <w:p>
      <w:pPr>
        <w:bidi w:val="0"/>
        <w:ind w:firstLine="0" w:firstLineChars="0"/>
        <w:jc w:val="center"/>
        <w:rPr>
          <w:rFonts w:hint="eastAsia" w:ascii="楷体" w:hAnsi="楷体" w:eastAsia="楷体" w:cs="楷体"/>
          <w:b w:val="0"/>
          <w:bCs w:val="0"/>
          <w:sz w:val="28"/>
          <w:szCs w:val="28"/>
          <w:lang w:val="en-US" w:eastAsia="zh-CN"/>
        </w:rPr>
      </w:pPr>
      <w:r>
        <w:rPr>
          <w:rFonts w:hint="eastAsia" w:ascii="楷体" w:hAnsi="楷体" w:eastAsia="楷体" w:cs="楷体"/>
          <w:b w:val="0"/>
          <w:bCs w:val="0"/>
          <w:sz w:val="28"/>
          <w:szCs w:val="28"/>
          <w:lang w:val="en-US" w:eastAsia="zh-CN"/>
        </w:rPr>
        <w:t>表3  崖州区GDP增速和占全市比重（亿元）</w:t>
      </w:r>
    </w:p>
    <w:tbl>
      <w:tblPr>
        <w:tblStyle w:val="1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04"/>
        <w:gridCol w:w="1704"/>
        <w:gridCol w:w="1704"/>
        <w:gridCol w:w="1704"/>
        <w:gridCol w:w="17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13" w:hRule="atLeast"/>
          <w:jc w:val="center"/>
        </w:trPr>
        <w:tc>
          <w:tcPr>
            <w:tcW w:w="1704" w:type="dxa"/>
            <w:tcBorders>
              <w:top w:val="thinThickSmallGap" w:color="A4A4A4" w:sz="12"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color w:val="000000"/>
                <w:sz w:val="24"/>
                <w:szCs w:val="24"/>
                <w:lang w:val="en-US" w:eastAsia="zh-CN"/>
              </w:rPr>
            </w:pPr>
            <w:r>
              <w:rPr>
                <w:rFonts w:hint="eastAsia" w:ascii="楷体" w:hAnsi="楷体" w:eastAsia="楷体" w:cs="楷体"/>
                <w:b/>
                <w:bCs/>
                <w:i w:val="0"/>
                <w:color w:val="000000"/>
                <w:kern w:val="2"/>
                <w:sz w:val="24"/>
                <w:szCs w:val="24"/>
                <w:u w:val="none"/>
                <w:lang w:val="en-US" w:eastAsia="zh-CN" w:bidi="ar"/>
              </w:rPr>
              <w:t>年份</w:t>
            </w:r>
          </w:p>
        </w:tc>
        <w:tc>
          <w:tcPr>
            <w:tcW w:w="1704" w:type="dxa"/>
            <w:tcBorders>
              <w:top w:val="thinThickSmallGap" w:color="A4A4A4" w:sz="12"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color w:val="000000"/>
                <w:sz w:val="24"/>
                <w:szCs w:val="24"/>
                <w:lang w:val="en-US" w:eastAsia="zh-CN"/>
              </w:rPr>
            </w:pPr>
            <w:r>
              <w:rPr>
                <w:rFonts w:hint="eastAsia" w:ascii="楷体" w:hAnsi="楷体" w:eastAsia="楷体" w:cs="楷体"/>
                <w:b/>
                <w:bCs/>
                <w:i w:val="0"/>
                <w:color w:val="000000"/>
                <w:kern w:val="2"/>
                <w:sz w:val="24"/>
                <w:szCs w:val="24"/>
                <w:u w:val="none"/>
                <w:lang w:val="en-US" w:eastAsia="zh-CN" w:bidi="ar"/>
              </w:rPr>
              <w:t>崖州区</w:t>
            </w:r>
          </w:p>
        </w:tc>
        <w:tc>
          <w:tcPr>
            <w:tcW w:w="1704" w:type="dxa"/>
            <w:tcBorders>
              <w:top w:val="thinThickSmallGap" w:color="A4A4A4" w:sz="12"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bCs/>
                <w:i w:val="0"/>
                <w:color w:val="000000"/>
                <w:kern w:val="2"/>
                <w:sz w:val="24"/>
                <w:szCs w:val="24"/>
                <w:u w:val="none"/>
                <w:lang w:val="en-US" w:eastAsia="zh-CN" w:bidi="ar"/>
              </w:rPr>
            </w:pPr>
            <w:r>
              <w:rPr>
                <w:rFonts w:hint="eastAsia" w:ascii="楷体" w:hAnsi="楷体" w:eastAsia="楷体" w:cs="楷体"/>
                <w:b/>
                <w:bCs/>
                <w:i w:val="0"/>
                <w:color w:val="000000"/>
                <w:kern w:val="2"/>
                <w:sz w:val="24"/>
                <w:szCs w:val="24"/>
                <w:u w:val="none"/>
                <w:lang w:val="en-US" w:eastAsia="zh-CN" w:bidi="ar"/>
              </w:rPr>
              <w:t>较上年增速</w:t>
            </w:r>
          </w:p>
        </w:tc>
        <w:tc>
          <w:tcPr>
            <w:tcW w:w="1704" w:type="dxa"/>
            <w:tcBorders>
              <w:top w:val="thinThickSmallGap" w:color="A4A4A4" w:sz="12"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color w:val="000000"/>
                <w:sz w:val="24"/>
                <w:szCs w:val="24"/>
                <w:lang w:val="en-US" w:eastAsia="zh-CN"/>
              </w:rPr>
            </w:pPr>
            <w:r>
              <w:rPr>
                <w:rFonts w:hint="eastAsia" w:ascii="楷体" w:hAnsi="楷体" w:eastAsia="楷体" w:cs="楷体"/>
                <w:b/>
                <w:bCs/>
                <w:i w:val="0"/>
                <w:color w:val="000000"/>
                <w:kern w:val="2"/>
                <w:sz w:val="24"/>
                <w:szCs w:val="24"/>
                <w:u w:val="none"/>
                <w:lang w:val="en-US" w:eastAsia="zh-CN" w:bidi="ar"/>
              </w:rPr>
              <w:t>三亚市</w:t>
            </w:r>
          </w:p>
        </w:tc>
        <w:tc>
          <w:tcPr>
            <w:tcW w:w="1706" w:type="dxa"/>
            <w:tcBorders>
              <w:top w:val="thinThickSmallGap" w:color="A4A4A4" w:sz="12"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color w:val="000000"/>
                <w:sz w:val="24"/>
                <w:szCs w:val="24"/>
                <w:lang w:val="en-US" w:eastAsia="zh-CN"/>
              </w:rPr>
            </w:pPr>
            <w:r>
              <w:rPr>
                <w:rFonts w:hint="eastAsia" w:ascii="楷体" w:hAnsi="楷体" w:eastAsia="楷体" w:cs="楷体"/>
                <w:b/>
                <w:bCs/>
                <w:i w:val="0"/>
                <w:color w:val="000000"/>
                <w:kern w:val="2"/>
                <w:sz w:val="24"/>
                <w:szCs w:val="24"/>
                <w:u w:val="none"/>
                <w:lang w:val="en-US" w:eastAsia="zh-CN" w:bidi="ar"/>
              </w:rPr>
              <w:t>崖州区占比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13" w:hRule="atLeast"/>
          <w:jc w:val="center"/>
        </w:trPr>
        <w:tc>
          <w:tcPr>
            <w:tcW w:w="170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color w:val="000000"/>
                <w:sz w:val="24"/>
                <w:szCs w:val="24"/>
                <w:lang w:val="en-US" w:eastAsia="zh-CN"/>
              </w:rPr>
            </w:pPr>
            <w:r>
              <w:rPr>
                <w:rFonts w:hint="eastAsia" w:ascii="楷体" w:hAnsi="楷体" w:eastAsia="楷体" w:cs="楷体"/>
                <w:i w:val="0"/>
                <w:color w:val="000000"/>
                <w:kern w:val="2"/>
                <w:sz w:val="24"/>
                <w:szCs w:val="24"/>
                <w:u w:val="none"/>
                <w:lang w:val="en-US" w:eastAsia="zh-CN" w:bidi="ar"/>
              </w:rPr>
              <w:t>2015年</w:t>
            </w:r>
          </w:p>
        </w:tc>
        <w:tc>
          <w:tcPr>
            <w:tcW w:w="170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color w:val="000000"/>
                <w:sz w:val="24"/>
                <w:szCs w:val="24"/>
                <w:lang w:val="en-US" w:eastAsia="zh-CN"/>
              </w:rPr>
            </w:pPr>
            <w:r>
              <w:rPr>
                <w:rFonts w:hint="eastAsia" w:ascii="楷体" w:hAnsi="楷体" w:eastAsia="楷体" w:cs="楷体"/>
                <w:i w:val="0"/>
                <w:color w:val="000000"/>
                <w:kern w:val="2"/>
                <w:sz w:val="24"/>
                <w:szCs w:val="24"/>
                <w:u w:val="none"/>
                <w:lang w:val="en-US" w:eastAsia="zh-CN" w:bidi="ar"/>
              </w:rPr>
              <w:t>45.4</w:t>
            </w:r>
          </w:p>
        </w:tc>
        <w:tc>
          <w:tcPr>
            <w:tcW w:w="170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i w:val="0"/>
                <w:color w:val="000000"/>
                <w:kern w:val="2"/>
                <w:sz w:val="24"/>
                <w:szCs w:val="24"/>
                <w:u w:val="none"/>
                <w:lang w:val="en-US" w:eastAsia="zh-CN" w:bidi="ar"/>
              </w:rPr>
            </w:pPr>
            <w:r>
              <w:rPr>
                <w:rFonts w:hint="eastAsia" w:ascii="楷体" w:hAnsi="楷体" w:eastAsia="楷体" w:cs="楷体"/>
                <w:i w:val="0"/>
                <w:color w:val="000000"/>
                <w:kern w:val="2"/>
                <w:sz w:val="24"/>
                <w:szCs w:val="24"/>
                <w:u w:val="none"/>
                <w:lang w:val="en-US" w:eastAsia="zh-CN" w:bidi="ar"/>
              </w:rPr>
              <w:t>—</w:t>
            </w:r>
          </w:p>
        </w:tc>
        <w:tc>
          <w:tcPr>
            <w:tcW w:w="170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color w:val="000000"/>
                <w:sz w:val="24"/>
                <w:szCs w:val="24"/>
                <w:lang w:val="en-US" w:eastAsia="zh-CN"/>
              </w:rPr>
            </w:pPr>
            <w:r>
              <w:rPr>
                <w:rFonts w:hint="eastAsia" w:ascii="楷体" w:hAnsi="楷体" w:eastAsia="楷体" w:cs="楷体"/>
                <w:i w:val="0"/>
                <w:color w:val="000000"/>
                <w:kern w:val="2"/>
                <w:sz w:val="24"/>
                <w:szCs w:val="24"/>
                <w:u w:val="none"/>
                <w:lang w:val="en-US" w:eastAsia="zh-CN" w:bidi="ar"/>
              </w:rPr>
              <w:t>435.8</w:t>
            </w:r>
          </w:p>
        </w:tc>
        <w:tc>
          <w:tcPr>
            <w:tcW w:w="1706"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color w:val="000000"/>
                <w:sz w:val="24"/>
                <w:szCs w:val="24"/>
                <w:lang w:val="en-US" w:eastAsia="zh-CN"/>
              </w:rPr>
            </w:pPr>
            <w:r>
              <w:rPr>
                <w:rFonts w:hint="eastAsia" w:ascii="楷体" w:hAnsi="楷体" w:eastAsia="楷体" w:cs="楷体"/>
                <w:i w:val="0"/>
                <w:color w:val="000000"/>
                <w:kern w:val="2"/>
                <w:sz w:val="24"/>
                <w:szCs w:val="24"/>
                <w:u w:val="none"/>
                <w:lang w:val="en-US" w:eastAsia="zh-CN" w:bidi="ar"/>
              </w:rPr>
              <w:t>10.4%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13" w:hRule="atLeast"/>
          <w:jc w:val="center"/>
        </w:trPr>
        <w:tc>
          <w:tcPr>
            <w:tcW w:w="170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color w:val="000000"/>
                <w:sz w:val="24"/>
                <w:szCs w:val="24"/>
                <w:lang w:val="en-US" w:eastAsia="zh-CN"/>
              </w:rPr>
            </w:pPr>
            <w:r>
              <w:rPr>
                <w:rFonts w:hint="eastAsia" w:ascii="楷体" w:hAnsi="楷体" w:eastAsia="楷体" w:cs="楷体"/>
                <w:i w:val="0"/>
                <w:color w:val="000000"/>
                <w:kern w:val="2"/>
                <w:sz w:val="24"/>
                <w:szCs w:val="24"/>
                <w:u w:val="none"/>
                <w:lang w:val="en-US" w:eastAsia="zh-CN" w:bidi="ar"/>
              </w:rPr>
              <w:t>2016年</w:t>
            </w:r>
          </w:p>
        </w:tc>
        <w:tc>
          <w:tcPr>
            <w:tcW w:w="170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color w:val="000000"/>
                <w:sz w:val="24"/>
                <w:szCs w:val="24"/>
                <w:lang w:val="en-US" w:eastAsia="zh-CN"/>
              </w:rPr>
            </w:pPr>
            <w:r>
              <w:rPr>
                <w:rFonts w:hint="eastAsia" w:ascii="楷体" w:hAnsi="楷体" w:eastAsia="楷体" w:cs="楷体"/>
                <w:i w:val="0"/>
                <w:color w:val="000000"/>
                <w:kern w:val="2"/>
                <w:sz w:val="24"/>
                <w:szCs w:val="24"/>
                <w:u w:val="none"/>
                <w:lang w:val="en-US" w:eastAsia="zh-CN" w:bidi="ar"/>
              </w:rPr>
              <w:t>48.6</w:t>
            </w:r>
          </w:p>
        </w:tc>
        <w:tc>
          <w:tcPr>
            <w:tcW w:w="170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default" w:ascii="楷体" w:hAnsi="楷体" w:eastAsia="楷体" w:cs="楷体"/>
                <w:i w:val="0"/>
                <w:color w:val="000000"/>
                <w:kern w:val="2"/>
                <w:sz w:val="24"/>
                <w:szCs w:val="24"/>
                <w:u w:val="none"/>
                <w:lang w:val="en-US" w:eastAsia="zh-CN" w:bidi="ar"/>
              </w:rPr>
            </w:pPr>
            <w:r>
              <w:rPr>
                <w:rFonts w:hint="eastAsia" w:ascii="楷体" w:hAnsi="楷体" w:eastAsia="楷体" w:cs="楷体"/>
                <w:i w:val="0"/>
                <w:color w:val="000000"/>
                <w:kern w:val="2"/>
                <w:sz w:val="24"/>
                <w:szCs w:val="24"/>
                <w:u w:val="none"/>
                <w:lang w:val="en-US" w:eastAsia="zh-CN" w:bidi="ar"/>
              </w:rPr>
              <w:t>7.0%</w:t>
            </w:r>
          </w:p>
        </w:tc>
        <w:tc>
          <w:tcPr>
            <w:tcW w:w="170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color w:val="000000"/>
                <w:sz w:val="24"/>
                <w:szCs w:val="24"/>
                <w:lang w:val="en-US" w:eastAsia="zh-CN"/>
              </w:rPr>
            </w:pPr>
            <w:r>
              <w:rPr>
                <w:rFonts w:hint="eastAsia" w:ascii="楷体" w:hAnsi="楷体" w:eastAsia="楷体" w:cs="楷体"/>
                <w:i w:val="0"/>
                <w:color w:val="000000"/>
                <w:kern w:val="2"/>
                <w:sz w:val="24"/>
                <w:szCs w:val="24"/>
                <w:u w:val="none"/>
                <w:lang w:val="en-US" w:eastAsia="zh-CN" w:bidi="ar"/>
              </w:rPr>
              <w:t>475.6</w:t>
            </w:r>
          </w:p>
        </w:tc>
        <w:tc>
          <w:tcPr>
            <w:tcW w:w="1706"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color w:val="000000"/>
                <w:sz w:val="24"/>
                <w:szCs w:val="24"/>
                <w:lang w:val="en-US" w:eastAsia="zh-CN"/>
              </w:rPr>
            </w:pPr>
            <w:r>
              <w:rPr>
                <w:rFonts w:hint="eastAsia" w:ascii="楷体" w:hAnsi="楷体" w:eastAsia="楷体" w:cs="楷体"/>
                <w:i w:val="0"/>
                <w:color w:val="000000"/>
                <w:kern w:val="2"/>
                <w:sz w:val="24"/>
                <w:szCs w:val="24"/>
                <w:u w:val="none"/>
                <w:lang w:val="en-US" w:eastAsia="zh-CN" w:bidi="ar"/>
              </w:rPr>
              <w:t>10.2%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13" w:hRule="atLeast"/>
          <w:jc w:val="center"/>
        </w:trPr>
        <w:tc>
          <w:tcPr>
            <w:tcW w:w="170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color w:val="000000"/>
                <w:sz w:val="24"/>
                <w:szCs w:val="24"/>
                <w:lang w:val="en-US" w:eastAsia="zh-CN"/>
              </w:rPr>
            </w:pPr>
            <w:r>
              <w:rPr>
                <w:rFonts w:hint="eastAsia" w:ascii="楷体" w:hAnsi="楷体" w:eastAsia="楷体" w:cs="楷体"/>
                <w:i w:val="0"/>
                <w:color w:val="000000"/>
                <w:kern w:val="2"/>
                <w:sz w:val="24"/>
                <w:szCs w:val="24"/>
                <w:u w:val="none"/>
                <w:lang w:val="en-US" w:eastAsia="zh-CN" w:bidi="ar"/>
              </w:rPr>
              <w:t>2017年</w:t>
            </w:r>
          </w:p>
        </w:tc>
        <w:tc>
          <w:tcPr>
            <w:tcW w:w="170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color w:val="000000"/>
                <w:sz w:val="24"/>
                <w:szCs w:val="24"/>
                <w:lang w:val="en-US" w:eastAsia="zh-CN"/>
              </w:rPr>
            </w:pPr>
            <w:r>
              <w:rPr>
                <w:rFonts w:hint="eastAsia" w:ascii="楷体" w:hAnsi="楷体" w:eastAsia="楷体" w:cs="楷体"/>
                <w:i w:val="0"/>
                <w:color w:val="000000"/>
                <w:kern w:val="2"/>
                <w:sz w:val="24"/>
                <w:szCs w:val="24"/>
                <w:u w:val="none"/>
                <w:lang w:val="en-US" w:eastAsia="zh-CN" w:bidi="ar"/>
              </w:rPr>
              <w:t>54.2</w:t>
            </w:r>
          </w:p>
        </w:tc>
        <w:tc>
          <w:tcPr>
            <w:tcW w:w="170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default" w:ascii="楷体" w:hAnsi="楷体" w:eastAsia="楷体" w:cs="楷体"/>
                <w:i w:val="0"/>
                <w:color w:val="000000"/>
                <w:kern w:val="2"/>
                <w:sz w:val="24"/>
                <w:szCs w:val="24"/>
                <w:u w:val="none"/>
                <w:lang w:val="en-US" w:eastAsia="zh-CN" w:bidi="ar"/>
              </w:rPr>
            </w:pPr>
            <w:r>
              <w:rPr>
                <w:rFonts w:hint="eastAsia" w:ascii="楷体" w:hAnsi="楷体" w:eastAsia="楷体" w:cs="楷体"/>
                <w:i w:val="0"/>
                <w:color w:val="000000"/>
                <w:kern w:val="2"/>
                <w:sz w:val="24"/>
                <w:szCs w:val="24"/>
                <w:u w:val="none"/>
                <w:lang w:val="en-US" w:eastAsia="zh-CN" w:bidi="ar"/>
              </w:rPr>
              <w:t>11.5%</w:t>
            </w:r>
          </w:p>
        </w:tc>
        <w:tc>
          <w:tcPr>
            <w:tcW w:w="170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color w:val="000000"/>
                <w:sz w:val="24"/>
                <w:szCs w:val="24"/>
                <w:lang w:val="en-US" w:eastAsia="zh-CN"/>
              </w:rPr>
            </w:pPr>
            <w:r>
              <w:rPr>
                <w:rFonts w:hint="eastAsia" w:ascii="楷体" w:hAnsi="楷体" w:eastAsia="楷体" w:cs="楷体"/>
                <w:i w:val="0"/>
                <w:color w:val="000000"/>
                <w:kern w:val="2"/>
                <w:sz w:val="24"/>
                <w:szCs w:val="24"/>
                <w:u w:val="none"/>
                <w:lang w:val="en-US" w:eastAsia="zh-CN" w:bidi="ar"/>
              </w:rPr>
              <w:t>529.8</w:t>
            </w:r>
          </w:p>
        </w:tc>
        <w:tc>
          <w:tcPr>
            <w:tcW w:w="1706"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color w:val="000000"/>
                <w:sz w:val="24"/>
                <w:szCs w:val="24"/>
                <w:lang w:val="en-US" w:eastAsia="zh-CN"/>
              </w:rPr>
            </w:pPr>
            <w:r>
              <w:rPr>
                <w:rFonts w:hint="eastAsia" w:ascii="楷体" w:hAnsi="楷体" w:eastAsia="楷体" w:cs="楷体"/>
                <w:i w:val="0"/>
                <w:color w:val="000000"/>
                <w:kern w:val="2"/>
                <w:sz w:val="24"/>
                <w:szCs w:val="24"/>
                <w:u w:val="none"/>
                <w:lang w:val="en-US" w:eastAsia="zh-CN" w:bidi="ar"/>
              </w:rPr>
              <w:t>10.2%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13" w:hRule="atLeast"/>
          <w:jc w:val="center"/>
        </w:trPr>
        <w:tc>
          <w:tcPr>
            <w:tcW w:w="170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color w:val="000000"/>
                <w:sz w:val="24"/>
                <w:szCs w:val="24"/>
                <w:lang w:val="en-US" w:eastAsia="zh-CN"/>
              </w:rPr>
            </w:pPr>
            <w:r>
              <w:rPr>
                <w:rFonts w:hint="eastAsia" w:ascii="楷体" w:hAnsi="楷体" w:eastAsia="楷体" w:cs="楷体"/>
                <w:i w:val="0"/>
                <w:color w:val="000000"/>
                <w:kern w:val="2"/>
                <w:sz w:val="24"/>
                <w:szCs w:val="24"/>
                <w:u w:val="none"/>
                <w:lang w:val="en-US" w:eastAsia="zh-CN" w:bidi="ar"/>
              </w:rPr>
              <w:t>2018年</w:t>
            </w:r>
          </w:p>
        </w:tc>
        <w:tc>
          <w:tcPr>
            <w:tcW w:w="170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color w:val="000000"/>
                <w:sz w:val="24"/>
                <w:szCs w:val="24"/>
                <w:lang w:val="en-US" w:eastAsia="zh-CN"/>
              </w:rPr>
            </w:pPr>
            <w:r>
              <w:rPr>
                <w:rFonts w:hint="eastAsia" w:ascii="楷体" w:hAnsi="楷体" w:eastAsia="楷体" w:cs="楷体"/>
                <w:i w:val="0"/>
                <w:color w:val="000000"/>
                <w:kern w:val="2"/>
                <w:sz w:val="24"/>
                <w:szCs w:val="24"/>
                <w:u w:val="none"/>
                <w:lang w:val="en-US" w:eastAsia="zh-CN" w:bidi="ar"/>
              </w:rPr>
              <w:t>56.8</w:t>
            </w:r>
          </w:p>
        </w:tc>
        <w:tc>
          <w:tcPr>
            <w:tcW w:w="170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default" w:ascii="楷体" w:hAnsi="楷体" w:eastAsia="楷体" w:cs="楷体"/>
                <w:i w:val="0"/>
                <w:color w:val="000000"/>
                <w:kern w:val="2"/>
                <w:sz w:val="24"/>
                <w:szCs w:val="24"/>
                <w:u w:val="none"/>
                <w:lang w:val="en-US" w:eastAsia="zh-CN" w:bidi="ar"/>
              </w:rPr>
            </w:pPr>
            <w:r>
              <w:rPr>
                <w:rFonts w:hint="eastAsia" w:ascii="楷体" w:hAnsi="楷体" w:eastAsia="楷体" w:cs="楷体"/>
                <w:i w:val="0"/>
                <w:color w:val="000000"/>
                <w:kern w:val="2"/>
                <w:sz w:val="24"/>
                <w:szCs w:val="24"/>
                <w:u w:val="none"/>
                <w:lang w:val="en-US" w:eastAsia="zh-CN" w:bidi="ar"/>
              </w:rPr>
              <w:t>4.8%</w:t>
            </w:r>
          </w:p>
        </w:tc>
        <w:tc>
          <w:tcPr>
            <w:tcW w:w="170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color w:val="000000"/>
                <w:sz w:val="24"/>
                <w:szCs w:val="24"/>
                <w:lang w:val="en-US" w:eastAsia="zh-CN"/>
              </w:rPr>
            </w:pPr>
            <w:r>
              <w:rPr>
                <w:rFonts w:hint="eastAsia" w:ascii="楷体" w:hAnsi="楷体" w:eastAsia="楷体" w:cs="楷体"/>
                <w:i w:val="0"/>
                <w:color w:val="000000"/>
                <w:kern w:val="2"/>
                <w:sz w:val="24"/>
                <w:szCs w:val="24"/>
                <w:u w:val="none"/>
                <w:lang w:val="en-US" w:eastAsia="zh-CN" w:bidi="ar"/>
              </w:rPr>
              <w:t>595.5</w:t>
            </w:r>
          </w:p>
        </w:tc>
        <w:tc>
          <w:tcPr>
            <w:tcW w:w="1706"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color w:val="000000"/>
                <w:sz w:val="24"/>
                <w:szCs w:val="24"/>
                <w:lang w:val="en-US" w:eastAsia="zh-CN"/>
              </w:rPr>
            </w:pPr>
            <w:r>
              <w:rPr>
                <w:rFonts w:hint="eastAsia" w:ascii="楷体" w:hAnsi="楷体" w:eastAsia="楷体" w:cs="楷体"/>
                <w:i w:val="0"/>
                <w:color w:val="000000"/>
                <w:kern w:val="2"/>
                <w:sz w:val="24"/>
                <w:szCs w:val="24"/>
                <w:u w:val="none"/>
                <w:lang w:val="en-US" w:eastAsia="zh-CN" w:bidi="ar"/>
              </w:rPr>
              <w:t>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13" w:hRule="atLeast"/>
          <w:jc w:val="center"/>
        </w:trPr>
        <w:tc>
          <w:tcPr>
            <w:tcW w:w="170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color w:val="000000"/>
                <w:sz w:val="24"/>
                <w:szCs w:val="24"/>
                <w:lang w:val="en-US" w:eastAsia="zh-CN"/>
              </w:rPr>
            </w:pPr>
            <w:r>
              <w:rPr>
                <w:rFonts w:hint="eastAsia" w:ascii="楷体" w:hAnsi="楷体" w:eastAsia="楷体" w:cs="楷体"/>
                <w:i w:val="0"/>
                <w:color w:val="000000"/>
                <w:kern w:val="2"/>
                <w:sz w:val="24"/>
                <w:szCs w:val="24"/>
                <w:u w:val="none"/>
                <w:lang w:val="en-US" w:eastAsia="zh-CN" w:bidi="ar"/>
              </w:rPr>
              <w:t>2019年</w:t>
            </w:r>
          </w:p>
        </w:tc>
        <w:tc>
          <w:tcPr>
            <w:tcW w:w="170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default" w:ascii="楷体" w:hAnsi="楷体" w:eastAsia="楷体" w:cs="楷体"/>
                <w:color w:val="000000"/>
                <w:sz w:val="24"/>
                <w:szCs w:val="24"/>
                <w:lang w:val="en-US" w:eastAsia="zh-CN"/>
              </w:rPr>
            </w:pPr>
            <w:r>
              <w:rPr>
                <w:rFonts w:hint="eastAsia" w:ascii="楷体" w:hAnsi="楷体" w:eastAsia="楷体" w:cs="楷体"/>
                <w:i w:val="0"/>
                <w:color w:val="000000"/>
                <w:kern w:val="2"/>
                <w:sz w:val="24"/>
                <w:szCs w:val="24"/>
                <w:u w:val="none"/>
                <w:lang w:val="en-US" w:eastAsia="zh-CN" w:bidi="ar"/>
              </w:rPr>
              <w:t>64.3</w:t>
            </w:r>
          </w:p>
        </w:tc>
        <w:tc>
          <w:tcPr>
            <w:tcW w:w="170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default" w:ascii="楷体" w:hAnsi="楷体" w:eastAsia="楷体" w:cs="楷体"/>
                <w:i w:val="0"/>
                <w:color w:val="000000"/>
                <w:kern w:val="2"/>
                <w:sz w:val="24"/>
                <w:szCs w:val="24"/>
                <w:u w:val="none"/>
                <w:lang w:val="en-US" w:eastAsia="zh-CN" w:bidi="ar"/>
              </w:rPr>
            </w:pPr>
            <w:r>
              <w:rPr>
                <w:rFonts w:hint="eastAsia" w:ascii="楷体" w:hAnsi="楷体" w:eastAsia="楷体" w:cs="楷体"/>
                <w:i w:val="0"/>
                <w:color w:val="000000"/>
                <w:kern w:val="2"/>
                <w:sz w:val="24"/>
                <w:szCs w:val="24"/>
                <w:u w:val="none"/>
                <w:lang w:val="en-US" w:eastAsia="zh-CN" w:bidi="ar"/>
              </w:rPr>
              <w:t>13.2%</w:t>
            </w:r>
          </w:p>
        </w:tc>
        <w:tc>
          <w:tcPr>
            <w:tcW w:w="170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color w:val="000000"/>
                <w:sz w:val="24"/>
                <w:szCs w:val="24"/>
                <w:lang w:val="en-US" w:eastAsia="zh-CN"/>
              </w:rPr>
            </w:pPr>
            <w:r>
              <w:rPr>
                <w:rFonts w:hint="eastAsia" w:ascii="楷体" w:hAnsi="楷体" w:eastAsia="楷体" w:cs="楷体"/>
                <w:i w:val="0"/>
                <w:color w:val="000000"/>
                <w:kern w:val="2"/>
                <w:sz w:val="24"/>
                <w:szCs w:val="24"/>
                <w:u w:val="none"/>
                <w:lang w:val="en-US" w:eastAsia="zh-CN" w:bidi="ar"/>
              </w:rPr>
              <w:t>677.9</w:t>
            </w:r>
          </w:p>
        </w:tc>
        <w:tc>
          <w:tcPr>
            <w:tcW w:w="1706"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color w:val="000000"/>
                <w:sz w:val="24"/>
                <w:szCs w:val="24"/>
                <w:lang w:val="en-US" w:eastAsia="zh-CN"/>
              </w:rPr>
            </w:pPr>
            <w:r>
              <w:rPr>
                <w:rFonts w:hint="eastAsia" w:ascii="楷体" w:hAnsi="楷体" w:eastAsia="楷体" w:cs="楷体"/>
                <w:i w:val="0"/>
                <w:color w:val="000000"/>
                <w:kern w:val="2"/>
                <w:sz w:val="24"/>
                <w:szCs w:val="24"/>
                <w:u w:val="none"/>
                <w:lang w:val="en-US" w:eastAsia="zh-CN" w:bidi="ar"/>
              </w:rPr>
              <w:t>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13" w:hRule="atLeast"/>
          <w:jc w:val="center"/>
        </w:trPr>
        <w:tc>
          <w:tcPr>
            <w:tcW w:w="170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i w:val="0"/>
                <w:color w:val="000000"/>
                <w:kern w:val="2"/>
                <w:sz w:val="24"/>
                <w:szCs w:val="24"/>
                <w:u w:val="none"/>
                <w:lang w:val="en-US" w:eastAsia="zh-CN" w:bidi="ar"/>
              </w:rPr>
            </w:pPr>
            <w:r>
              <w:rPr>
                <w:rFonts w:hint="eastAsia" w:ascii="楷体" w:hAnsi="楷体" w:eastAsia="楷体" w:cs="楷体"/>
                <w:i w:val="0"/>
                <w:color w:val="000000"/>
                <w:kern w:val="2"/>
                <w:sz w:val="24"/>
                <w:szCs w:val="24"/>
                <w:u w:val="none"/>
                <w:lang w:val="en-US" w:eastAsia="zh-CN" w:bidi="ar"/>
              </w:rPr>
              <w:t>2020年</w:t>
            </w:r>
          </w:p>
        </w:tc>
        <w:tc>
          <w:tcPr>
            <w:tcW w:w="170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default" w:ascii="楷体" w:hAnsi="楷体" w:eastAsia="楷体" w:cs="楷体"/>
                <w:i w:val="0"/>
                <w:color w:val="000000"/>
                <w:kern w:val="2"/>
                <w:sz w:val="24"/>
                <w:szCs w:val="24"/>
                <w:u w:val="none"/>
                <w:lang w:val="en-US" w:eastAsia="zh-CN" w:bidi="ar"/>
              </w:rPr>
            </w:pPr>
            <w:r>
              <w:rPr>
                <w:rFonts w:hint="eastAsia" w:ascii="楷体" w:hAnsi="楷体" w:eastAsia="楷体" w:cs="楷体"/>
                <w:i w:val="0"/>
                <w:color w:val="000000"/>
                <w:kern w:val="2"/>
                <w:sz w:val="24"/>
                <w:szCs w:val="24"/>
                <w:u w:val="none"/>
                <w:lang w:val="en-US" w:eastAsia="zh-CN" w:bidi="ar"/>
              </w:rPr>
              <w:t>66.3</w:t>
            </w:r>
          </w:p>
        </w:tc>
        <w:tc>
          <w:tcPr>
            <w:tcW w:w="170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default" w:ascii="楷体" w:hAnsi="楷体" w:eastAsia="楷体" w:cs="楷体"/>
                <w:i w:val="0"/>
                <w:color w:val="000000"/>
                <w:kern w:val="2"/>
                <w:sz w:val="24"/>
                <w:szCs w:val="24"/>
                <w:u w:val="none"/>
                <w:lang w:val="en-US" w:eastAsia="zh-CN" w:bidi="ar"/>
              </w:rPr>
            </w:pPr>
            <w:r>
              <w:rPr>
                <w:rFonts w:hint="eastAsia" w:ascii="楷体" w:hAnsi="楷体" w:eastAsia="楷体" w:cs="楷体"/>
                <w:i w:val="0"/>
                <w:color w:val="000000"/>
                <w:kern w:val="2"/>
                <w:sz w:val="24"/>
                <w:szCs w:val="24"/>
                <w:u w:val="none"/>
                <w:lang w:val="en-US" w:eastAsia="zh-CN" w:bidi="ar"/>
              </w:rPr>
              <w:t>3.1%</w:t>
            </w:r>
          </w:p>
        </w:tc>
        <w:tc>
          <w:tcPr>
            <w:tcW w:w="170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i w:val="0"/>
                <w:color w:val="000000"/>
                <w:kern w:val="2"/>
                <w:sz w:val="24"/>
                <w:szCs w:val="24"/>
                <w:u w:val="none"/>
                <w:lang w:val="en-US" w:eastAsia="zh-CN" w:bidi="ar"/>
              </w:rPr>
            </w:pPr>
            <w:r>
              <w:rPr>
                <w:rFonts w:hint="eastAsia" w:ascii="楷体" w:hAnsi="楷体" w:eastAsia="楷体" w:cs="楷体"/>
                <w:i w:val="0"/>
                <w:color w:val="000000"/>
                <w:kern w:val="2"/>
                <w:sz w:val="24"/>
                <w:szCs w:val="24"/>
                <w:u w:val="none"/>
                <w:lang w:val="en-US" w:eastAsia="zh-CN" w:bidi="ar"/>
              </w:rPr>
              <w:t>695.4</w:t>
            </w:r>
          </w:p>
        </w:tc>
        <w:tc>
          <w:tcPr>
            <w:tcW w:w="1706"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default" w:ascii="楷体" w:hAnsi="楷体" w:eastAsia="楷体" w:cs="楷体"/>
                <w:i w:val="0"/>
                <w:color w:val="000000"/>
                <w:kern w:val="2"/>
                <w:sz w:val="24"/>
                <w:szCs w:val="24"/>
                <w:u w:val="none"/>
                <w:lang w:val="en-US" w:eastAsia="zh-CN" w:bidi="ar"/>
              </w:rPr>
            </w:pPr>
            <w:r>
              <w:rPr>
                <w:rFonts w:hint="eastAsia" w:ascii="楷体" w:hAnsi="楷体" w:eastAsia="楷体" w:cs="楷体"/>
                <w:i w:val="0"/>
                <w:color w:val="000000"/>
                <w:kern w:val="2"/>
                <w:sz w:val="24"/>
                <w:szCs w:val="24"/>
                <w:u w:val="none"/>
                <w:lang w:val="en-US" w:eastAsia="zh-CN" w:bidi="ar"/>
              </w:rPr>
              <w:t>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13" w:hRule="atLeast"/>
          <w:jc w:val="center"/>
        </w:trPr>
        <w:tc>
          <w:tcPr>
            <w:tcW w:w="1704" w:type="dxa"/>
            <w:tcBorders>
              <w:bottom w:val="thickThinSmallGap" w:color="A4A4A4" w:sz="12"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i w:val="0"/>
                <w:color w:val="000000"/>
                <w:kern w:val="2"/>
                <w:sz w:val="24"/>
                <w:szCs w:val="24"/>
                <w:u w:val="none"/>
                <w:lang w:val="en-US" w:eastAsia="zh-CN" w:bidi="ar"/>
              </w:rPr>
            </w:pPr>
            <w:r>
              <w:rPr>
                <w:rFonts w:hint="eastAsia" w:ascii="楷体" w:hAnsi="楷体" w:eastAsia="楷体" w:cs="楷体"/>
                <w:i w:val="0"/>
                <w:color w:val="000000"/>
                <w:kern w:val="2"/>
                <w:sz w:val="24"/>
                <w:szCs w:val="24"/>
                <w:u w:val="none"/>
                <w:lang w:val="en-US" w:eastAsia="zh-CN" w:bidi="ar"/>
              </w:rPr>
              <w:t>年均增速</w:t>
            </w:r>
          </w:p>
        </w:tc>
        <w:tc>
          <w:tcPr>
            <w:tcW w:w="1704" w:type="dxa"/>
            <w:tcBorders>
              <w:bottom w:val="thickThinSmallGap" w:color="A4A4A4" w:sz="12"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default" w:ascii="楷体" w:hAnsi="楷体" w:eastAsia="楷体" w:cs="楷体"/>
                <w:i w:val="0"/>
                <w:color w:val="000000"/>
                <w:kern w:val="2"/>
                <w:sz w:val="24"/>
                <w:szCs w:val="24"/>
                <w:u w:val="none"/>
                <w:lang w:val="en-US" w:eastAsia="zh-CN" w:bidi="ar"/>
              </w:rPr>
            </w:pPr>
            <w:r>
              <w:rPr>
                <w:rFonts w:hint="eastAsia" w:ascii="楷体" w:hAnsi="楷体" w:eastAsia="楷体" w:cs="楷体"/>
                <w:i w:val="0"/>
                <w:color w:val="000000"/>
                <w:kern w:val="2"/>
                <w:sz w:val="24"/>
                <w:szCs w:val="24"/>
                <w:u w:val="none"/>
                <w:lang w:val="en-US" w:eastAsia="zh-CN" w:bidi="ar"/>
              </w:rPr>
              <w:t>7.9%</w:t>
            </w:r>
          </w:p>
        </w:tc>
        <w:tc>
          <w:tcPr>
            <w:tcW w:w="1704" w:type="dxa"/>
            <w:tcBorders>
              <w:bottom w:val="thickThinSmallGap" w:color="A4A4A4" w:sz="12"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i w:val="0"/>
                <w:color w:val="000000"/>
                <w:kern w:val="2"/>
                <w:sz w:val="24"/>
                <w:szCs w:val="24"/>
                <w:u w:val="none"/>
                <w:lang w:val="en-US" w:eastAsia="zh-CN" w:bidi="ar"/>
              </w:rPr>
            </w:pPr>
            <w:r>
              <w:rPr>
                <w:rFonts w:hint="eastAsia" w:ascii="楷体" w:hAnsi="楷体" w:eastAsia="楷体" w:cs="楷体"/>
                <w:i w:val="0"/>
                <w:color w:val="000000"/>
                <w:kern w:val="2"/>
                <w:sz w:val="24"/>
                <w:szCs w:val="24"/>
                <w:u w:val="none"/>
                <w:lang w:val="en-US" w:eastAsia="zh-CN" w:bidi="ar"/>
              </w:rPr>
              <w:t>—</w:t>
            </w:r>
          </w:p>
        </w:tc>
        <w:tc>
          <w:tcPr>
            <w:tcW w:w="1704" w:type="dxa"/>
            <w:tcBorders>
              <w:bottom w:val="thickThinSmallGap" w:color="A4A4A4" w:sz="12"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default" w:ascii="楷体" w:hAnsi="楷体" w:eastAsia="楷体" w:cs="楷体"/>
                <w:i w:val="0"/>
                <w:color w:val="000000"/>
                <w:kern w:val="2"/>
                <w:sz w:val="24"/>
                <w:szCs w:val="24"/>
                <w:u w:val="none"/>
                <w:lang w:val="en-US" w:eastAsia="zh-CN" w:bidi="ar"/>
              </w:rPr>
            </w:pPr>
            <w:r>
              <w:rPr>
                <w:rFonts w:hint="eastAsia" w:ascii="楷体" w:hAnsi="楷体" w:eastAsia="楷体" w:cs="楷体"/>
                <w:i w:val="0"/>
                <w:color w:val="000000"/>
                <w:kern w:val="2"/>
                <w:sz w:val="24"/>
                <w:szCs w:val="24"/>
                <w:u w:val="none"/>
                <w:lang w:val="en-US" w:eastAsia="zh-CN" w:bidi="ar"/>
              </w:rPr>
              <w:t>9.8%</w:t>
            </w:r>
          </w:p>
        </w:tc>
        <w:tc>
          <w:tcPr>
            <w:tcW w:w="1706" w:type="dxa"/>
            <w:tcBorders>
              <w:bottom w:val="thickThinSmallGap" w:color="A4A4A4" w:sz="12"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i w:val="0"/>
                <w:color w:val="000000"/>
                <w:kern w:val="2"/>
                <w:sz w:val="24"/>
                <w:szCs w:val="24"/>
                <w:u w:val="none"/>
                <w:lang w:val="en-US" w:eastAsia="zh-CN" w:bidi="ar"/>
              </w:rPr>
            </w:pPr>
            <w:r>
              <w:rPr>
                <w:rFonts w:hint="eastAsia" w:ascii="楷体" w:hAnsi="楷体" w:eastAsia="楷体" w:cs="楷体"/>
                <w:i w:val="0"/>
                <w:color w:val="000000"/>
                <w:kern w:val="2"/>
                <w:sz w:val="24"/>
                <w:szCs w:val="24"/>
                <w:u w:val="none"/>
                <w:lang w:val="en-US" w:eastAsia="zh-CN" w:bidi="ar"/>
              </w:rPr>
              <w:t>—</w:t>
            </w:r>
          </w:p>
        </w:tc>
      </w:tr>
    </w:tbl>
    <w:p>
      <w:pPr>
        <w:pStyle w:val="4"/>
        <w:numPr>
          <w:ilvl w:val="0"/>
          <w:numId w:val="2"/>
        </w:numPr>
        <w:bidi w:val="0"/>
        <w:rPr>
          <w:rFonts w:hint="eastAsia"/>
          <w:b w:val="0"/>
          <w:lang w:val="en-US" w:eastAsia="zh-CN"/>
        </w:rPr>
      </w:pPr>
      <w:bookmarkStart w:id="48" w:name="_Toc1054"/>
      <w:bookmarkStart w:id="49" w:name="_Toc15414"/>
      <w:bookmarkStart w:id="50" w:name="_Toc3527"/>
      <w:r>
        <w:rPr>
          <w:rFonts w:hint="eastAsia"/>
          <w:b w:val="0"/>
          <w:lang w:val="en-US" w:eastAsia="zh-CN"/>
        </w:rPr>
        <w:t>服务业超过农业成为产业“一哥”，但产业间发展</w:t>
      </w:r>
      <w:bookmarkEnd w:id="48"/>
      <w:r>
        <w:rPr>
          <w:rFonts w:hint="eastAsia"/>
          <w:b w:val="0"/>
          <w:lang w:val="en-US" w:eastAsia="zh-CN"/>
        </w:rPr>
        <w:t>不协调</w:t>
      </w:r>
      <w:bookmarkEnd w:id="49"/>
      <w:bookmarkEnd w:id="50"/>
    </w:p>
    <w:p>
      <w:pPr>
        <w:rPr>
          <w:rFonts w:hint="eastAsia" w:ascii="仿宋_GB2312" w:eastAsia="仿宋_GB2312"/>
          <w:lang w:val="en-US" w:eastAsia="zh-CN"/>
        </w:rPr>
      </w:pPr>
      <w:r>
        <w:rPr>
          <w:rFonts w:hint="eastAsia" w:ascii="仿宋_GB2312" w:eastAsia="仿宋_GB2312"/>
          <w:lang w:val="en-US" w:eastAsia="zh-CN"/>
        </w:rPr>
        <w:t>崖州建区以来，三次产业结构由2015年</w:t>
      </w:r>
      <w:r>
        <w:rPr>
          <w:rFonts w:hint="eastAsia"/>
          <w:lang w:val="en-US" w:eastAsia="zh-CN"/>
        </w:rPr>
        <w:t>的</w:t>
      </w:r>
      <w:r>
        <w:rPr>
          <w:rFonts w:hint="eastAsia" w:ascii="仿宋_GB2312" w:eastAsia="仿宋_GB2312"/>
          <w:lang w:val="en-US" w:eastAsia="zh-CN"/>
        </w:rPr>
        <w:t>39∶25∶3</w:t>
      </w:r>
      <w:r>
        <w:rPr>
          <w:rFonts w:hint="eastAsia"/>
          <w:lang w:val="en-US" w:eastAsia="zh-CN"/>
        </w:rPr>
        <w:t>6</w:t>
      </w:r>
      <w:r>
        <w:rPr>
          <w:rFonts w:hint="eastAsia" w:ascii="仿宋_GB2312" w:eastAsia="仿宋_GB2312"/>
          <w:lang w:val="en-US" w:eastAsia="zh-CN"/>
        </w:rPr>
        <w:t>调整至20</w:t>
      </w:r>
      <w:r>
        <w:rPr>
          <w:rFonts w:hint="eastAsia"/>
          <w:lang w:val="en-US" w:eastAsia="zh-CN"/>
        </w:rPr>
        <w:t>20</w:t>
      </w:r>
      <w:r>
        <w:rPr>
          <w:rFonts w:hint="eastAsia" w:ascii="仿宋_GB2312" w:eastAsia="仿宋_GB2312"/>
          <w:lang w:val="en-US" w:eastAsia="zh-CN"/>
        </w:rPr>
        <w:t>年</w:t>
      </w:r>
      <w:r>
        <w:rPr>
          <w:rFonts w:hint="eastAsia"/>
          <w:lang w:val="en-US" w:eastAsia="zh-CN"/>
        </w:rPr>
        <w:t>的</w:t>
      </w:r>
      <w:r>
        <w:rPr>
          <w:rFonts w:hint="eastAsia" w:ascii="仿宋_GB2312" w:eastAsia="仿宋_GB2312"/>
          <w:lang w:val="en-US" w:eastAsia="zh-CN"/>
        </w:rPr>
        <w:t>32∶1</w:t>
      </w:r>
      <w:r>
        <w:rPr>
          <w:rFonts w:hint="eastAsia"/>
          <w:lang w:val="en-US" w:eastAsia="zh-CN"/>
        </w:rPr>
        <w:t>6</w:t>
      </w:r>
      <w:r>
        <w:rPr>
          <w:rFonts w:hint="eastAsia" w:ascii="仿宋_GB2312" w:eastAsia="仿宋_GB2312"/>
          <w:lang w:val="en-US" w:eastAsia="zh-CN"/>
        </w:rPr>
        <w:t>∶5</w:t>
      </w:r>
      <w:r>
        <w:rPr>
          <w:rFonts w:hint="eastAsia"/>
          <w:lang w:val="en-US" w:eastAsia="zh-CN"/>
        </w:rPr>
        <w:t>2（三亚全市为11.4∶16.3∶72.3）</w:t>
      </w:r>
      <w:r>
        <w:rPr>
          <w:rFonts w:hint="eastAsia" w:ascii="仿宋_GB2312" w:eastAsia="仿宋_GB2312"/>
          <w:lang w:val="en-US" w:eastAsia="zh-CN"/>
        </w:rPr>
        <w:t>，服务业</w:t>
      </w:r>
      <w:r>
        <w:rPr>
          <w:rFonts w:hint="eastAsia"/>
          <w:lang w:val="en-US" w:eastAsia="zh-CN"/>
        </w:rPr>
        <w:t>大幅</w:t>
      </w:r>
      <w:r>
        <w:rPr>
          <w:rFonts w:hint="eastAsia" w:ascii="仿宋_GB2312" w:eastAsia="仿宋_GB2312"/>
          <w:lang w:val="en-US" w:eastAsia="zh-CN"/>
        </w:rPr>
        <w:t>超过农业成为崖州产业“一哥”。第三产业GDP占比由2015年的35.7%调整至20</w:t>
      </w:r>
      <w:r>
        <w:rPr>
          <w:rFonts w:hint="eastAsia"/>
          <w:lang w:val="en-US" w:eastAsia="zh-CN"/>
        </w:rPr>
        <w:t>20</w:t>
      </w:r>
      <w:r>
        <w:rPr>
          <w:rFonts w:hint="eastAsia" w:ascii="仿宋_GB2312" w:eastAsia="仿宋_GB2312"/>
          <w:lang w:val="en-US" w:eastAsia="zh-CN"/>
        </w:rPr>
        <w:t>年的5</w:t>
      </w:r>
      <w:r>
        <w:rPr>
          <w:rFonts w:hint="eastAsia"/>
          <w:lang w:val="en-US" w:eastAsia="zh-CN"/>
        </w:rPr>
        <w:t>2</w:t>
      </w:r>
      <w:r>
        <w:rPr>
          <w:rFonts w:hint="eastAsia" w:ascii="仿宋_GB2312" w:eastAsia="仿宋_GB2312"/>
          <w:lang w:val="en-US" w:eastAsia="zh-CN"/>
        </w:rPr>
        <w:t>%，绝对值由16.2亿元增长到3</w:t>
      </w:r>
      <w:r>
        <w:rPr>
          <w:rFonts w:hint="eastAsia"/>
          <w:lang w:val="en-US" w:eastAsia="zh-CN"/>
        </w:rPr>
        <w:t>4.5</w:t>
      </w:r>
      <w:r>
        <w:rPr>
          <w:rFonts w:hint="eastAsia" w:ascii="仿宋_GB2312" w:eastAsia="仿宋_GB2312"/>
          <w:lang w:val="en-US" w:eastAsia="zh-CN"/>
        </w:rPr>
        <w:t>亿元，年均增速高达</w:t>
      </w:r>
      <w:r>
        <w:rPr>
          <w:rFonts w:hint="eastAsia"/>
          <w:lang w:val="en-US" w:eastAsia="zh-CN"/>
        </w:rPr>
        <w:t>16</w:t>
      </w:r>
      <w:r>
        <w:rPr>
          <w:rFonts w:hint="eastAsia" w:ascii="仿宋_GB2312" w:eastAsia="仿宋_GB2312"/>
          <w:lang w:val="en-US" w:eastAsia="zh-CN"/>
        </w:rPr>
        <w:t>.3%，显著高于</w:t>
      </w:r>
      <w:r>
        <w:rPr>
          <w:rFonts w:hint="eastAsia"/>
          <w:lang w:val="en-US" w:eastAsia="zh-CN"/>
        </w:rPr>
        <w:t>7.9</w:t>
      </w:r>
      <w:r>
        <w:rPr>
          <w:rFonts w:hint="eastAsia" w:ascii="仿宋_GB2312" w:eastAsia="仿宋_GB2312"/>
          <w:lang w:val="en-US" w:eastAsia="zh-CN"/>
        </w:rPr>
        <w:t>%的同期全区GDP增速，贡献全区一半多产值。</w:t>
      </w:r>
    </w:p>
    <w:p>
      <w:pPr>
        <w:rPr>
          <w:rFonts w:hint="default"/>
          <w:lang w:val="en-US" w:eastAsia="zh-CN"/>
        </w:rPr>
      </w:pPr>
      <w:r>
        <w:rPr>
          <w:rFonts w:hint="eastAsia"/>
          <w:lang w:val="en-US" w:eastAsia="zh-CN"/>
        </w:rPr>
        <w:t>尽管</w:t>
      </w:r>
      <w:r>
        <w:rPr>
          <w:rFonts w:hint="eastAsia" w:ascii="仿宋_GB2312" w:eastAsia="仿宋_GB2312"/>
          <w:lang w:val="en-US" w:eastAsia="zh-CN"/>
        </w:rPr>
        <w:t>表面看产业结构不断优化，但产业间发展参差不齐，</w:t>
      </w:r>
      <w:r>
        <w:rPr>
          <w:rFonts w:hint="eastAsia" w:ascii="仿宋_GB2312" w:eastAsia="仿宋_GB2312"/>
          <w:b w:val="0"/>
          <w:bCs w:val="0"/>
          <w:lang w:val="en-US" w:eastAsia="zh-CN"/>
        </w:rPr>
        <w:t>三产高歌猛进、二产政策打压</w:t>
      </w:r>
      <w:r>
        <w:rPr>
          <w:rFonts w:hint="eastAsia"/>
          <w:b w:val="0"/>
          <w:bCs w:val="0"/>
          <w:lang w:val="en-US" w:eastAsia="zh-CN"/>
        </w:rPr>
        <w:t>（指建筑业）</w:t>
      </w:r>
      <w:r>
        <w:rPr>
          <w:rFonts w:hint="eastAsia" w:ascii="仿宋_GB2312" w:eastAsia="仿宋_GB2312"/>
          <w:b w:val="0"/>
          <w:bCs w:val="0"/>
          <w:lang w:val="en-US" w:eastAsia="zh-CN"/>
        </w:rPr>
        <w:t>、一产犹豫不前</w:t>
      </w:r>
      <w:r>
        <w:rPr>
          <w:rFonts w:hint="eastAsia"/>
          <w:b w:val="0"/>
          <w:bCs w:val="0"/>
          <w:lang w:val="en-US" w:eastAsia="zh-CN"/>
        </w:rPr>
        <w:t>。客观分析可以发现</w:t>
      </w:r>
      <w:r>
        <w:rPr>
          <w:rFonts w:hint="eastAsia" w:ascii="仿宋_GB2312" w:eastAsia="仿宋_GB2312"/>
          <w:b w:val="0"/>
          <w:bCs w:val="0"/>
          <w:lang w:val="en-US" w:eastAsia="zh-CN"/>
        </w:rPr>
        <w:t>，</w:t>
      </w:r>
      <w:r>
        <w:rPr>
          <w:rFonts w:hint="eastAsia"/>
          <w:b w:val="0"/>
          <w:bCs w:val="0"/>
          <w:lang w:val="en-US" w:eastAsia="zh-CN"/>
        </w:rPr>
        <w:t>崖州区</w:t>
      </w:r>
      <w:r>
        <w:rPr>
          <w:rFonts w:hint="eastAsia" w:ascii="仿宋_GB2312" w:eastAsia="仿宋_GB2312"/>
          <w:lang w:val="en-US" w:eastAsia="zh-CN"/>
        </w:rPr>
        <w:t>三产比重迅速提高一方面得益于三产本身增长迅速，另一方面</w:t>
      </w:r>
      <w:r>
        <w:rPr>
          <w:rFonts w:hint="eastAsia"/>
          <w:lang w:val="en-US" w:eastAsia="zh-CN"/>
        </w:rPr>
        <w:t>由于</w:t>
      </w:r>
      <w:r>
        <w:rPr>
          <w:rFonts w:hint="eastAsia" w:ascii="仿宋_GB2312" w:eastAsia="仿宋_GB2312"/>
          <w:b/>
          <w:bCs/>
          <w:lang w:val="en-US" w:eastAsia="zh-CN"/>
        </w:rPr>
        <w:t>二产萎缩、</w:t>
      </w:r>
      <w:r>
        <w:rPr>
          <w:rFonts w:hint="eastAsia"/>
          <w:b/>
          <w:bCs/>
          <w:lang w:val="en-US" w:eastAsia="zh-CN"/>
        </w:rPr>
        <w:t>一</w:t>
      </w:r>
      <w:r>
        <w:rPr>
          <w:rFonts w:hint="eastAsia" w:ascii="仿宋_GB2312" w:eastAsia="仿宋_GB2312"/>
          <w:b/>
          <w:bCs/>
          <w:lang w:val="en-US" w:eastAsia="zh-CN"/>
        </w:rPr>
        <w:t>产增长缓慢，三产比重</w:t>
      </w:r>
      <w:r>
        <w:rPr>
          <w:rFonts w:hint="eastAsia"/>
          <w:b/>
          <w:bCs/>
          <w:lang w:val="en-US" w:eastAsia="zh-CN"/>
        </w:rPr>
        <w:t>有一定</w:t>
      </w:r>
      <w:r>
        <w:rPr>
          <w:rFonts w:hint="eastAsia" w:ascii="仿宋_GB2312" w:eastAsia="仿宋_GB2312"/>
          <w:b/>
          <w:bCs/>
          <w:lang w:val="en-US" w:eastAsia="zh-CN"/>
        </w:rPr>
        <w:t>被动提高</w:t>
      </w:r>
      <w:r>
        <w:rPr>
          <w:rFonts w:hint="eastAsia"/>
          <w:b/>
          <w:bCs/>
          <w:lang w:val="en-US" w:eastAsia="zh-CN"/>
        </w:rPr>
        <w:t>的原因</w:t>
      </w:r>
      <w:r>
        <w:rPr>
          <w:rFonts w:hint="eastAsia" w:ascii="仿宋_GB2312" w:eastAsia="仿宋_GB2312"/>
          <w:lang w:val="en-US" w:eastAsia="zh-CN"/>
        </w:rPr>
        <w:t>。</w:t>
      </w:r>
    </w:p>
    <w:p>
      <w:pPr>
        <w:bidi w:val="0"/>
        <w:ind w:firstLine="0" w:firstLineChars="0"/>
        <w:jc w:val="center"/>
        <w:rPr>
          <w:rFonts w:hint="eastAsia" w:ascii="楷体" w:hAnsi="楷体" w:eastAsia="楷体" w:cs="楷体"/>
          <w:b w:val="0"/>
          <w:bCs w:val="0"/>
          <w:sz w:val="28"/>
          <w:szCs w:val="28"/>
          <w:lang w:val="en-US" w:eastAsia="zh-CN"/>
        </w:rPr>
      </w:pPr>
      <w:r>
        <w:rPr>
          <w:rFonts w:hint="eastAsia" w:ascii="楷体" w:hAnsi="楷体" w:eastAsia="楷体" w:cs="楷体"/>
          <w:b w:val="0"/>
          <w:bCs w:val="0"/>
          <w:sz w:val="28"/>
          <w:szCs w:val="28"/>
          <w:lang w:val="en-US" w:eastAsia="zh-CN"/>
        </w:rPr>
        <w:t>表4  崖州区三次产业GDP变化（亿元）</w:t>
      </w:r>
    </w:p>
    <w:tbl>
      <w:tblPr>
        <w:tblStyle w:val="1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17"/>
        <w:gridCol w:w="1217"/>
        <w:gridCol w:w="1217"/>
        <w:gridCol w:w="1"/>
        <w:gridCol w:w="1216"/>
        <w:gridCol w:w="1217"/>
        <w:gridCol w:w="1217"/>
        <w:gridCol w:w="12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13" w:hRule="atLeast"/>
          <w:jc w:val="center"/>
        </w:trPr>
        <w:tc>
          <w:tcPr>
            <w:tcW w:w="1217" w:type="dxa"/>
            <w:vMerge w:val="restart"/>
            <w:tcBorders>
              <w:top w:val="thinThickSmallGap" w:color="A4A4A4" w:sz="12"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color w:val="000000"/>
                <w:sz w:val="24"/>
                <w:szCs w:val="24"/>
                <w:lang w:val="en-US" w:eastAsia="zh-CN"/>
              </w:rPr>
            </w:pPr>
            <w:r>
              <w:rPr>
                <w:rFonts w:hint="eastAsia" w:ascii="楷体" w:hAnsi="楷体" w:eastAsia="楷体" w:cs="楷体"/>
                <w:b/>
                <w:bCs/>
                <w:color w:val="000000"/>
                <w:sz w:val="24"/>
                <w:szCs w:val="24"/>
                <w:lang w:val="en-US" w:eastAsia="zh-CN"/>
              </w:rPr>
              <w:t>年份</w:t>
            </w:r>
          </w:p>
        </w:tc>
        <w:tc>
          <w:tcPr>
            <w:tcW w:w="2435" w:type="dxa"/>
            <w:gridSpan w:val="3"/>
            <w:tcBorders>
              <w:top w:val="thinThickSmallGap" w:color="A4A4A4" w:sz="12"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color w:val="000000"/>
                <w:kern w:val="2"/>
                <w:sz w:val="24"/>
                <w:szCs w:val="24"/>
                <w:u w:val="none"/>
                <w:lang w:val="en-US" w:eastAsia="zh-CN" w:bidi="ar"/>
              </w:rPr>
            </w:pPr>
            <w:r>
              <w:rPr>
                <w:rFonts w:hint="eastAsia" w:ascii="楷体" w:hAnsi="楷体" w:eastAsia="楷体" w:cs="楷体"/>
                <w:b/>
                <w:bCs/>
                <w:i w:val="0"/>
                <w:color w:val="000000"/>
                <w:kern w:val="2"/>
                <w:sz w:val="24"/>
                <w:szCs w:val="24"/>
                <w:u w:val="none"/>
                <w:lang w:val="en-US" w:eastAsia="zh-CN" w:bidi="ar"/>
              </w:rPr>
              <w:t>第一产业</w:t>
            </w:r>
          </w:p>
        </w:tc>
        <w:tc>
          <w:tcPr>
            <w:tcW w:w="2433" w:type="dxa"/>
            <w:gridSpan w:val="2"/>
            <w:tcBorders>
              <w:top w:val="thinThickSmallGap" w:color="A4A4A4" w:sz="12"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color w:val="000000"/>
                <w:sz w:val="24"/>
                <w:szCs w:val="24"/>
                <w:u w:val="none"/>
                <w:lang w:val="en-US" w:eastAsia="zh-CN" w:bidi="ar"/>
              </w:rPr>
            </w:pPr>
            <w:r>
              <w:rPr>
                <w:rFonts w:hint="eastAsia" w:ascii="楷体" w:hAnsi="楷体" w:eastAsia="楷体" w:cs="楷体"/>
                <w:b/>
                <w:bCs/>
                <w:i w:val="0"/>
                <w:color w:val="000000"/>
                <w:kern w:val="2"/>
                <w:sz w:val="24"/>
                <w:szCs w:val="24"/>
                <w:u w:val="none"/>
                <w:lang w:val="en-US" w:eastAsia="zh-CN" w:bidi="ar"/>
              </w:rPr>
              <w:t>第二产业</w:t>
            </w:r>
          </w:p>
        </w:tc>
        <w:tc>
          <w:tcPr>
            <w:tcW w:w="2437" w:type="dxa"/>
            <w:gridSpan w:val="2"/>
            <w:tcBorders>
              <w:top w:val="thinThickSmallGap" w:color="A4A4A4" w:sz="12"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color w:val="000000"/>
                <w:sz w:val="24"/>
                <w:szCs w:val="24"/>
                <w:u w:val="none"/>
                <w:lang w:val="en-US" w:eastAsia="zh-CN" w:bidi="ar"/>
              </w:rPr>
            </w:pPr>
            <w:r>
              <w:rPr>
                <w:rFonts w:hint="eastAsia" w:ascii="楷体" w:hAnsi="楷体" w:eastAsia="楷体" w:cs="楷体"/>
                <w:b/>
                <w:bCs/>
                <w:i w:val="0"/>
                <w:color w:val="000000"/>
                <w:kern w:val="2"/>
                <w:sz w:val="24"/>
                <w:szCs w:val="24"/>
                <w:u w:val="none"/>
                <w:lang w:val="en-US" w:eastAsia="zh-CN" w:bidi="ar"/>
              </w:rPr>
              <w:t>第三产业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13" w:hRule="atLeast"/>
          <w:jc w:val="center"/>
        </w:trPr>
        <w:tc>
          <w:tcPr>
            <w:tcW w:w="1217"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color w:val="000000"/>
                <w:sz w:val="24"/>
                <w:szCs w:val="24"/>
                <w:lang w:val="en-US" w:eastAsia="zh-CN"/>
              </w:rPr>
            </w:pPr>
          </w:p>
        </w:tc>
        <w:tc>
          <w:tcPr>
            <w:tcW w:w="121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color w:val="000000"/>
                <w:kern w:val="2"/>
                <w:sz w:val="24"/>
                <w:szCs w:val="24"/>
                <w:u w:val="none"/>
                <w:lang w:val="en-US" w:eastAsia="zh-CN" w:bidi="ar"/>
              </w:rPr>
            </w:pPr>
            <w:r>
              <w:rPr>
                <w:rFonts w:hint="eastAsia" w:ascii="楷体" w:hAnsi="楷体" w:eastAsia="楷体" w:cs="楷体"/>
                <w:b/>
                <w:bCs/>
                <w:i w:val="0"/>
                <w:color w:val="000000"/>
                <w:kern w:val="2"/>
                <w:sz w:val="24"/>
                <w:szCs w:val="24"/>
                <w:u w:val="none"/>
                <w:lang w:val="en-US" w:eastAsia="zh-CN" w:bidi="ar"/>
              </w:rPr>
              <w:t>产值</w:t>
            </w:r>
          </w:p>
        </w:tc>
        <w:tc>
          <w:tcPr>
            <w:tcW w:w="121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color w:val="000000"/>
                <w:kern w:val="2"/>
                <w:sz w:val="24"/>
                <w:szCs w:val="24"/>
                <w:u w:val="none"/>
                <w:lang w:val="en-US" w:eastAsia="zh-CN" w:bidi="ar"/>
              </w:rPr>
            </w:pPr>
            <w:r>
              <w:rPr>
                <w:rFonts w:hint="eastAsia" w:ascii="楷体" w:hAnsi="楷体" w:eastAsia="楷体" w:cs="楷体"/>
                <w:b/>
                <w:bCs/>
                <w:i w:val="0"/>
                <w:color w:val="000000"/>
                <w:kern w:val="2"/>
                <w:sz w:val="24"/>
                <w:szCs w:val="24"/>
                <w:u w:val="none"/>
                <w:lang w:val="en-US" w:eastAsia="zh-CN" w:bidi="ar"/>
              </w:rPr>
              <w:t>占比（%）</w:t>
            </w:r>
          </w:p>
        </w:tc>
        <w:tc>
          <w:tcPr>
            <w:tcW w:w="1217" w:type="dxa"/>
            <w:gridSpan w:val="2"/>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color w:val="000000"/>
                <w:kern w:val="2"/>
                <w:sz w:val="24"/>
                <w:szCs w:val="24"/>
                <w:u w:val="none"/>
                <w:lang w:val="en-US" w:eastAsia="zh-CN" w:bidi="ar"/>
              </w:rPr>
            </w:pPr>
            <w:r>
              <w:rPr>
                <w:rFonts w:hint="eastAsia" w:ascii="楷体" w:hAnsi="楷体" w:eastAsia="楷体" w:cs="楷体"/>
                <w:b/>
                <w:bCs/>
                <w:i w:val="0"/>
                <w:color w:val="000000"/>
                <w:kern w:val="2"/>
                <w:sz w:val="24"/>
                <w:szCs w:val="24"/>
                <w:u w:val="none"/>
                <w:lang w:val="en-US" w:eastAsia="zh-CN" w:bidi="ar"/>
              </w:rPr>
              <w:t>产值</w:t>
            </w:r>
          </w:p>
        </w:tc>
        <w:tc>
          <w:tcPr>
            <w:tcW w:w="121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color w:val="000000"/>
                <w:kern w:val="2"/>
                <w:sz w:val="24"/>
                <w:szCs w:val="24"/>
                <w:u w:val="none"/>
                <w:lang w:val="en-US" w:eastAsia="zh-CN" w:bidi="ar"/>
              </w:rPr>
            </w:pPr>
            <w:r>
              <w:rPr>
                <w:rFonts w:hint="eastAsia" w:ascii="楷体" w:hAnsi="楷体" w:eastAsia="楷体" w:cs="楷体"/>
                <w:b/>
                <w:bCs/>
                <w:i w:val="0"/>
                <w:color w:val="000000"/>
                <w:kern w:val="2"/>
                <w:sz w:val="24"/>
                <w:szCs w:val="24"/>
                <w:u w:val="none"/>
                <w:lang w:val="en-US" w:eastAsia="zh-CN" w:bidi="ar"/>
              </w:rPr>
              <w:t>占比（%）</w:t>
            </w:r>
          </w:p>
        </w:tc>
        <w:tc>
          <w:tcPr>
            <w:tcW w:w="121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color w:val="000000"/>
                <w:kern w:val="2"/>
                <w:sz w:val="24"/>
                <w:szCs w:val="24"/>
                <w:u w:val="none"/>
                <w:lang w:val="en-US" w:eastAsia="zh-CN" w:bidi="ar"/>
              </w:rPr>
            </w:pPr>
            <w:r>
              <w:rPr>
                <w:rFonts w:hint="eastAsia" w:ascii="楷体" w:hAnsi="楷体" w:eastAsia="楷体" w:cs="楷体"/>
                <w:b/>
                <w:bCs/>
                <w:i w:val="0"/>
                <w:color w:val="000000"/>
                <w:kern w:val="2"/>
                <w:sz w:val="24"/>
                <w:szCs w:val="24"/>
                <w:u w:val="none"/>
                <w:lang w:val="en-US" w:eastAsia="zh-CN" w:bidi="ar"/>
              </w:rPr>
              <w:t>产值</w:t>
            </w:r>
          </w:p>
        </w:tc>
        <w:tc>
          <w:tcPr>
            <w:tcW w:w="122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color w:val="000000"/>
                <w:kern w:val="2"/>
                <w:sz w:val="24"/>
                <w:szCs w:val="24"/>
                <w:u w:val="none"/>
                <w:lang w:val="en-US" w:eastAsia="zh-CN" w:bidi="ar"/>
              </w:rPr>
            </w:pPr>
            <w:r>
              <w:rPr>
                <w:rFonts w:hint="eastAsia" w:ascii="楷体" w:hAnsi="楷体" w:eastAsia="楷体" w:cs="楷体"/>
                <w:b/>
                <w:bCs/>
                <w:i w:val="0"/>
                <w:color w:val="000000"/>
                <w:kern w:val="2"/>
                <w:sz w:val="24"/>
                <w:szCs w:val="24"/>
                <w:u w:val="none"/>
                <w:lang w:val="en-US" w:eastAsia="zh-CN" w:bidi="ar"/>
              </w:rPr>
              <w:t>占比（%）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13" w:hRule="atLeast"/>
          <w:jc w:val="center"/>
        </w:trPr>
        <w:tc>
          <w:tcPr>
            <w:tcW w:w="121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color w:val="000000"/>
                <w:sz w:val="24"/>
                <w:szCs w:val="24"/>
                <w:lang w:val="en-US" w:eastAsia="zh-CN"/>
              </w:rPr>
            </w:pPr>
            <w:r>
              <w:rPr>
                <w:rFonts w:hint="eastAsia" w:ascii="楷体" w:hAnsi="楷体" w:eastAsia="楷体" w:cs="楷体"/>
                <w:i w:val="0"/>
                <w:color w:val="000000"/>
                <w:kern w:val="2"/>
                <w:sz w:val="24"/>
                <w:szCs w:val="24"/>
                <w:u w:val="none"/>
                <w:lang w:val="en-US" w:eastAsia="zh-CN" w:bidi="ar"/>
              </w:rPr>
              <w:t>2015年</w:t>
            </w:r>
          </w:p>
        </w:tc>
        <w:tc>
          <w:tcPr>
            <w:tcW w:w="121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color w:val="000000"/>
                <w:sz w:val="24"/>
                <w:szCs w:val="24"/>
                <w:u w:val="none"/>
                <w:lang w:val="en-US" w:eastAsia="zh-CN" w:bidi="ar"/>
              </w:rPr>
            </w:pPr>
            <w:r>
              <w:rPr>
                <w:rFonts w:hint="eastAsia" w:ascii="楷体" w:hAnsi="楷体" w:eastAsia="楷体" w:cs="楷体"/>
                <w:i w:val="0"/>
                <w:color w:val="000000"/>
                <w:kern w:val="2"/>
                <w:sz w:val="24"/>
                <w:szCs w:val="24"/>
                <w:u w:val="none"/>
                <w:lang w:val="en-US" w:eastAsia="zh-CN" w:bidi="ar"/>
              </w:rPr>
              <w:t>17.7</w:t>
            </w:r>
          </w:p>
        </w:tc>
        <w:tc>
          <w:tcPr>
            <w:tcW w:w="121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i w:val="0"/>
                <w:color w:val="000000"/>
                <w:kern w:val="2"/>
                <w:sz w:val="24"/>
                <w:szCs w:val="24"/>
                <w:u w:val="none"/>
                <w:lang w:val="en-US" w:eastAsia="zh-CN" w:bidi="ar"/>
              </w:rPr>
            </w:pPr>
            <w:r>
              <w:rPr>
                <w:rFonts w:hint="eastAsia" w:ascii="楷体" w:hAnsi="楷体" w:eastAsia="楷体" w:cs="楷体"/>
                <w:i w:val="0"/>
                <w:color w:val="000000"/>
                <w:kern w:val="2"/>
                <w:sz w:val="24"/>
                <w:szCs w:val="24"/>
                <w:u w:val="none"/>
                <w:lang w:val="en-US" w:eastAsia="zh-CN" w:bidi="ar"/>
              </w:rPr>
              <w:t>39.0</w:t>
            </w:r>
          </w:p>
        </w:tc>
        <w:tc>
          <w:tcPr>
            <w:tcW w:w="1217" w:type="dxa"/>
            <w:gridSpan w:val="2"/>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color w:val="000000"/>
                <w:sz w:val="24"/>
                <w:szCs w:val="24"/>
                <w:u w:val="none"/>
                <w:lang w:val="en-US" w:eastAsia="zh-CN" w:bidi="ar"/>
              </w:rPr>
            </w:pPr>
            <w:r>
              <w:rPr>
                <w:rFonts w:hint="eastAsia" w:ascii="楷体" w:hAnsi="楷体" w:eastAsia="楷体" w:cs="楷体"/>
                <w:i w:val="0"/>
                <w:color w:val="000000"/>
                <w:kern w:val="2"/>
                <w:sz w:val="24"/>
                <w:szCs w:val="24"/>
                <w:u w:val="none"/>
                <w:lang w:val="en-US" w:eastAsia="zh-CN" w:bidi="ar"/>
              </w:rPr>
              <w:t>11.5</w:t>
            </w:r>
          </w:p>
        </w:tc>
        <w:tc>
          <w:tcPr>
            <w:tcW w:w="121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i w:val="0"/>
                <w:color w:val="000000"/>
                <w:kern w:val="2"/>
                <w:sz w:val="24"/>
                <w:szCs w:val="24"/>
                <w:u w:val="none"/>
                <w:lang w:val="en-US" w:eastAsia="zh-CN" w:bidi="ar"/>
              </w:rPr>
            </w:pPr>
            <w:r>
              <w:rPr>
                <w:rFonts w:hint="eastAsia" w:ascii="楷体" w:hAnsi="楷体" w:eastAsia="楷体" w:cs="楷体"/>
                <w:i w:val="0"/>
                <w:color w:val="000000"/>
                <w:kern w:val="2"/>
                <w:sz w:val="24"/>
                <w:szCs w:val="24"/>
                <w:u w:val="none"/>
                <w:lang w:val="en-US" w:eastAsia="zh-CN" w:bidi="ar"/>
              </w:rPr>
              <w:t>25.3</w:t>
            </w:r>
          </w:p>
        </w:tc>
        <w:tc>
          <w:tcPr>
            <w:tcW w:w="121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color w:val="000000"/>
                <w:sz w:val="24"/>
                <w:szCs w:val="24"/>
                <w:u w:val="none"/>
                <w:lang w:val="en-US" w:eastAsia="zh-CN" w:bidi="ar"/>
              </w:rPr>
            </w:pPr>
            <w:r>
              <w:rPr>
                <w:rFonts w:hint="eastAsia" w:ascii="楷体" w:hAnsi="楷体" w:eastAsia="楷体" w:cs="楷体"/>
                <w:i w:val="0"/>
                <w:color w:val="000000"/>
                <w:kern w:val="2"/>
                <w:sz w:val="24"/>
                <w:szCs w:val="24"/>
                <w:u w:val="none"/>
                <w:lang w:val="en-US" w:eastAsia="zh-CN" w:bidi="ar"/>
              </w:rPr>
              <w:t>16.2</w:t>
            </w:r>
          </w:p>
        </w:tc>
        <w:tc>
          <w:tcPr>
            <w:tcW w:w="122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i w:val="0"/>
                <w:color w:val="000000"/>
                <w:kern w:val="2"/>
                <w:sz w:val="24"/>
                <w:szCs w:val="24"/>
                <w:u w:val="none"/>
                <w:lang w:val="en-US" w:eastAsia="zh-CN" w:bidi="ar"/>
              </w:rPr>
            </w:pPr>
            <w:r>
              <w:rPr>
                <w:rFonts w:hint="eastAsia" w:ascii="楷体" w:hAnsi="楷体" w:eastAsia="楷体" w:cs="楷体"/>
                <w:i w:val="0"/>
                <w:color w:val="000000"/>
                <w:kern w:val="2"/>
                <w:sz w:val="24"/>
                <w:szCs w:val="24"/>
                <w:u w:val="none"/>
                <w:lang w:val="en-US" w:eastAsia="zh-CN" w:bidi="ar"/>
              </w:rPr>
              <w:t>35.7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13" w:hRule="atLeast"/>
          <w:jc w:val="center"/>
        </w:trPr>
        <w:tc>
          <w:tcPr>
            <w:tcW w:w="121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color w:val="000000"/>
                <w:sz w:val="24"/>
                <w:szCs w:val="24"/>
                <w:lang w:val="en-US" w:eastAsia="zh-CN"/>
              </w:rPr>
            </w:pPr>
            <w:r>
              <w:rPr>
                <w:rFonts w:hint="eastAsia" w:ascii="楷体" w:hAnsi="楷体" w:eastAsia="楷体" w:cs="楷体"/>
                <w:i w:val="0"/>
                <w:color w:val="000000"/>
                <w:kern w:val="2"/>
                <w:sz w:val="24"/>
                <w:szCs w:val="24"/>
                <w:u w:val="none"/>
                <w:lang w:val="en-US" w:eastAsia="zh-CN" w:bidi="ar"/>
              </w:rPr>
              <w:t>2016年</w:t>
            </w:r>
          </w:p>
        </w:tc>
        <w:tc>
          <w:tcPr>
            <w:tcW w:w="121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color w:val="000000"/>
                <w:sz w:val="24"/>
                <w:szCs w:val="24"/>
                <w:u w:val="none"/>
                <w:lang w:val="en-US" w:eastAsia="zh-CN" w:bidi="ar"/>
              </w:rPr>
            </w:pPr>
            <w:r>
              <w:rPr>
                <w:rFonts w:hint="eastAsia" w:ascii="楷体" w:hAnsi="楷体" w:eastAsia="楷体" w:cs="楷体"/>
                <w:i w:val="0"/>
                <w:color w:val="000000"/>
                <w:kern w:val="2"/>
                <w:sz w:val="24"/>
                <w:szCs w:val="24"/>
                <w:u w:val="none"/>
                <w:lang w:val="en-US" w:eastAsia="zh-CN" w:bidi="ar"/>
              </w:rPr>
              <w:t>19.2</w:t>
            </w:r>
          </w:p>
        </w:tc>
        <w:tc>
          <w:tcPr>
            <w:tcW w:w="121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i w:val="0"/>
                <w:color w:val="000000"/>
                <w:kern w:val="2"/>
                <w:sz w:val="24"/>
                <w:szCs w:val="24"/>
                <w:u w:val="none"/>
                <w:lang w:val="en-US" w:eastAsia="zh-CN" w:bidi="ar"/>
              </w:rPr>
            </w:pPr>
            <w:r>
              <w:rPr>
                <w:rFonts w:hint="eastAsia" w:ascii="楷体" w:hAnsi="楷体" w:eastAsia="楷体" w:cs="楷体"/>
                <w:i w:val="0"/>
                <w:color w:val="000000"/>
                <w:kern w:val="2"/>
                <w:sz w:val="24"/>
                <w:szCs w:val="24"/>
                <w:u w:val="none"/>
                <w:lang w:val="en-US" w:eastAsia="zh-CN" w:bidi="ar"/>
              </w:rPr>
              <w:t>39.6</w:t>
            </w:r>
          </w:p>
        </w:tc>
        <w:tc>
          <w:tcPr>
            <w:tcW w:w="1217" w:type="dxa"/>
            <w:gridSpan w:val="2"/>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color w:val="000000"/>
                <w:sz w:val="24"/>
                <w:szCs w:val="24"/>
                <w:u w:val="none"/>
                <w:lang w:val="en-US" w:eastAsia="zh-CN" w:bidi="ar"/>
              </w:rPr>
            </w:pPr>
            <w:r>
              <w:rPr>
                <w:rFonts w:hint="eastAsia" w:ascii="楷体" w:hAnsi="楷体" w:eastAsia="楷体" w:cs="楷体"/>
                <w:i w:val="0"/>
                <w:color w:val="000000"/>
                <w:kern w:val="2"/>
                <w:sz w:val="24"/>
                <w:szCs w:val="24"/>
                <w:u w:val="none"/>
                <w:lang w:val="en-US" w:eastAsia="zh-CN" w:bidi="ar"/>
              </w:rPr>
              <w:t>12.2</w:t>
            </w:r>
          </w:p>
        </w:tc>
        <w:tc>
          <w:tcPr>
            <w:tcW w:w="121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i w:val="0"/>
                <w:color w:val="000000"/>
                <w:kern w:val="2"/>
                <w:sz w:val="24"/>
                <w:szCs w:val="24"/>
                <w:u w:val="none"/>
                <w:lang w:val="en-US" w:eastAsia="zh-CN" w:bidi="ar"/>
              </w:rPr>
            </w:pPr>
            <w:r>
              <w:rPr>
                <w:rFonts w:hint="eastAsia" w:ascii="楷体" w:hAnsi="楷体" w:eastAsia="楷体" w:cs="楷体"/>
                <w:i w:val="0"/>
                <w:color w:val="000000"/>
                <w:kern w:val="2"/>
                <w:sz w:val="24"/>
                <w:szCs w:val="24"/>
                <w:u w:val="none"/>
                <w:lang w:val="en-US" w:eastAsia="zh-CN" w:bidi="ar"/>
              </w:rPr>
              <w:t>25.2</w:t>
            </w:r>
          </w:p>
        </w:tc>
        <w:tc>
          <w:tcPr>
            <w:tcW w:w="121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color w:val="000000"/>
                <w:sz w:val="24"/>
                <w:szCs w:val="24"/>
                <w:u w:val="none"/>
                <w:lang w:val="en-US" w:eastAsia="zh-CN" w:bidi="ar"/>
              </w:rPr>
            </w:pPr>
            <w:r>
              <w:rPr>
                <w:rFonts w:hint="eastAsia" w:ascii="楷体" w:hAnsi="楷体" w:eastAsia="楷体" w:cs="楷体"/>
                <w:i w:val="0"/>
                <w:color w:val="000000"/>
                <w:kern w:val="2"/>
                <w:sz w:val="24"/>
                <w:szCs w:val="24"/>
                <w:u w:val="none"/>
                <w:lang w:val="en-US" w:eastAsia="zh-CN" w:bidi="ar"/>
              </w:rPr>
              <w:t>17.1</w:t>
            </w:r>
          </w:p>
        </w:tc>
        <w:tc>
          <w:tcPr>
            <w:tcW w:w="122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i w:val="0"/>
                <w:color w:val="000000"/>
                <w:kern w:val="2"/>
                <w:sz w:val="24"/>
                <w:szCs w:val="24"/>
                <w:u w:val="none"/>
                <w:lang w:val="en-US" w:eastAsia="zh-CN" w:bidi="ar"/>
              </w:rPr>
            </w:pPr>
            <w:r>
              <w:rPr>
                <w:rFonts w:hint="eastAsia" w:ascii="楷体" w:hAnsi="楷体" w:eastAsia="楷体" w:cs="楷体"/>
                <w:i w:val="0"/>
                <w:color w:val="000000"/>
                <w:kern w:val="2"/>
                <w:sz w:val="24"/>
                <w:szCs w:val="24"/>
                <w:u w:val="none"/>
                <w:lang w:val="en-US" w:eastAsia="zh-CN" w:bidi="ar"/>
              </w:rPr>
              <w:t>35.2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13" w:hRule="atLeast"/>
          <w:jc w:val="center"/>
        </w:trPr>
        <w:tc>
          <w:tcPr>
            <w:tcW w:w="121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color w:val="000000"/>
                <w:sz w:val="24"/>
                <w:szCs w:val="24"/>
                <w:lang w:val="en-US" w:eastAsia="zh-CN"/>
              </w:rPr>
            </w:pPr>
            <w:r>
              <w:rPr>
                <w:rFonts w:hint="eastAsia" w:ascii="楷体" w:hAnsi="楷体" w:eastAsia="楷体" w:cs="楷体"/>
                <w:i w:val="0"/>
                <w:color w:val="000000"/>
                <w:kern w:val="2"/>
                <w:sz w:val="24"/>
                <w:szCs w:val="24"/>
                <w:u w:val="none"/>
                <w:lang w:val="en-US" w:eastAsia="zh-CN" w:bidi="ar"/>
              </w:rPr>
              <w:t>2017年</w:t>
            </w:r>
          </w:p>
        </w:tc>
        <w:tc>
          <w:tcPr>
            <w:tcW w:w="121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color w:val="000000"/>
                <w:sz w:val="24"/>
                <w:szCs w:val="24"/>
                <w:u w:val="none"/>
                <w:lang w:val="en-US" w:eastAsia="zh-CN" w:bidi="ar"/>
              </w:rPr>
            </w:pPr>
            <w:r>
              <w:rPr>
                <w:rFonts w:hint="eastAsia" w:ascii="楷体" w:hAnsi="楷体" w:eastAsia="楷体" w:cs="楷体"/>
                <w:i w:val="0"/>
                <w:color w:val="000000"/>
                <w:kern w:val="2"/>
                <w:sz w:val="24"/>
                <w:szCs w:val="24"/>
                <w:u w:val="none"/>
                <w:lang w:val="en-US" w:eastAsia="zh-CN" w:bidi="ar"/>
              </w:rPr>
              <w:t>17.9</w:t>
            </w:r>
          </w:p>
        </w:tc>
        <w:tc>
          <w:tcPr>
            <w:tcW w:w="121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i w:val="0"/>
                <w:color w:val="000000"/>
                <w:kern w:val="2"/>
                <w:sz w:val="24"/>
                <w:szCs w:val="24"/>
                <w:u w:val="none"/>
                <w:lang w:val="en-US" w:eastAsia="zh-CN" w:bidi="ar"/>
              </w:rPr>
            </w:pPr>
            <w:r>
              <w:rPr>
                <w:rFonts w:hint="eastAsia" w:ascii="楷体" w:hAnsi="楷体" w:eastAsia="楷体" w:cs="楷体"/>
                <w:i w:val="0"/>
                <w:color w:val="000000"/>
                <w:kern w:val="2"/>
                <w:sz w:val="24"/>
                <w:szCs w:val="24"/>
                <w:u w:val="none"/>
                <w:lang w:val="en-US" w:eastAsia="zh-CN" w:bidi="ar"/>
              </w:rPr>
              <w:t>33.1</w:t>
            </w:r>
          </w:p>
        </w:tc>
        <w:tc>
          <w:tcPr>
            <w:tcW w:w="1217" w:type="dxa"/>
            <w:gridSpan w:val="2"/>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color w:val="000000"/>
                <w:sz w:val="24"/>
                <w:szCs w:val="24"/>
                <w:u w:val="none"/>
                <w:lang w:val="en-US" w:eastAsia="zh-CN" w:bidi="ar"/>
              </w:rPr>
            </w:pPr>
            <w:r>
              <w:rPr>
                <w:rFonts w:hint="eastAsia" w:ascii="楷体" w:hAnsi="楷体" w:eastAsia="楷体" w:cs="楷体"/>
                <w:i w:val="0"/>
                <w:color w:val="000000"/>
                <w:kern w:val="2"/>
                <w:sz w:val="24"/>
                <w:szCs w:val="24"/>
                <w:u w:val="none"/>
                <w:lang w:val="en-US" w:eastAsia="zh-CN" w:bidi="ar"/>
              </w:rPr>
              <w:t>12.6</w:t>
            </w:r>
          </w:p>
        </w:tc>
        <w:tc>
          <w:tcPr>
            <w:tcW w:w="121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i w:val="0"/>
                <w:color w:val="000000"/>
                <w:kern w:val="2"/>
                <w:sz w:val="24"/>
                <w:szCs w:val="24"/>
                <w:u w:val="none"/>
                <w:lang w:val="en-US" w:eastAsia="zh-CN" w:bidi="ar"/>
              </w:rPr>
            </w:pPr>
            <w:r>
              <w:rPr>
                <w:rFonts w:hint="eastAsia" w:ascii="楷体" w:hAnsi="楷体" w:eastAsia="楷体" w:cs="楷体"/>
                <w:i w:val="0"/>
                <w:color w:val="000000"/>
                <w:kern w:val="2"/>
                <w:sz w:val="24"/>
                <w:szCs w:val="24"/>
                <w:u w:val="none"/>
                <w:lang w:val="en-US" w:eastAsia="zh-CN" w:bidi="ar"/>
              </w:rPr>
              <w:t>23.2</w:t>
            </w:r>
          </w:p>
        </w:tc>
        <w:tc>
          <w:tcPr>
            <w:tcW w:w="121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color w:val="000000"/>
                <w:sz w:val="24"/>
                <w:szCs w:val="24"/>
                <w:u w:val="none"/>
                <w:lang w:val="en-US" w:eastAsia="zh-CN" w:bidi="ar"/>
              </w:rPr>
            </w:pPr>
            <w:r>
              <w:rPr>
                <w:rFonts w:hint="eastAsia" w:ascii="楷体" w:hAnsi="楷体" w:eastAsia="楷体" w:cs="楷体"/>
                <w:i w:val="0"/>
                <w:color w:val="000000"/>
                <w:kern w:val="2"/>
                <w:sz w:val="24"/>
                <w:szCs w:val="24"/>
                <w:u w:val="none"/>
                <w:lang w:val="en-US" w:eastAsia="zh-CN" w:bidi="ar"/>
              </w:rPr>
              <w:t>23.7</w:t>
            </w:r>
          </w:p>
        </w:tc>
        <w:tc>
          <w:tcPr>
            <w:tcW w:w="122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i w:val="0"/>
                <w:color w:val="000000"/>
                <w:kern w:val="2"/>
                <w:sz w:val="24"/>
                <w:szCs w:val="24"/>
                <w:u w:val="none"/>
                <w:lang w:val="en-US" w:eastAsia="zh-CN" w:bidi="ar"/>
              </w:rPr>
            </w:pPr>
            <w:r>
              <w:rPr>
                <w:rFonts w:hint="eastAsia" w:ascii="楷体" w:hAnsi="楷体" w:eastAsia="楷体" w:cs="楷体"/>
                <w:i w:val="0"/>
                <w:color w:val="000000"/>
                <w:kern w:val="2"/>
                <w:sz w:val="24"/>
                <w:szCs w:val="24"/>
                <w:u w:val="none"/>
                <w:lang w:val="en-US" w:eastAsia="zh-CN" w:bidi="ar"/>
              </w:rPr>
              <w:t>43.7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13" w:hRule="atLeast"/>
          <w:jc w:val="center"/>
        </w:trPr>
        <w:tc>
          <w:tcPr>
            <w:tcW w:w="121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color w:val="000000"/>
                <w:sz w:val="24"/>
                <w:szCs w:val="24"/>
                <w:lang w:val="en-US" w:eastAsia="zh-CN"/>
              </w:rPr>
            </w:pPr>
            <w:r>
              <w:rPr>
                <w:rFonts w:hint="eastAsia" w:ascii="楷体" w:hAnsi="楷体" w:eastAsia="楷体" w:cs="楷体"/>
                <w:i w:val="0"/>
                <w:color w:val="000000"/>
                <w:kern w:val="2"/>
                <w:sz w:val="24"/>
                <w:szCs w:val="24"/>
                <w:u w:val="none"/>
                <w:lang w:val="en-US" w:eastAsia="zh-CN" w:bidi="ar"/>
              </w:rPr>
              <w:t>2018年</w:t>
            </w:r>
          </w:p>
        </w:tc>
        <w:tc>
          <w:tcPr>
            <w:tcW w:w="121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color w:val="000000"/>
                <w:sz w:val="24"/>
                <w:szCs w:val="24"/>
                <w:u w:val="none"/>
                <w:lang w:val="en-US" w:eastAsia="zh-CN" w:bidi="ar"/>
              </w:rPr>
            </w:pPr>
            <w:r>
              <w:rPr>
                <w:rFonts w:hint="eastAsia" w:ascii="楷体" w:hAnsi="楷体" w:eastAsia="楷体" w:cs="楷体"/>
                <w:i w:val="0"/>
                <w:color w:val="000000"/>
                <w:kern w:val="2"/>
                <w:sz w:val="24"/>
                <w:szCs w:val="24"/>
                <w:u w:val="none"/>
                <w:lang w:val="en-US" w:eastAsia="zh-CN" w:bidi="ar"/>
              </w:rPr>
              <w:t>19.6</w:t>
            </w:r>
          </w:p>
        </w:tc>
        <w:tc>
          <w:tcPr>
            <w:tcW w:w="121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i w:val="0"/>
                <w:color w:val="000000"/>
                <w:kern w:val="2"/>
                <w:sz w:val="24"/>
                <w:szCs w:val="24"/>
                <w:u w:val="none"/>
                <w:lang w:val="en-US" w:eastAsia="zh-CN" w:bidi="ar"/>
              </w:rPr>
            </w:pPr>
            <w:r>
              <w:rPr>
                <w:rFonts w:hint="eastAsia" w:ascii="楷体" w:hAnsi="楷体" w:eastAsia="楷体" w:cs="楷体"/>
                <w:i w:val="0"/>
                <w:color w:val="000000"/>
                <w:kern w:val="2"/>
                <w:sz w:val="24"/>
                <w:szCs w:val="24"/>
                <w:u w:val="none"/>
                <w:lang w:val="en-US" w:eastAsia="zh-CN" w:bidi="ar"/>
              </w:rPr>
              <w:t>34.5</w:t>
            </w:r>
          </w:p>
        </w:tc>
        <w:tc>
          <w:tcPr>
            <w:tcW w:w="1217" w:type="dxa"/>
            <w:gridSpan w:val="2"/>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color w:val="000000"/>
                <w:sz w:val="24"/>
                <w:szCs w:val="24"/>
                <w:u w:val="none"/>
                <w:lang w:val="en-US" w:eastAsia="zh-CN" w:bidi="ar"/>
              </w:rPr>
            </w:pPr>
            <w:r>
              <w:rPr>
                <w:rFonts w:hint="eastAsia" w:ascii="楷体" w:hAnsi="楷体" w:eastAsia="楷体" w:cs="楷体"/>
                <w:i w:val="0"/>
                <w:color w:val="000000"/>
                <w:kern w:val="2"/>
                <w:sz w:val="24"/>
                <w:szCs w:val="24"/>
                <w:u w:val="none"/>
                <w:lang w:val="en-US" w:eastAsia="zh-CN" w:bidi="ar"/>
              </w:rPr>
              <w:t>6.9</w:t>
            </w:r>
          </w:p>
        </w:tc>
        <w:tc>
          <w:tcPr>
            <w:tcW w:w="121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i w:val="0"/>
                <w:color w:val="000000"/>
                <w:kern w:val="2"/>
                <w:sz w:val="24"/>
                <w:szCs w:val="24"/>
                <w:u w:val="none"/>
                <w:lang w:val="en-US" w:eastAsia="zh-CN" w:bidi="ar"/>
              </w:rPr>
            </w:pPr>
            <w:r>
              <w:rPr>
                <w:rFonts w:hint="eastAsia" w:ascii="楷体" w:hAnsi="楷体" w:eastAsia="楷体" w:cs="楷体"/>
                <w:i w:val="0"/>
                <w:color w:val="000000"/>
                <w:kern w:val="2"/>
                <w:sz w:val="24"/>
                <w:szCs w:val="24"/>
                <w:u w:val="none"/>
                <w:lang w:val="en-US" w:eastAsia="zh-CN" w:bidi="ar"/>
              </w:rPr>
              <w:t>12.2</w:t>
            </w:r>
          </w:p>
        </w:tc>
        <w:tc>
          <w:tcPr>
            <w:tcW w:w="121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color w:val="000000"/>
                <w:sz w:val="24"/>
                <w:szCs w:val="24"/>
                <w:u w:val="none"/>
                <w:lang w:val="en-US" w:eastAsia="zh-CN" w:bidi="ar"/>
              </w:rPr>
            </w:pPr>
            <w:r>
              <w:rPr>
                <w:rFonts w:hint="eastAsia" w:ascii="楷体" w:hAnsi="楷体" w:eastAsia="楷体" w:cs="楷体"/>
                <w:i w:val="0"/>
                <w:color w:val="000000"/>
                <w:kern w:val="2"/>
                <w:sz w:val="24"/>
                <w:szCs w:val="24"/>
                <w:u w:val="none"/>
                <w:lang w:val="en-US" w:eastAsia="zh-CN" w:bidi="ar"/>
              </w:rPr>
              <w:t>30.2</w:t>
            </w:r>
          </w:p>
        </w:tc>
        <w:tc>
          <w:tcPr>
            <w:tcW w:w="122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i w:val="0"/>
                <w:color w:val="000000"/>
                <w:kern w:val="2"/>
                <w:sz w:val="24"/>
                <w:szCs w:val="24"/>
                <w:u w:val="none"/>
                <w:lang w:val="en-US" w:eastAsia="zh-CN" w:bidi="ar"/>
              </w:rPr>
            </w:pPr>
            <w:r>
              <w:rPr>
                <w:rFonts w:hint="eastAsia" w:ascii="楷体" w:hAnsi="楷体" w:eastAsia="楷体" w:cs="楷体"/>
                <w:i w:val="0"/>
                <w:color w:val="000000"/>
                <w:kern w:val="2"/>
                <w:sz w:val="24"/>
                <w:szCs w:val="24"/>
                <w:u w:val="none"/>
                <w:lang w:val="en-US" w:eastAsia="zh-CN" w:bidi="ar"/>
              </w:rPr>
              <w:t>53.3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13" w:hRule="atLeast"/>
          <w:jc w:val="center"/>
        </w:trPr>
        <w:tc>
          <w:tcPr>
            <w:tcW w:w="121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color w:val="000000"/>
                <w:sz w:val="24"/>
                <w:szCs w:val="24"/>
                <w:lang w:val="en-US" w:eastAsia="zh-CN"/>
              </w:rPr>
            </w:pPr>
            <w:r>
              <w:rPr>
                <w:rFonts w:hint="eastAsia" w:ascii="楷体" w:hAnsi="楷体" w:eastAsia="楷体" w:cs="楷体"/>
                <w:i w:val="0"/>
                <w:color w:val="000000"/>
                <w:kern w:val="2"/>
                <w:sz w:val="24"/>
                <w:szCs w:val="24"/>
                <w:u w:val="none"/>
                <w:lang w:val="en-US" w:eastAsia="zh-CN" w:bidi="ar"/>
              </w:rPr>
              <w:t>2019年</w:t>
            </w:r>
          </w:p>
        </w:tc>
        <w:tc>
          <w:tcPr>
            <w:tcW w:w="121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color w:val="000000"/>
                <w:sz w:val="24"/>
                <w:szCs w:val="24"/>
                <w:u w:val="none"/>
                <w:lang w:val="en-US" w:eastAsia="zh-CN" w:bidi="ar"/>
              </w:rPr>
            </w:pPr>
            <w:r>
              <w:rPr>
                <w:rFonts w:hint="eastAsia" w:ascii="楷体" w:hAnsi="楷体" w:eastAsia="楷体" w:cs="楷体"/>
                <w:i w:val="0"/>
                <w:color w:val="000000"/>
                <w:kern w:val="2"/>
                <w:sz w:val="24"/>
                <w:szCs w:val="24"/>
                <w:u w:val="none"/>
                <w:lang w:val="en-US" w:eastAsia="zh-CN" w:bidi="ar"/>
              </w:rPr>
              <w:t>20.6</w:t>
            </w:r>
          </w:p>
        </w:tc>
        <w:tc>
          <w:tcPr>
            <w:tcW w:w="121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i w:val="0"/>
                <w:color w:val="000000"/>
                <w:kern w:val="2"/>
                <w:sz w:val="24"/>
                <w:szCs w:val="24"/>
                <w:u w:val="none"/>
                <w:lang w:val="en-US" w:eastAsia="zh-CN" w:bidi="ar"/>
              </w:rPr>
            </w:pPr>
            <w:r>
              <w:rPr>
                <w:rFonts w:hint="eastAsia" w:ascii="楷体" w:hAnsi="楷体" w:eastAsia="楷体" w:cs="楷体"/>
                <w:i w:val="0"/>
                <w:color w:val="000000"/>
                <w:kern w:val="2"/>
                <w:sz w:val="24"/>
                <w:szCs w:val="24"/>
                <w:u w:val="none"/>
                <w:lang w:val="en-US" w:eastAsia="zh-CN" w:bidi="ar"/>
              </w:rPr>
              <w:t>32.0</w:t>
            </w:r>
          </w:p>
        </w:tc>
        <w:tc>
          <w:tcPr>
            <w:tcW w:w="1217" w:type="dxa"/>
            <w:gridSpan w:val="2"/>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color w:val="000000"/>
                <w:sz w:val="24"/>
                <w:szCs w:val="24"/>
                <w:u w:val="none"/>
                <w:lang w:val="en-US" w:eastAsia="zh-CN" w:bidi="ar"/>
              </w:rPr>
            </w:pPr>
            <w:r>
              <w:rPr>
                <w:rFonts w:hint="eastAsia" w:ascii="楷体" w:hAnsi="楷体" w:eastAsia="楷体" w:cs="楷体"/>
                <w:i w:val="0"/>
                <w:color w:val="000000"/>
                <w:kern w:val="2"/>
                <w:sz w:val="24"/>
                <w:szCs w:val="24"/>
                <w:u w:val="none"/>
                <w:lang w:val="en-US" w:eastAsia="zh-CN" w:bidi="ar"/>
              </w:rPr>
              <w:t>7.5</w:t>
            </w:r>
          </w:p>
        </w:tc>
        <w:tc>
          <w:tcPr>
            <w:tcW w:w="121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i w:val="0"/>
                <w:color w:val="000000"/>
                <w:kern w:val="2"/>
                <w:sz w:val="24"/>
                <w:szCs w:val="24"/>
                <w:u w:val="none"/>
                <w:lang w:val="en-US" w:eastAsia="zh-CN" w:bidi="ar"/>
              </w:rPr>
            </w:pPr>
            <w:r>
              <w:rPr>
                <w:rFonts w:hint="eastAsia" w:ascii="楷体" w:hAnsi="楷体" w:eastAsia="楷体" w:cs="楷体"/>
                <w:i w:val="0"/>
                <w:color w:val="000000"/>
                <w:kern w:val="2"/>
                <w:sz w:val="24"/>
                <w:szCs w:val="24"/>
                <w:u w:val="none"/>
                <w:lang w:val="en-US" w:eastAsia="zh-CN" w:bidi="ar"/>
              </w:rPr>
              <w:t>11.7</w:t>
            </w:r>
          </w:p>
        </w:tc>
        <w:tc>
          <w:tcPr>
            <w:tcW w:w="121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color w:val="000000"/>
                <w:sz w:val="24"/>
                <w:szCs w:val="24"/>
                <w:u w:val="none"/>
                <w:lang w:val="en-US" w:eastAsia="zh-CN" w:bidi="ar"/>
              </w:rPr>
            </w:pPr>
            <w:r>
              <w:rPr>
                <w:rFonts w:hint="eastAsia" w:ascii="楷体" w:hAnsi="楷体" w:eastAsia="楷体" w:cs="楷体"/>
                <w:i w:val="0"/>
                <w:color w:val="000000"/>
                <w:kern w:val="2"/>
                <w:sz w:val="24"/>
                <w:szCs w:val="24"/>
                <w:u w:val="none"/>
                <w:lang w:val="en-US" w:eastAsia="zh-CN" w:bidi="ar"/>
              </w:rPr>
              <w:t>36.2</w:t>
            </w:r>
          </w:p>
        </w:tc>
        <w:tc>
          <w:tcPr>
            <w:tcW w:w="122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i w:val="0"/>
                <w:color w:val="000000"/>
                <w:kern w:val="2"/>
                <w:sz w:val="24"/>
                <w:szCs w:val="24"/>
                <w:u w:val="none"/>
                <w:lang w:val="en-US" w:eastAsia="zh-CN" w:bidi="ar"/>
              </w:rPr>
            </w:pPr>
            <w:r>
              <w:rPr>
                <w:rFonts w:hint="eastAsia" w:ascii="楷体" w:hAnsi="楷体" w:eastAsia="楷体" w:cs="楷体"/>
                <w:i w:val="0"/>
                <w:color w:val="000000"/>
                <w:kern w:val="2"/>
                <w:sz w:val="24"/>
                <w:szCs w:val="24"/>
                <w:u w:val="none"/>
                <w:lang w:val="en-US" w:eastAsia="zh-CN" w:bidi="ar"/>
              </w:rPr>
              <w:t>56.3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13" w:hRule="atLeast"/>
          <w:jc w:val="center"/>
        </w:trPr>
        <w:tc>
          <w:tcPr>
            <w:tcW w:w="121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i w:val="0"/>
                <w:color w:val="000000"/>
                <w:kern w:val="2"/>
                <w:sz w:val="24"/>
                <w:szCs w:val="24"/>
                <w:u w:val="none"/>
                <w:lang w:val="en-US" w:eastAsia="zh-CN" w:bidi="ar"/>
              </w:rPr>
            </w:pPr>
            <w:r>
              <w:rPr>
                <w:rFonts w:hint="eastAsia" w:ascii="楷体" w:hAnsi="楷体" w:eastAsia="楷体" w:cs="楷体"/>
                <w:i w:val="0"/>
                <w:color w:val="000000"/>
                <w:kern w:val="2"/>
                <w:sz w:val="24"/>
                <w:szCs w:val="24"/>
                <w:u w:val="none"/>
                <w:lang w:val="en-US" w:eastAsia="zh-CN" w:bidi="ar"/>
              </w:rPr>
              <w:t>2020年</w:t>
            </w:r>
          </w:p>
        </w:tc>
        <w:tc>
          <w:tcPr>
            <w:tcW w:w="121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default" w:ascii="楷体" w:hAnsi="楷体" w:eastAsia="楷体" w:cs="楷体"/>
                <w:i w:val="0"/>
                <w:color w:val="000000"/>
                <w:kern w:val="2"/>
                <w:sz w:val="24"/>
                <w:szCs w:val="24"/>
                <w:u w:val="none"/>
                <w:lang w:val="en-US" w:eastAsia="zh-CN" w:bidi="ar"/>
              </w:rPr>
            </w:pPr>
            <w:r>
              <w:rPr>
                <w:rFonts w:hint="eastAsia" w:ascii="楷体" w:hAnsi="楷体" w:eastAsia="楷体" w:cs="楷体"/>
                <w:i w:val="0"/>
                <w:color w:val="000000"/>
                <w:kern w:val="2"/>
                <w:sz w:val="24"/>
                <w:szCs w:val="24"/>
                <w:u w:val="none"/>
                <w:lang w:val="en-US" w:eastAsia="zh-CN" w:bidi="ar"/>
              </w:rPr>
              <w:t>21.2</w:t>
            </w:r>
          </w:p>
        </w:tc>
        <w:tc>
          <w:tcPr>
            <w:tcW w:w="121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default" w:ascii="楷体" w:hAnsi="楷体" w:eastAsia="楷体" w:cs="楷体"/>
                <w:i w:val="0"/>
                <w:color w:val="000000"/>
                <w:kern w:val="2"/>
                <w:sz w:val="24"/>
                <w:szCs w:val="24"/>
                <w:u w:val="none"/>
                <w:lang w:val="en-US" w:eastAsia="zh-CN" w:bidi="ar"/>
              </w:rPr>
            </w:pPr>
            <w:r>
              <w:rPr>
                <w:rFonts w:hint="eastAsia" w:ascii="楷体" w:hAnsi="楷体" w:eastAsia="楷体" w:cs="楷体"/>
                <w:i w:val="0"/>
                <w:color w:val="000000"/>
                <w:kern w:val="2"/>
                <w:sz w:val="24"/>
                <w:szCs w:val="24"/>
                <w:u w:val="none"/>
                <w:lang w:val="en-US" w:eastAsia="zh-CN" w:bidi="ar"/>
              </w:rPr>
              <w:t>32.0</w:t>
            </w:r>
          </w:p>
        </w:tc>
        <w:tc>
          <w:tcPr>
            <w:tcW w:w="1217" w:type="dxa"/>
            <w:gridSpan w:val="2"/>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default" w:ascii="楷体" w:hAnsi="楷体" w:eastAsia="楷体" w:cs="楷体"/>
                <w:i w:val="0"/>
                <w:color w:val="000000"/>
                <w:kern w:val="2"/>
                <w:sz w:val="24"/>
                <w:szCs w:val="24"/>
                <w:u w:val="none"/>
                <w:lang w:val="en-US" w:eastAsia="zh-CN" w:bidi="ar"/>
              </w:rPr>
            </w:pPr>
            <w:r>
              <w:rPr>
                <w:rFonts w:hint="eastAsia" w:ascii="楷体" w:hAnsi="楷体" w:eastAsia="楷体" w:cs="楷体"/>
                <w:i w:val="0"/>
                <w:color w:val="000000"/>
                <w:kern w:val="2"/>
                <w:sz w:val="24"/>
                <w:szCs w:val="24"/>
                <w:u w:val="none"/>
                <w:lang w:val="en-US" w:eastAsia="zh-CN" w:bidi="ar"/>
              </w:rPr>
              <w:t>10.6</w:t>
            </w:r>
          </w:p>
        </w:tc>
        <w:tc>
          <w:tcPr>
            <w:tcW w:w="121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default" w:ascii="楷体" w:hAnsi="楷体" w:eastAsia="楷体" w:cs="楷体"/>
                <w:i w:val="0"/>
                <w:color w:val="000000"/>
                <w:kern w:val="2"/>
                <w:sz w:val="24"/>
                <w:szCs w:val="24"/>
                <w:u w:val="none"/>
                <w:lang w:val="en-US" w:eastAsia="zh-CN" w:bidi="ar"/>
              </w:rPr>
            </w:pPr>
            <w:r>
              <w:rPr>
                <w:rFonts w:hint="eastAsia" w:ascii="楷体" w:hAnsi="楷体" w:eastAsia="楷体" w:cs="楷体"/>
                <w:i w:val="0"/>
                <w:color w:val="000000"/>
                <w:kern w:val="2"/>
                <w:sz w:val="24"/>
                <w:szCs w:val="24"/>
                <w:u w:val="none"/>
                <w:lang w:val="en-US" w:eastAsia="zh-CN" w:bidi="ar"/>
              </w:rPr>
              <w:t>16.0</w:t>
            </w:r>
          </w:p>
        </w:tc>
        <w:tc>
          <w:tcPr>
            <w:tcW w:w="121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default" w:ascii="楷体" w:hAnsi="楷体" w:eastAsia="楷体" w:cs="楷体"/>
                <w:i w:val="0"/>
                <w:color w:val="000000"/>
                <w:kern w:val="2"/>
                <w:sz w:val="24"/>
                <w:szCs w:val="24"/>
                <w:u w:val="none"/>
                <w:lang w:val="en-US" w:eastAsia="zh-CN" w:bidi="ar"/>
              </w:rPr>
            </w:pPr>
            <w:r>
              <w:rPr>
                <w:rFonts w:hint="eastAsia" w:ascii="楷体" w:hAnsi="楷体" w:eastAsia="楷体" w:cs="楷体"/>
                <w:i w:val="0"/>
                <w:color w:val="000000"/>
                <w:kern w:val="2"/>
                <w:sz w:val="24"/>
                <w:szCs w:val="24"/>
                <w:u w:val="none"/>
                <w:lang w:val="en-US" w:eastAsia="zh-CN" w:bidi="ar"/>
              </w:rPr>
              <w:t>34.5</w:t>
            </w:r>
          </w:p>
        </w:tc>
        <w:tc>
          <w:tcPr>
            <w:tcW w:w="122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default" w:ascii="楷体" w:hAnsi="楷体" w:eastAsia="楷体" w:cs="楷体"/>
                <w:i w:val="0"/>
                <w:color w:val="000000"/>
                <w:kern w:val="2"/>
                <w:sz w:val="24"/>
                <w:szCs w:val="24"/>
                <w:u w:val="none"/>
                <w:lang w:val="en-US" w:eastAsia="zh-CN" w:bidi="ar"/>
              </w:rPr>
            </w:pPr>
            <w:r>
              <w:rPr>
                <w:rFonts w:hint="eastAsia" w:ascii="楷体" w:hAnsi="楷体" w:eastAsia="楷体" w:cs="楷体"/>
                <w:i w:val="0"/>
                <w:color w:val="000000"/>
                <w:kern w:val="2"/>
                <w:sz w:val="24"/>
                <w:szCs w:val="24"/>
                <w:u w:val="none"/>
                <w:lang w:val="en-US" w:eastAsia="zh-CN" w:bidi="ar"/>
              </w:rPr>
              <w:t>52.0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13" w:hRule="atLeast"/>
          <w:jc w:val="center"/>
        </w:trPr>
        <w:tc>
          <w:tcPr>
            <w:tcW w:w="1217" w:type="dxa"/>
            <w:tcBorders>
              <w:bottom w:val="thickThinSmallGap" w:color="A4A4A4" w:sz="12"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160" w:leftChars="-50" w:right="-160" w:rightChars="-50" w:firstLine="0" w:firstLineChars="0"/>
              <w:jc w:val="center"/>
              <w:textAlignment w:val="auto"/>
              <w:rPr>
                <w:rFonts w:hint="eastAsia" w:ascii="楷体" w:hAnsi="楷体" w:eastAsia="楷体" w:cs="楷体"/>
                <w:i w:val="0"/>
                <w:color w:val="000000"/>
                <w:kern w:val="2"/>
                <w:sz w:val="24"/>
                <w:szCs w:val="24"/>
                <w:u w:val="none"/>
                <w:lang w:val="en-US" w:eastAsia="zh-CN" w:bidi="ar"/>
              </w:rPr>
            </w:pPr>
            <w:r>
              <w:rPr>
                <w:rFonts w:hint="eastAsia" w:ascii="楷体" w:hAnsi="楷体" w:eastAsia="楷体" w:cs="楷体"/>
                <w:i w:val="0"/>
                <w:color w:val="000000"/>
                <w:kern w:val="2"/>
                <w:sz w:val="24"/>
                <w:szCs w:val="24"/>
                <w:u w:val="none"/>
                <w:lang w:val="en-US" w:eastAsia="zh-CN" w:bidi="ar"/>
              </w:rPr>
              <w:t>年均增速</w:t>
            </w:r>
          </w:p>
        </w:tc>
        <w:tc>
          <w:tcPr>
            <w:tcW w:w="1217" w:type="dxa"/>
            <w:tcBorders>
              <w:bottom w:val="thickThinSmallGap" w:color="A4A4A4" w:sz="12"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i w:val="0"/>
                <w:color w:val="000000"/>
                <w:kern w:val="2"/>
                <w:sz w:val="24"/>
                <w:szCs w:val="24"/>
                <w:u w:val="none"/>
                <w:lang w:val="en-US" w:eastAsia="zh-CN" w:bidi="ar"/>
              </w:rPr>
            </w:pPr>
            <w:r>
              <w:rPr>
                <w:rFonts w:hint="eastAsia" w:ascii="楷体" w:hAnsi="楷体" w:eastAsia="楷体" w:cs="楷体"/>
                <w:i w:val="0"/>
                <w:color w:val="000000"/>
                <w:kern w:val="2"/>
                <w:sz w:val="24"/>
                <w:szCs w:val="24"/>
                <w:u w:val="none"/>
                <w:lang w:val="en-US" w:eastAsia="zh-CN" w:bidi="ar"/>
              </w:rPr>
              <w:t>3.7%</w:t>
            </w:r>
          </w:p>
        </w:tc>
        <w:tc>
          <w:tcPr>
            <w:tcW w:w="1217" w:type="dxa"/>
            <w:tcBorders>
              <w:bottom w:val="thickThinSmallGap" w:color="A4A4A4" w:sz="12"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i w:val="0"/>
                <w:color w:val="000000"/>
                <w:kern w:val="2"/>
                <w:sz w:val="24"/>
                <w:szCs w:val="24"/>
                <w:u w:val="none"/>
                <w:lang w:val="en-US" w:eastAsia="zh-CN" w:bidi="ar"/>
              </w:rPr>
            </w:pPr>
            <w:r>
              <w:rPr>
                <w:rFonts w:hint="eastAsia" w:ascii="楷体" w:hAnsi="楷体" w:eastAsia="楷体" w:cs="楷体"/>
                <w:i w:val="0"/>
                <w:color w:val="000000"/>
                <w:kern w:val="2"/>
                <w:sz w:val="24"/>
                <w:szCs w:val="24"/>
                <w:u w:val="none"/>
                <w:lang w:val="en-US" w:eastAsia="zh-CN" w:bidi="ar"/>
              </w:rPr>
              <w:t>—</w:t>
            </w:r>
          </w:p>
        </w:tc>
        <w:tc>
          <w:tcPr>
            <w:tcW w:w="1217" w:type="dxa"/>
            <w:gridSpan w:val="2"/>
            <w:tcBorders>
              <w:bottom w:val="thickThinSmallGap" w:color="A4A4A4" w:sz="12"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i w:val="0"/>
                <w:color w:val="000000"/>
                <w:kern w:val="2"/>
                <w:sz w:val="24"/>
                <w:szCs w:val="24"/>
                <w:u w:val="none"/>
                <w:lang w:val="en-US" w:eastAsia="zh-CN" w:bidi="ar"/>
              </w:rPr>
            </w:pPr>
            <w:r>
              <w:rPr>
                <w:rFonts w:hint="eastAsia" w:ascii="楷体" w:hAnsi="楷体" w:eastAsia="楷体" w:cs="楷体"/>
                <w:i w:val="0"/>
                <w:color w:val="000000"/>
                <w:kern w:val="2"/>
                <w:sz w:val="24"/>
                <w:szCs w:val="24"/>
                <w:u w:val="none"/>
                <w:lang w:val="en-US" w:eastAsia="zh-CN" w:bidi="ar"/>
              </w:rPr>
              <w:t>-1.6%</w:t>
            </w:r>
          </w:p>
        </w:tc>
        <w:tc>
          <w:tcPr>
            <w:tcW w:w="1217" w:type="dxa"/>
            <w:tcBorders>
              <w:bottom w:val="thickThinSmallGap" w:color="A4A4A4" w:sz="12"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i w:val="0"/>
                <w:color w:val="000000"/>
                <w:kern w:val="2"/>
                <w:sz w:val="24"/>
                <w:szCs w:val="24"/>
                <w:u w:val="none"/>
                <w:lang w:val="en-US" w:eastAsia="zh-CN" w:bidi="ar"/>
              </w:rPr>
            </w:pPr>
            <w:r>
              <w:rPr>
                <w:rFonts w:hint="eastAsia" w:ascii="楷体" w:hAnsi="楷体" w:eastAsia="楷体" w:cs="楷体"/>
                <w:i w:val="0"/>
                <w:color w:val="000000"/>
                <w:kern w:val="2"/>
                <w:sz w:val="24"/>
                <w:szCs w:val="24"/>
                <w:u w:val="none"/>
                <w:lang w:val="en-US" w:eastAsia="zh-CN" w:bidi="ar"/>
              </w:rPr>
              <w:t>—</w:t>
            </w:r>
          </w:p>
        </w:tc>
        <w:tc>
          <w:tcPr>
            <w:tcW w:w="1217" w:type="dxa"/>
            <w:tcBorders>
              <w:bottom w:val="thickThinSmallGap" w:color="A4A4A4" w:sz="12"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i w:val="0"/>
                <w:color w:val="000000"/>
                <w:kern w:val="2"/>
                <w:sz w:val="24"/>
                <w:szCs w:val="24"/>
                <w:u w:val="none"/>
                <w:lang w:val="en-US" w:eastAsia="zh-CN" w:bidi="ar"/>
              </w:rPr>
            </w:pPr>
            <w:r>
              <w:rPr>
                <w:rFonts w:hint="eastAsia" w:ascii="楷体" w:hAnsi="楷体" w:eastAsia="楷体" w:cs="楷体"/>
                <w:i w:val="0"/>
                <w:color w:val="000000"/>
                <w:kern w:val="2"/>
                <w:sz w:val="24"/>
                <w:szCs w:val="24"/>
                <w:u w:val="none"/>
                <w:lang w:val="en-US" w:eastAsia="zh-CN" w:bidi="ar"/>
              </w:rPr>
              <w:t>16.3%</w:t>
            </w:r>
          </w:p>
        </w:tc>
        <w:tc>
          <w:tcPr>
            <w:tcW w:w="1220" w:type="dxa"/>
            <w:tcBorders>
              <w:bottom w:val="thickThinSmallGap" w:color="A4A4A4" w:sz="12"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i w:val="0"/>
                <w:color w:val="000000"/>
                <w:kern w:val="2"/>
                <w:sz w:val="24"/>
                <w:szCs w:val="24"/>
                <w:u w:val="none"/>
                <w:lang w:val="en-US" w:eastAsia="zh-CN" w:bidi="ar"/>
              </w:rPr>
            </w:pPr>
            <w:r>
              <w:rPr>
                <w:rFonts w:hint="eastAsia" w:ascii="楷体" w:hAnsi="楷体" w:eastAsia="楷体" w:cs="楷体"/>
                <w:i w:val="0"/>
                <w:color w:val="000000"/>
                <w:kern w:val="2"/>
                <w:sz w:val="24"/>
                <w:szCs w:val="24"/>
                <w:u w:val="none"/>
                <w:lang w:val="en-US" w:eastAsia="zh-CN" w:bidi="ar"/>
              </w:rPr>
              <w:t>—</w:t>
            </w:r>
          </w:p>
        </w:tc>
      </w:tr>
    </w:tbl>
    <w:p>
      <w:pPr>
        <w:bidi w:val="0"/>
        <w:spacing w:line="240" w:lineRule="auto"/>
        <w:ind w:firstLine="0" w:firstLineChars="0"/>
        <w:jc w:val="center"/>
        <w:rPr>
          <w:rFonts w:hint="eastAsia" w:ascii="楷体" w:hAnsi="楷体" w:eastAsia="楷体" w:cs="楷体"/>
          <w:b w:val="0"/>
          <w:bCs w:val="0"/>
          <w:sz w:val="28"/>
          <w:szCs w:val="28"/>
          <w:lang w:val="en-US" w:eastAsia="zh-CN"/>
        </w:rPr>
      </w:pPr>
      <w:bookmarkStart w:id="51" w:name="_Toc12252"/>
      <w:r>
        <w:rPr>
          <w:rFonts w:hint="eastAsia" w:ascii="楷体" w:hAnsi="楷体" w:eastAsia="楷体" w:cs="楷体"/>
          <w:b w:val="0"/>
          <w:bCs w:val="0"/>
          <w:sz w:val="28"/>
          <w:szCs w:val="28"/>
          <w:lang w:val="en-US" w:eastAsia="zh-CN"/>
        </w:rPr>
        <w:t>表5  崖州区GDP结构细分表（2019年）（亿元，%）</w:t>
      </w:r>
    </w:p>
    <w:tbl>
      <w:tblPr>
        <w:tblStyle w:val="1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184"/>
        <w:gridCol w:w="1067"/>
        <w:gridCol w:w="1067"/>
        <w:gridCol w:w="1067"/>
        <w:gridCol w:w="1067"/>
        <w:gridCol w:w="10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 w:hRule="atLeast"/>
          <w:jc w:val="center"/>
        </w:trPr>
        <w:tc>
          <w:tcPr>
            <w:tcW w:w="3184" w:type="dxa"/>
            <w:tcBorders>
              <w:top w:val="thinThickSmallGap" w:color="A4A4A4" w:sz="12"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color w:val="000000"/>
                <w:kern w:val="2"/>
                <w:sz w:val="24"/>
                <w:szCs w:val="24"/>
                <w:u w:val="none"/>
                <w:lang w:val="en-US" w:eastAsia="zh-CN" w:bidi="ar"/>
              </w:rPr>
            </w:pPr>
            <w:r>
              <w:rPr>
                <w:rFonts w:hint="eastAsia" w:ascii="楷体" w:hAnsi="楷体" w:eastAsia="楷体" w:cs="楷体"/>
                <w:b/>
                <w:bCs/>
                <w:i w:val="0"/>
                <w:color w:val="000000"/>
                <w:kern w:val="2"/>
                <w:sz w:val="24"/>
                <w:szCs w:val="24"/>
                <w:u w:val="none"/>
                <w:lang w:val="en-US" w:eastAsia="zh-CN" w:bidi="ar"/>
              </w:rPr>
              <w:t>行业</w:t>
            </w:r>
          </w:p>
        </w:tc>
        <w:tc>
          <w:tcPr>
            <w:tcW w:w="1067" w:type="dxa"/>
            <w:tcBorders>
              <w:top w:val="thinThickSmallGap" w:color="A4A4A4" w:sz="12"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color w:val="000000"/>
                <w:kern w:val="2"/>
                <w:sz w:val="24"/>
                <w:szCs w:val="24"/>
                <w:u w:val="none"/>
                <w:lang w:val="en-US" w:eastAsia="zh-CN" w:bidi="ar"/>
              </w:rPr>
            </w:pPr>
            <w:r>
              <w:rPr>
                <w:rFonts w:hint="eastAsia" w:ascii="楷体" w:hAnsi="楷体" w:eastAsia="楷体" w:cs="楷体"/>
                <w:b/>
                <w:bCs/>
                <w:i w:val="0"/>
                <w:color w:val="000000"/>
                <w:kern w:val="2"/>
                <w:sz w:val="24"/>
                <w:szCs w:val="24"/>
                <w:u w:val="none"/>
                <w:lang w:val="en-US" w:eastAsia="zh-CN" w:bidi="ar"/>
              </w:rPr>
              <w:t>产值</w:t>
            </w:r>
          </w:p>
        </w:tc>
        <w:tc>
          <w:tcPr>
            <w:tcW w:w="1067" w:type="dxa"/>
            <w:tcBorders>
              <w:top w:val="thinThickSmallGap" w:color="A4A4A4" w:sz="12"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color w:val="000000"/>
                <w:kern w:val="2"/>
                <w:sz w:val="24"/>
                <w:szCs w:val="24"/>
                <w:u w:val="none"/>
                <w:lang w:val="en-US" w:eastAsia="zh-CN" w:bidi="ar"/>
              </w:rPr>
            </w:pPr>
            <w:r>
              <w:rPr>
                <w:rFonts w:hint="eastAsia" w:ascii="楷体" w:hAnsi="楷体" w:eastAsia="楷体" w:cs="楷体"/>
                <w:b/>
                <w:bCs/>
                <w:i w:val="0"/>
                <w:color w:val="000000"/>
                <w:kern w:val="2"/>
                <w:sz w:val="24"/>
                <w:szCs w:val="24"/>
                <w:u w:val="none"/>
                <w:lang w:val="en-US" w:eastAsia="zh-CN" w:bidi="ar"/>
              </w:rPr>
              <w:t>增长</w:t>
            </w:r>
          </w:p>
        </w:tc>
        <w:tc>
          <w:tcPr>
            <w:tcW w:w="1067" w:type="dxa"/>
            <w:tcBorders>
              <w:top w:val="thinThickSmallGap" w:color="A4A4A4" w:sz="12"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color w:val="000000"/>
                <w:kern w:val="2"/>
                <w:sz w:val="24"/>
                <w:szCs w:val="24"/>
                <w:u w:val="none"/>
                <w:lang w:val="en-US" w:eastAsia="zh-CN" w:bidi="ar"/>
              </w:rPr>
            </w:pPr>
            <w:r>
              <w:rPr>
                <w:rFonts w:hint="eastAsia" w:ascii="楷体" w:hAnsi="楷体" w:eastAsia="楷体" w:cs="楷体"/>
                <w:b/>
                <w:bCs/>
                <w:i w:val="0"/>
                <w:color w:val="000000"/>
                <w:kern w:val="2"/>
                <w:sz w:val="24"/>
                <w:szCs w:val="24"/>
                <w:u w:val="none"/>
                <w:lang w:val="en-US" w:eastAsia="zh-CN" w:bidi="ar"/>
              </w:rPr>
              <w:t>占比</w:t>
            </w:r>
          </w:p>
        </w:tc>
        <w:tc>
          <w:tcPr>
            <w:tcW w:w="1067" w:type="dxa"/>
            <w:tcBorders>
              <w:top w:val="thinThickSmallGap" w:color="A4A4A4" w:sz="12"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color w:val="000000"/>
                <w:kern w:val="2"/>
                <w:sz w:val="24"/>
                <w:szCs w:val="24"/>
                <w:u w:val="none"/>
                <w:lang w:val="en-US" w:eastAsia="zh-CN" w:bidi="ar"/>
              </w:rPr>
            </w:pPr>
            <w:r>
              <w:rPr>
                <w:rFonts w:hint="eastAsia" w:ascii="楷体" w:hAnsi="楷体" w:eastAsia="楷体" w:cs="楷体"/>
                <w:b/>
                <w:bCs/>
                <w:i w:val="0"/>
                <w:color w:val="000000"/>
                <w:kern w:val="2"/>
                <w:sz w:val="24"/>
                <w:szCs w:val="24"/>
                <w:u w:val="none"/>
                <w:lang w:val="en-US" w:eastAsia="zh-CN" w:bidi="ar"/>
              </w:rPr>
              <w:t>拉动</w:t>
            </w:r>
          </w:p>
        </w:tc>
        <w:tc>
          <w:tcPr>
            <w:tcW w:w="1070" w:type="dxa"/>
            <w:tcBorders>
              <w:top w:val="thinThickSmallGap" w:color="A4A4A4" w:sz="12"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color w:val="000000"/>
                <w:kern w:val="2"/>
                <w:sz w:val="24"/>
                <w:szCs w:val="24"/>
                <w:u w:val="none"/>
                <w:lang w:val="en-US" w:eastAsia="zh-CN" w:bidi="ar"/>
              </w:rPr>
            </w:pPr>
            <w:r>
              <w:rPr>
                <w:rFonts w:hint="eastAsia" w:ascii="楷体" w:hAnsi="楷体" w:eastAsia="楷体" w:cs="楷体"/>
                <w:b/>
                <w:bCs/>
                <w:i w:val="0"/>
                <w:color w:val="000000"/>
                <w:kern w:val="2"/>
                <w:sz w:val="24"/>
                <w:szCs w:val="24"/>
                <w:u w:val="none"/>
                <w:lang w:val="en-US" w:eastAsia="zh-CN" w:bidi="ar"/>
              </w:rPr>
              <w:t>贡献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 w:hRule="atLeast"/>
          <w:jc w:val="center"/>
        </w:trPr>
        <w:tc>
          <w:tcPr>
            <w:tcW w:w="3184" w:type="dxa"/>
            <w:vAlign w:val="bottom"/>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color w:val="000000"/>
                <w:kern w:val="2"/>
                <w:sz w:val="24"/>
                <w:szCs w:val="24"/>
                <w:u w:val="none"/>
                <w:lang w:val="en-US" w:eastAsia="zh-CN" w:bidi="ar"/>
              </w:rPr>
            </w:pPr>
            <w:r>
              <w:rPr>
                <w:rFonts w:hint="eastAsia" w:ascii="楷体" w:hAnsi="楷体" w:eastAsia="楷体" w:cs="楷体"/>
                <w:b/>
                <w:bCs/>
                <w:i w:val="0"/>
                <w:color w:val="000000"/>
                <w:kern w:val="2"/>
                <w:sz w:val="24"/>
                <w:szCs w:val="24"/>
                <w:u w:val="none"/>
                <w:lang w:val="en-US" w:eastAsia="zh-CN" w:bidi="ar"/>
              </w:rPr>
              <w:t>第一产业</w:t>
            </w:r>
          </w:p>
        </w:tc>
        <w:tc>
          <w:tcPr>
            <w:tcW w:w="106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bCs/>
                <w:i w:val="0"/>
                <w:color w:val="000000"/>
                <w:kern w:val="2"/>
                <w:sz w:val="24"/>
                <w:szCs w:val="24"/>
                <w:u w:val="none"/>
                <w:lang w:val="en-US" w:eastAsia="zh-CN" w:bidi="ar"/>
              </w:rPr>
            </w:pPr>
            <w:r>
              <w:rPr>
                <w:rFonts w:hint="eastAsia" w:ascii="楷体" w:hAnsi="楷体" w:eastAsia="楷体" w:cs="楷体"/>
                <w:b/>
                <w:bCs/>
                <w:i w:val="0"/>
                <w:color w:val="000000"/>
                <w:kern w:val="2"/>
                <w:sz w:val="24"/>
                <w:szCs w:val="24"/>
                <w:u w:val="none"/>
                <w:lang w:val="en-US" w:eastAsia="zh-CN" w:bidi="ar"/>
              </w:rPr>
              <w:t>20.7</w:t>
            </w:r>
          </w:p>
        </w:tc>
        <w:tc>
          <w:tcPr>
            <w:tcW w:w="106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bCs/>
                <w:i w:val="0"/>
                <w:color w:val="000000"/>
                <w:kern w:val="2"/>
                <w:sz w:val="24"/>
                <w:szCs w:val="24"/>
                <w:u w:val="none"/>
                <w:lang w:val="en-US" w:eastAsia="zh-CN" w:bidi="ar"/>
              </w:rPr>
            </w:pPr>
            <w:r>
              <w:rPr>
                <w:rFonts w:hint="eastAsia" w:ascii="楷体" w:hAnsi="楷体" w:eastAsia="楷体" w:cs="楷体"/>
                <w:b/>
                <w:bCs/>
                <w:i w:val="0"/>
                <w:color w:val="000000"/>
                <w:kern w:val="2"/>
                <w:sz w:val="24"/>
                <w:szCs w:val="24"/>
                <w:u w:val="none"/>
                <w:lang w:val="en-US" w:eastAsia="zh-CN" w:bidi="ar"/>
              </w:rPr>
              <w:t>4.3</w:t>
            </w:r>
          </w:p>
        </w:tc>
        <w:tc>
          <w:tcPr>
            <w:tcW w:w="106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bCs/>
                <w:i w:val="0"/>
                <w:color w:val="000000"/>
                <w:kern w:val="2"/>
                <w:sz w:val="24"/>
                <w:szCs w:val="24"/>
                <w:u w:val="none"/>
                <w:lang w:val="en-US" w:eastAsia="zh-CN" w:bidi="ar"/>
              </w:rPr>
            </w:pPr>
            <w:r>
              <w:rPr>
                <w:rFonts w:hint="eastAsia" w:ascii="楷体" w:hAnsi="楷体" w:eastAsia="楷体" w:cs="楷体"/>
                <w:b/>
                <w:bCs/>
                <w:i w:val="0"/>
                <w:color w:val="000000"/>
                <w:kern w:val="2"/>
                <w:sz w:val="24"/>
                <w:szCs w:val="24"/>
                <w:u w:val="none"/>
                <w:lang w:val="en-US" w:eastAsia="zh-CN" w:bidi="ar"/>
              </w:rPr>
              <w:t>32.1</w:t>
            </w:r>
          </w:p>
        </w:tc>
        <w:tc>
          <w:tcPr>
            <w:tcW w:w="106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bCs/>
                <w:i w:val="0"/>
                <w:color w:val="000000"/>
                <w:kern w:val="2"/>
                <w:sz w:val="24"/>
                <w:szCs w:val="24"/>
                <w:u w:val="none"/>
                <w:lang w:val="en-US" w:eastAsia="zh-CN" w:bidi="ar"/>
              </w:rPr>
            </w:pPr>
            <w:r>
              <w:rPr>
                <w:rFonts w:hint="eastAsia" w:ascii="楷体" w:hAnsi="楷体" w:eastAsia="楷体" w:cs="楷体"/>
                <w:b/>
                <w:bCs/>
                <w:i w:val="0"/>
                <w:color w:val="000000"/>
                <w:kern w:val="2"/>
                <w:sz w:val="24"/>
                <w:szCs w:val="24"/>
                <w:u w:val="none"/>
                <w:lang w:val="en-US" w:eastAsia="zh-CN" w:bidi="ar"/>
              </w:rPr>
              <w:t>1.4</w:t>
            </w:r>
          </w:p>
        </w:tc>
        <w:tc>
          <w:tcPr>
            <w:tcW w:w="107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bCs/>
                <w:i w:val="0"/>
                <w:color w:val="000000"/>
                <w:kern w:val="2"/>
                <w:sz w:val="24"/>
                <w:szCs w:val="24"/>
                <w:u w:val="none"/>
                <w:lang w:val="en-US" w:eastAsia="zh-CN" w:bidi="ar"/>
              </w:rPr>
            </w:pPr>
            <w:r>
              <w:rPr>
                <w:rFonts w:hint="eastAsia" w:ascii="楷体" w:hAnsi="楷体" w:eastAsia="楷体" w:cs="楷体"/>
                <w:b/>
                <w:bCs/>
                <w:i w:val="0"/>
                <w:color w:val="000000"/>
                <w:kern w:val="2"/>
                <w:sz w:val="24"/>
                <w:szCs w:val="24"/>
                <w:u w:val="none"/>
                <w:lang w:val="en-US" w:eastAsia="zh-CN" w:bidi="ar"/>
              </w:rPr>
              <w:t>18.9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 w:hRule="atLeast"/>
          <w:jc w:val="center"/>
        </w:trPr>
        <w:tc>
          <w:tcPr>
            <w:tcW w:w="3184" w:type="dxa"/>
            <w:vAlign w:val="bottom"/>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color w:val="000000"/>
                <w:kern w:val="2"/>
                <w:sz w:val="24"/>
                <w:szCs w:val="24"/>
                <w:u w:val="none"/>
                <w:lang w:val="en-US" w:eastAsia="zh-CN" w:bidi="ar"/>
              </w:rPr>
            </w:pPr>
            <w:r>
              <w:rPr>
                <w:rFonts w:hint="eastAsia" w:ascii="楷体" w:hAnsi="楷体" w:eastAsia="楷体" w:cs="楷体"/>
                <w:b/>
                <w:bCs/>
                <w:i w:val="0"/>
                <w:color w:val="000000"/>
                <w:kern w:val="2"/>
                <w:sz w:val="24"/>
                <w:szCs w:val="24"/>
                <w:u w:val="none"/>
                <w:lang w:val="en-US" w:eastAsia="zh-CN" w:bidi="ar"/>
              </w:rPr>
              <w:t>第二产业</w:t>
            </w:r>
          </w:p>
        </w:tc>
        <w:tc>
          <w:tcPr>
            <w:tcW w:w="106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bCs/>
                <w:i w:val="0"/>
                <w:color w:val="000000"/>
                <w:kern w:val="2"/>
                <w:sz w:val="24"/>
                <w:szCs w:val="24"/>
                <w:u w:val="none"/>
                <w:lang w:val="en-US" w:eastAsia="zh-CN" w:bidi="ar"/>
              </w:rPr>
            </w:pPr>
            <w:r>
              <w:rPr>
                <w:rFonts w:hint="eastAsia" w:ascii="楷体" w:hAnsi="楷体" w:eastAsia="楷体" w:cs="楷体"/>
                <w:b/>
                <w:bCs/>
                <w:i w:val="0"/>
                <w:color w:val="000000"/>
                <w:kern w:val="2"/>
                <w:sz w:val="24"/>
                <w:szCs w:val="24"/>
                <w:u w:val="none"/>
                <w:lang w:val="en-US" w:eastAsia="zh-CN" w:bidi="ar"/>
              </w:rPr>
              <w:t>7.5</w:t>
            </w:r>
          </w:p>
        </w:tc>
        <w:tc>
          <w:tcPr>
            <w:tcW w:w="106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bCs/>
                <w:i w:val="0"/>
                <w:color w:val="000000"/>
                <w:kern w:val="2"/>
                <w:sz w:val="24"/>
                <w:szCs w:val="24"/>
                <w:u w:val="none"/>
                <w:lang w:val="en-US" w:eastAsia="zh-CN" w:bidi="ar"/>
              </w:rPr>
            </w:pPr>
            <w:r>
              <w:rPr>
                <w:rFonts w:hint="eastAsia" w:ascii="楷体" w:hAnsi="楷体" w:eastAsia="楷体" w:cs="楷体"/>
                <w:b/>
                <w:bCs/>
                <w:i w:val="0"/>
                <w:color w:val="000000"/>
                <w:kern w:val="2"/>
                <w:sz w:val="24"/>
                <w:szCs w:val="24"/>
                <w:u w:val="none"/>
                <w:lang w:val="en-US" w:eastAsia="zh-CN" w:bidi="ar"/>
              </w:rPr>
              <w:t>18.5</w:t>
            </w:r>
          </w:p>
        </w:tc>
        <w:tc>
          <w:tcPr>
            <w:tcW w:w="106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bCs/>
                <w:i w:val="0"/>
                <w:color w:val="000000"/>
                <w:kern w:val="2"/>
                <w:sz w:val="24"/>
                <w:szCs w:val="24"/>
                <w:u w:val="none"/>
                <w:lang w:val="en-US" w:eastAsia="zh-CN" w:bidi="ar"/>
              </w:rPr>
            </w:pPr>
            <w:r>
              <w:rPr>
                <w:rFonts w:hint="eastAsia" w:ascii="楷体" w:hAnsi="楷体" w:eastAsia="楷体" w:cs="楷体"/>
                <w:b/>
                <w:bCs/>
                <w:i w:val="0"/>
                <w:color w:val="000000"/>
                <w:kern w:val="2"/>
                <w:sz w:val="24"/>
                <w:szCs w:val="24"/>
                <w:u w:val="none"/>
                <w:lang w:val="en-US" w:eastAsia="zh-CN" w:bidi="ar"/>
              </w:rPr>
              <w:t>11.7</w:t>
            </w:r>
          </w:p>
        </w:tc>
        <w:tc>
          <w:tcPr>
            <w:tcW w:w="106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bCs/>
                <w:i w:val="0"/>
                <w:color w:val="000000"/>
                <w:kern w:val="2"/>
                <w:sz w:val="24"/>
                <w:szCs w:val="24"/>
                <w:u w:val="none"/>
                <w:lang w:val="en-US" w:eastAsia="zh-CN" w:bidi="ar"/>
              </w:rPr>
            </w:pPr>
            <w:r>
              <w:rPr>
                <w:rFonts w:hint="eastAsia" w:ascii="楷体" w:hAnsi="楷体" w:eastAsia="楷体" w:cs="楷体"/>
                <w:b/>
                <w:bCs/>
                <w:i w:val="0"/>
                <w:color w:val="000000"/>
                <w:kern w:val="2"/>
                <w:sz w:val="24"/>
                <w:szCs w:val="24"/>
                <w:u w:val="none"/>
                <w:lang w:val="en-US" w:eastAsia="zh-CN" w:bidi="ar"/>
              </w:rPr>
              <w:t>2.0</w:t>
            </w:r>
          </w:p>
        </w:tc>
        <w:tc>
          <w:tcPr>
            <w:tcW w:w="107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bCs/>
                <w:i w:val="0"/>
                <w:color w:val="000000"/>
                <w:kern w:val="2"/>
                <w:sz w:val="24"/>
                <w:szCs w:val="24"/>
                <w:u w:val="none"/>
                <w:lang w:val="en-US" w:eastAsia="zh-CN" w:bidi="ar"/>
              </w:rPr>
            </w:pPr>
            <w:r>
              <w:rPr>
                <w:rFonts w:hint="eastAsia" w:ascii="楷体" w:hAnsi="楷体" w:eastAsia="楷体" w:cs="楷体"/>
                <w:b/>
                <w:bCs/>
                <w:i w:val="0"/>
                <w:color w:val="000000"/>
                <w:kern w:val="2"/>
                <w:sz w:val="24"/>
                <w:szCs w:val="24"/>
                <w:u w:val="none"/>
                <w:lang w:val="en-US" w:eastAsia="zh-CN" w:bidi="ar"/>
              </w:rPr>
              <w:t>26.8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 w:hRule="atLeast"/>
          <w:jc w:val="center"/>
        </w:trPr>
        <w:tc>
          <w:tcPr>
            <w:tcW w:w="3184" w:type="dxa"/>
            <w:vAlign w:val="bottom"/>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i/>
                <w:iCs/>
                <w:color w:val="000000"/>
                <w:kern w:val="2"/>
                <w:sz w:val="24"/>
                <w:szCs w:val="24"/>
                <w:u w:val="none"/>
                <w:lang w:val="en-US" w:eastAsia="zh-CN" w:bidi="ar"/>
              </w:rPr>
            </w:pPr>
            <w:r>
              <w:rPr>
                <w:rFonts w:hint="eastAsia" w:ascii="楷体" w:hAnsi="楷体" w:eastAsia="楷体" w:cs="楷体"/>
                <w:i/>
                <w:iCs/>
                <w:color w:val="000000"/>
                <w:kern w:val="2"/>
                <w:sz w:val="24"/>
                <w:szCs w:val="24"/>
                <w:u w:val="none"/>
                <w:lang w:val="en-US" w:eastAsia="zh-CN" w:bidi="ar"/>
              </w:rPr>
              <w:t>工业</w:t>
            </w:r>
          </w:p>
        </w:tc>
        <w:tc>
          <w:tcPr>
            <w:tcW w:w="106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iCs/>
                <w:color w:val="000000"/>
                <w:kern w:val="2"/>
                <w:sz w:val="24"/>
                <w:szCs w:val="24"/>
                <w:u w:val="none"/>
                <w:lang w:val="en-US" w:eastAsia="zh-CN" w:bidi="ar"/>
              </w:rPr>
            </w:pPr>
            <w:r>
              <w:rPr>
                <w:rFonts w:hint="eastAsia" w:ascii="楷体" w:hAnsi="楷体" w:eastAsia="楷体" w:cs="楷体"/>
                <w:b w:val="0"/>
                <w:bCs w:val="0"/>
                <w:i/>
                <w:iCs/>
                <w:color w:val="000000"/>
                <w:kern w:val="2"/>
                <w:sz w:val="24"/>
                <w:szCs w:val="24"/>
                <w:u w:val="none"/>
                <w:lang w:val="en-US" w:eastAsia="zh-CN" w:bidi="ar"/>
              </w:rPr>
              <w:t>1.0</w:t>
            </w:r>
          </w:p>
        </w:tc>
        <w:tc>
          <w:tcPr>
            <w:tcW w:w="106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i/>
                <w:iCs/>
                <w:color w:val="000000"/>
                <w:kern w:val="2"/>
                <w:sz w:val="24"/>
                <w:szCs w:val="24"/>
                <w:u w:val="none"/>
                <w:lang w:val="en-US" w:eastAsia="zh-CN" w:bidi="ar"/>
              </w:rPr>
            </w:pPr>
            <w:r>
              <w:rPr>
                <w:rFonts w:hint="eastAsia" w:ascii="楷体" w:hAnsi="楷体" w:eastAsia="楷体" w:cs="楷体"/>
                <w:i/>
                <w:iCs/>
                <w:color w:val="000000"/>
                <w:kern w:val="2"/>
                <w:sz w:val="24"/>
                <w:szCs w:val="24"/>
                <w:u w:val="none"/>
                <w:lang w:val="en-US" w:eastAsia="zh-CN" w:bidi="ar"/>
              </w:rPr>
              <w:t>21.6</w:t>
            </w:r>
          </w:p>
        </w:tc>
        <w:tc>
          <w:tcPr>
            <w:tcW w:w="106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i/>
                <w:iCs/>
                <w:color w:val="000000"/>
                <w:kern w:val="2"/>
                <w:sz w:val="24"/>
                <w:szCs w:val="24"/>
                <w:u w:val="none"/>
                <w:lang w:val="en-US" w:eastAsia="zh-CN" w:bidi="ar"/>
              </w:rPr>
            </w:pPr>
            <w:r>
              <w:rPr>
                <w:rFonts w:hint="eastAsia" w:ascii="楷体" w:hAnsi="楷体" w:eastAsia="楷体" w:cs="楷体"/>
                <w:i/>
                <w:iCs/>
                <w:color w:val="000000"/>
                <w:kern w:val="2"/>
                <w:sz w:val="24"/>
                <w:szCs w:val="24"/>
                <w:u w:val="none"/>
                <w:lang w:val="en-US" w:eastAsia="zh-CN" w:bidi="ar"/>
              </w:rPr>
              <w:t>1.6</w:t>
            </w:r>
          </w:p>
        </w:tc>
        <w:tc>
          <w:tcPr>
            <w:tcW w:w="106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i/>
                <w:iCs/>
                <w:color w:val="000000"/>
                <w:kern w:val="2"/>
                <w:sz w:val="24"/>
                <w:szCs w:val="24"/>
                <w:u w:val="none"/>
                <w:lang w:val="en-US" w:eastAsia="zh-CN" w:bidi="ar"/>
              </w:rPr>
            </w:pPr>
            <w:r>
              <w:rPr>
                <w:rFonts w:hint="eastAsia" w:ascii="楷体" w:hAnsi="楷体" w:eastAsia="楷体" w:cs="楷体"/>
                <w:i/>
                <w:iCs/>
                <w:color w:val="000000"/>
                <w:kern w:val="2"/>
                <w:sz w:val="24"/>
                <w:szCs w:val="24"/>
                <w:u w:val="none"/>
                <w:lang w:val="en-US" w:eastAsia="zh-CN" w:bidi="ar"/>
              </w:rPr>
              <w:t>0.3</w:t>
            </w:r>
          </w:p>
        </w:tc>
        <w:tc>
          <w:tcPr>
            <w:tcW w:w="107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i/>
                <w:iCs/>
                <w:color w:val="000000"/>
                <w:kern w:val="2"/>
                <w:sz w:val="24"/>
                <w:szCs w:val="24"/>
                <w:u w:val="none"/>
                <w:lang w:val="en-US" w:eastAsia="zh-CN" w:bidi="ar"/>
              </w:rPr>
            </w:pPr>
            <w:r>
              <w:rPr>
                <w:rFonts w:hint="eastAsia" w:ascii="楷体" w:hAnsi="楷体" w:eastAsia="楷体" w:cs="楷体"/>
                <w:i/>
                <w:iCs/>
                <w:color w:val="000000"/>
                <w:kern w:val="2"/>
                <w:sz w:val="24"/>
                <w:szCs w:val="24"/>
                <w:u w:val="none"/>
                <w:lang w:val="en-US" w:eastAsia="zh-CN" w:bidi="ar"/>
              </w:rPr>
              <w:t>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 w:hRule="atLeast"/>
          <w:jc w:val="center"/>
        </w:trPr>
        <w:tc>
          <w:tcPr>
            <w:tcW w:w="3184" w:type="dxa"/>
            <w:vAlign w:val="bottom"/>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i/>
                <w:iCs/>
                <w:color w:val="000000"/>
                <w:kern w:val="2"/>
                <w:sz w:val="24"/>
                <w:szCs w:val="24"/>
                <w:u w:val="none"/>
                <w:lang w:val="en-US" w:eastAsia="zh-CN" w:bidi="ar"/>
              </w:rPr>
            </w:pPr>
            <w:r>
              <w:rPr>
                <w:rFonts w:hint="eastAsia" w:ascii="楷体" w:hAnsi="楷体" w:eastAsia="楷体" w:cs="楷体"/>
                <w:i/>
                <w:iCs/>
                <w:color w:val="000000"/>
                <w:kern w:val="2"/>
                <w:sz w:val="24"/>
                <w:szCs w:val="24"/>
                <w:u w:val="none"/>
                <w:lang w:val="en-US" w:eastAsia="zh-CN" w:bidi="ar"/>
              </w:rPr>
              <w:t>建筑业</w:t>
            </w:r>
          </w:p>
        </w:tc>
        <w:tc>
          <w:tcPr>
            <w:tcW w:w="106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iCs/>
                <w:color w:val="000000"/>
                <w:kern w:val="2"/>
                <w:sz w:val="24"/>
                <w:szCs w:val="24"/>
                <w:u w:val="none"/>
                <w:lang w:val="en-US" w:eastAsia="zh-CN" w:bidi="ar"/>
              </w:rPr>
            </w:pPr>
            <w:r>
              <w:rPr>
                <w:rFonts w:hint="eastAsia" w:ascii="楷体" w:hAnsi="楷体" w:eastAsia="楷体" w:cs="楷体"/>
                <w:b w:val="0"/>
                <w:bCs w:val="0"/>
                <w:i/>
                <w:iCs/>
                <w:color w:val="000000"/>
                <w:kern w:val="2"/>
                <w:sz w:val="24"/>
                <w:szCs w:val="24"/>
                <w:u w:val="none"/>
                <w:lang w:val="en-US" w:eastAsia="zh-CN" w:bidi="ar"/>
              </w:rPr>
              <w:t>6.5</w:t>
            </w:r>
          </w:p>
        </w:tc>
        <w:tc>
          <w:tcPr>
            <w:tcW w:w="106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i/>
                <w:iCs/>
                <w:color w:val="000000"/>
                <w:kern w:val="2"/>
                <w:sz w:val="24"/>
                <w:szCs w:val="24"/>
                <w:u w:val="none"/>
                <w:lang w:val="en-US" w:eastAsia="zh-CN" w:bidi="ar"/>
              </w:rPr>
            </w:pPr>
            <w:r>
              <w:rPr>
                <w:rFonts w:hint="eastAsia" w:ascii="楷体" w:hAnsi="楷体" w:eastAsia="楷体" w:cs="楷体"/>
                <w:i/>
                <w:iCs/>
                <w:color w:val="000000"/>
                <w:kern w:val="2"/>
                <w:sz w:val="24"/>
                <w:szCs w:val="24"/>
                <w:u w:val="none"/>
                <w:lang w:val="en-US" w:eastAsia="zh-CN" w:bidi="ar"/>
              </w:rPr>
              <w:t>18.0</w:t>
            </w:r>
          </w:p>
        </w:tc>
        <w:tc>
          <w:tcPr>
            <w:tcW w:w="106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i/>
                <w:iCs/>
                <w:color w:val="000000"/>
                <w:kern w:val="2"/>
                <w:sz w:val="24"/>
                <w:szCs w:val="24"/>
                <w:u w:val="none"/>
                <w:lang w:val="en-US" w:eastAsia="zh-CN" w:bidi="ar"/>
              </w:rPr>
            </w:pPr>
            <w:r>
              <w:rPr>
                <w:rFonts w:hint="eastAsia" w:ascii="楷体" w:hAnsi="楷体" w:eastAsia="楷体" w:cs="楷体"/>
                <w:i/>
                <w:iCs/>
                <w:color w:val="000000"/>
                <w:kern w:val="2"/>
                <w:sz w:val="24"/>
                <w:szCs w:val="24"/>
                <w:u w:val="none"/>
                <w:lang w:val="en-US" w:eastAsia="zh-CN" w:bidi="ar"/>
              </w:rPr>
              <w:t>10.0</w:t>
            </w:r>
          </w:p>
        </w:tc>
        <w:tc>
          <w:tcPr>
            <w:tcW w:w="106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i/>
                <w:iCs/>
                <w:color w:val="000000"/>
                <w:kern w:val="2"/>
                <w:sz w:val="24"/>
                <w:szCs w:val="24"/>
                <w:u w:val="none"/>
                <w:lang w:val="en-US" w:eastAsia="zh-CN" w:bidi="ar"/>
              </w:rPr>
            </w:pPr>
            <w:r>
              <w:rPr>
                <w:rFonts w:hint="eastAsia" w:ascii="楷体" w:hAnsi="楷体" w:eastAsia="楷体" w:cs="楷体"/>
                <w:i/>
                <w:iCs/>
                <w:color w:val="000000"/>
                <w:kern w:val="2"/>
                <w:sz w:val="24"/>
                <w:szCs w:val="24"/>
                <w:u w:val="none"/>
                <w:lang w:val="en-US" w:eastAsia="zh-CN" w:bidi="ar"/>
              </w:rPr>
              <w:t>1.7</w:t>
            </w:r>
          </w:p>
        </w:tc>
        <w:tc>
          <w:tcPr>
            <w:tcW w:w="107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i/>
                <w:iCs/>
                <w:color w:val="000000"/>
                <w:kern w:val="2"/>
                <w:sz w:val="24"/>
                <w:szCs w:val="24"/>
                <w:u w:val="none"/>
                <w:lang w:val="en-US" w:eastAsia="zh-CN" w:bidi="ar"/>
              </w:rPr>
            </w:pPr>
            <w:r>
              <w:rPr>
                <w:rFonts w:hint="eastAsia" w:ascii="楷体" w:hAnsi="楷体" w:eastAsia="楷体" w:cs="楷体"/>
                <w:i/>
                <w:iCs/>
                <w:color w:val="000000"/>
                <w:kern w:val="2"/>
                <w:sz w:val="24"/>
                <w:szCs w:val="24"/>
                <w:u w:val="none"/>
                <w:lang w:val="en-US" w:eastAsia="zh-CN" w:bidi="ar"/>
              </w:rPr>
              <w:t>22.5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 w:hRule="atLeast"/>
          <w:jc w:val="center"/>
        </w:trPr>
        <w:tc>
          <w:tcPr>
            <w:tcW w:w="3184" w:type="dxa"/>
            <w:vAlign w:val="bottom"/>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i w:val="0"/>
                <w:color w:val="000000"/>
                <w:kern w:val="2"/>
                <w:sz w:val="24"/>
                <w:szCs w:val="24"/>
                <w:u w:val="none"/>
                <w:lang w:val="en-US" w:eastAsia="zh-CN" w:bidi="ar"/>
              </w:rPr>
            </w:pPr>
            <w:r>
              <w:rPr>
                <w:rFonts w:hint="eastAsia" w:ascii="楷体" w:hAnsi="楷体" w:eastAsia="楷体" w:cs="楷体"/>
                <w:b/>
                <w:bCs/>
                <w:i w:val="0"/>
                <w:color w:val="000000"/>
                <w:kern w:val="2"/>
                <w:sz w:val="24"/>
                <w:szCs w:val="24"/>
                <w:u w:val="none"/>
                <w:lang w:val="en-US" w:eastAsia="zh-CN" w:bidi="ar"/>
              </w:rPr>
              <w:t>第三产业</w:t>
            </w:r>
          </w:p>
        </w:tc>
        <w:tc>
          <w:tcPr>
            <w:tcW w:w="106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bCs/>
                <w:i w:val="0"/>
                <w:color w:val="000000"/>
                <w:kern w:val="2"/>
                <w:sz w:val="24"/>
                <w:szCs w:val="24"/>
                <w:u w:val="none"/>
                <w:lang w:val="en-US" w:eastAsia="zh-CN" w:bidi="ar"/>
              </w:rPr>
            </w:pPr>
            <w:r>
              <w:rPr>
                <w:rFonts w:hint="eastAsia" w:ascii="楷体" w:hAnsi="楷体" w:eastAsia="楷体" w:cs="楷体"/>
                <w:b/>
                <w:bCs/>
                <w:i w:val="0"/>
                <w:color w:val="000000"/>
                <w:kern w:val="2"/>
                <w:sz w:val="24"/>
                <w:szCs w:val="24"/>
                <w:u w:val="none"/>
                <w:lang w:val="en-US" w:eastAsia="zh-CN" w:bidi="ar"/>
              </w:rPr>
              <w:t>36.2</w:t>
            </w:r>
          </w:p>
        </w:tc>
        <w:tc>
          <w:tcPr>
            <w:tcW w:w="106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bCs/>
                <w:i w:val="0"/>
                <w:color w:val="000000"/>
                <w:kern w:val="2"/>
                <w:sz w:val="24"/>
                <w:szCs w:val="24"/>
                <w:u w:val="none"/>
                <w:lang w:val="en-US" w:eastAsia="zh-CN" w:bidi="ar"/>
              </w:rPr>
            </w:pPr>
            <w:r>
              <w:rPr>
                <w:rFonts w:hint="eastAsia" w:ascii="楷体" w:hAnsi="楷体" w:eastAsia="楷体" w:cs="楷体"/>
                <w:b/>
                <w:bCs/>
                <w:i w:val="0"/>
                <w:color w:val="000000"/>
                <w:kern w:val="2"/>
                <w:sz w:val="24"/>
                <w:szCs w:val="24"/>
                <w:u w:val="none"/>
                <w:lang w:val="en-US" w:eastAsia="zh-CN" w:bidi="ar"/>
              </w:rPr>
              <w:t>7.4</w:t>
            </w:r>
          </w:p>
        </w:tc>
        <w:tc>
          <w:tcPr>
            <w:tcW w:w="106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bCs/>
                <w:i w:val="0"/>
                <w:color w:val="000000"/>
                <w:kern w:val="2"/>
                <w:sz w:val="24"/>
                <w:szCs w:val="24"/>
                <w:u w:val="none"/>
                <w:lang w:val="en-US" w:eastAsia="zh-CN" w:bidi="ar"/>
              </w:rPr>
            </w:pPr>
            <w:r>
              <w:rPr>
                <w:rFonts w:hint="eastAsia" w:ascii="楷体" w:hAnsi="楷体" w:eastAsia="楷体" w:cs="楷体"/>
                <w:b/>
                <w:bCs/>
                <w:i w:val="0"/>
                <w:color w:val="000000"/>
                <w:kern w:val="2"/>
                <w:sz w:val="24"/>
                <w:szCs w:val="24"/>
                <w:u w:val="none"/>
                <w:lang w:val="en-US" w:eastAsia="zh-CN" w:bidi="ar"/>
              </w:rPr>
              <w:t>56.3</w:t>
            </w:r>
          </w:p>
        </w:tc>
        <w:tc>
          <w:tcPr>
            <w:tcW w:w="106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bCs/>
                <w:i w:val="0"/>
                <w:color w:val="000000"/>
                <w:kern w:val="2"/>
                <w:sz w:val="24"/>
                <w:szCs w:val="24"/>
                <w:u w:val="none"/>
                <w:lang w:val="en-US" w:eastAsia="zh-CN" w:bidi="ar"/>
              </w:rPr>
            </w:pPr>
            <w:r>
              <w:rPr>
                <w:rFonts w:hint="eastAsia" w:ascii="楷体" w:hAnsi="楷体" w:eastAsia="楷体" w:cs="楷体"/>
                <w:b/>
                <w:bCs/>
                <w:i w:val="0"/>
                <w:color w:val="000000"/>
                <w:kern w:val="2"/>
                <w:sz w:val="24"/>
                <w:szCs w:val="24"/>
                <w:u w:val="none"/>
                <w:lang w:val="en-US" w:eastAsia="zh-CN" w:bidi="ar"/>
              </w:rPr>
              <w:t>4.1</w:t>
            </w:r>
          </w:p>
        </w:tc>
        <w:tc>
          <w:tcPr>
            <w:tcW w:w="107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bCs/>
                <w:i w:val="0"/>
                <w:color w:val="000000"/>
                <w:kern w:val="2"/>
                <w:sz w:val="24"/>
                <w:szCs w:val="24"/>
                <w:u w:val="none"/>
                <w:lang w:val="en-US" w:eastAsia="zh-CN" w:bidi="ar"/>
              </w:rPr>
            </w:pPr>
            <w:r>
              <w:rPr>
                <w:rFonts w:hint="eastAsia" w:ascii="楷体" w:hAnsi="楷体" w:eastAsia="楷体" w:cs="楷体"/>
                <w:b/>
                <w:bCs/>
                <w:i w:val="0"/>
                <w:color w:val="000000"/>
                <w:kern w:val="2"/>
                <w:sz w:val="24"/>
                <w:szCs w:val="24"/>
                <w:u w:val="none"/>
                <w:lang w:val="en-US" w:eastAsia="zh-CN" w:bidi="ar"/>
              </w:rPr>
              <w:t>54.3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 w:hRule="atLeast"/>
          <w:jc w:val="center"/>
        </w:trPr>
        <w:tc>
          <w:tcPr>
            <w:tcW w:w="3184" w:type="dxa"/>
            <w:vAlign w:val="bottom"/>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i/>
                <w:iCs/>
                <w:color w:val="000000"/>
                <w:kern w:val="2"/>
                <w:sz w:val="24"/>
                <w:szCs w:val="24"/>
                <w:u w:val="none"/>
                <w:lang w:val="en-US" w:eastAsia="zh-CN" w:bidi="ar"/>
              </w:rPr>
            </w:pPr>
            <w:r>
              <w:rPr>
                <w:rFonts w:hint="eastAsia" w:ascii="楷体" w:hAnsi="楷体" w:eastAsia="楷体" w:cs="楷体"/>
                <w:i/>
                <w:iCs/>
                <w:color w:val="000000"/>
                <w:kern w:val="2"/>
                <w:sz w:val="24"/>
                <w:szCs w:val="24"/>
                <w:u w:val="none"/>
                <w:lang w:val="en-US" w:eastAsia="zh-CN" w:bidi="ar"/>
              </w:rPr>
              <w:t>批发和零售业</w:t>
            </w:r>
          </w:p>
        </w:tc>
        <w:tc>
          <w:tcPr>
            <w:tcW w:w="106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iCs/>
                <w:color w:val="000000"/>
                <w:kern w:val="2"/>
                <w:sz w:val="24"/>
                <w:szCs w:val="24"/>
                <w:u w:val="none"/>
                <w:lang w:val="en-US" w:eastAsia="zh-CN" w:bidi="ar"/>
              </w:rPr>
            </w:pPr>
            <w:r>
              <w:rPr>
                <w:rFonts w:hint="eastAsia" w:ascii="楷体" w:hAnsi="楷体" w:eastAsia="楷体" w:cs="楷体"/>
                <w:b w:val="0"/>
                <w:bCs w:val="0"/>
                <w:i/>
                <w:iCs/>
                <w:color w:val="000000"/>
                <w:kern w:val="2"/>
                <w:sz w:val="24"/>
                <w:szCs w:val="24"/>
                <w:u w:val="none"/>
                <w:lang w:val="en-US" w:eastAsia="zh-CN" w:bidi="ar"/>
              </w:rPr>
              <w:t>1.8</w:t>
            </w:r>
          </w:p>
        </w:tc>
        <w:tc>
          <w:tcPr>
            <w:tcW w:w="106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i/>
                <w:iCs/>
                <w:color w:val="000000"/>
                <w:kern w:val="2"/>
                <w:sz w:val="24"/>
                <w:szCs w:val="24"/>
                <w:u w:val="none"/>
                <w:lang w:val="en-US" w:eastAsia="zh-CN" w:bidi="ar"/>
              </w:rPr>
            </w:pPr>
            <w:r>
              <w:rPr>
                <w:rFonts w:hint="eastAsia" w:ascii="楷体" w:hAnsi="楷体" w:eastAsia="楷体" w:cs="楷体"/>
                <w:i/>
                <w:iCs/>
                <w:color w:val="000000"/>
                <w:kern w:val="2"/>
                <w:sz w:val="24"/>
                <w:szCs w:val="24"/>
                <w:u w:val="none"/>
                <w:lang w:val="en-US" w:eastAsia="zh-CN" w:bidi="ar"/>
              </w:rPr>
              <w:t>13.7</w:t>
            </w:r>
          </w:p>
        </w:tc>
        <w:tc>
          <w:tcPr>
            <w:tcW w:w="106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i/>
                <w:iCs/>
                <w:color w:val="000000"/>
                <w:kern w:val="2"/>
                <w:sz w:val="24"/>
                <w:szCs w:val="24"/>
                <w:u w:val="none"/>
                <w:lang w:val="en-US" w:eastAsia="zh-CN" w:bidi="ar"/>
              </w:rPr>
            </w:pPr>
            <w:r>
              <w:rPr>
                <w:rFonts w:hint="eastAsia" w:ascii="楷体" w:hAnsi="楷体" w:eastAsia="楷体" w:cs="楷体"/>
                <w:i/>
                <w:iCs/>
                <w:color w:val="000000"/>
                <w:kern w:val="2"/>
                <w:sz w:val="24"/>
                <w:szCs w:val="24"/>
                <w:u w:val="none"/>
                <w:lang w:val="en-US" w:eastAsia="zh-CN" w:bidi="ar"/>
              </w:rPr>
              <w:t>2.8</w:t>
            </w:r>
          </w:p>
        </w:tc>
        <w:tc>
          <w:tcPr>
            <w:tcW w:w="106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i/>
                <w:iCs/>
                <w:color w:val="000000"/>
                <w:kern w:val="2"/>
                <w:sz w:val="24"/>
                <w:szCs w:val="24"/>
                <w:u w:val="none"/>
                <w:lang w:val="en-US" w:eastAsia="zh-CN" w:bidi="ar"/>
              </w:rPr>
            </w:pPr>
            <w:r>
              <w:rPr>
                <w:rFonts w:hint="eastAsia" w:ascii="楷体" w:hAnsi="楷体" w:eastAsia="楷体" w:cs="楷体"/>
                <w:i/>
                <w:iCs/>
                <w:color w:val="000000"/>
                <w:kern w:val="2"/>
                <w:sz w:val="24"/>
                <w:szCs w:val="24"/>
                <w:u w:val="none"/>
                <w:lang w:val="en-US" w:eastAsia="zh-CN" w:bidi="ar"/>
              </w:rPr>
              <w:t>0.4</w:t>
            </w:r>
          </w:p>
        </w:tc>
        <w:tc>
          <w:tcPr>
            <w:tcW w:w="107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i/>
                <w:iCs/>
                <w:color w:val="000000"/>
                <w:kern w:val="2"/>
                <w:sz w:val="24"/>
                <w:szCs w:val="24"/>
                <w:u w:val="none"/>
                <w:lang w:val="en-US" w:eastAsia="zh-CN" w:bidi="ar"/>
              </w:rPr>
            </w:pPr>
            <w:r>
              <w:rPr>
                <w:rFonts w:hint="eastAsia" w:ascii="楷体" w:hAnsi="楷体" w:eastAsia="楷体" w:cs="楷体"/>
                <w:i/>
                <w:iCs/>
                <w:color w:val="000000"/>
                <w:kern w:val="2"/>
                <w:sz w:val="24"/>
                <w:szCs w:val="24"/>
                <w:u w:val="none"/>
                <w:lang w:val="en-US" w:eastAsia="zh-CN" w:bidi="ar"/>
              </w:rPr>
              <w:t>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 w:hRule="atLeast"/>
          <w:jc w:val="center"/>
        </w:trPr>
        <w:tc>
          <w:tcPr>
            <w:tcW w:w="3184" w:type="dxa"/>
            <w:vAlign w:val="bottom"/>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i/>
                <w:iCs/>
                <w:color w:val="000000"/>
                <w:kern w:val="2"/>
                <w:sz w:val="24"/>
                <w:szCs w:val="24"/>
                <w:u w:val="none"/>
                <w:lang w:val="en-US" w:eastAsia="zh-CN" w:bidi="ar"/>
              </w:rPr>
            </w:pPr>
            <w:r>
              <w:rPr>
                <w:rFonts w:hint="eastAsia" w:ascii="楷体" w:hAnsi="楷体" w:eastAsia="楷体" w:cs="楷体"/>
                <w:i/>
                <w:iCs/>
                <w:color w:val="000000"/>
                <w:kern w:val="2"/>
                <w:sz w:val="24"/>
                <w:szCs w:val="24"/>
                <w:u w:val="none"/>
                <w:lang w:val="en-US" w:eastAsia="zh-CN" w:bidi="ar"/>
              </w:rPr>
              <w:t>交通运输、仓储和邮政业</w:t>
            </w:r>
          </w:p>
        </w:tc>
        <w:tc>
          <w:tcPr>
            <w:tcW w:w="106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iCs/>
                <w:color w:val="000000"/>
                <w:kern w:val="2"/>
                <w:sz w:val="24"/>
                <w:szCs w:val="24"/>
                <w:u w:val="none"/>
                <w:lang w:val="en-US" w:eastAsia="zh-CN" w:bidi="ar"/>
              </w:rPr>
            </w:pPr>
            <w:r>
              <w:rPr>
                <w:rFonts w:hint="eastAsia" w:ascii="楷体" w:hAnsi="楷体" w:eastAsia="楷体" w:cs="楷体"/>
                <w:b w:val="0"/>
                <w:bCs w:val="0"/>
                <w:i/>
                <w:iCs/>
                <w:color w:val="000000"/>
                <w:kern w:val="2"/>
                <w:sz w:val="24"/>
                <w:szCs w:val="24"/>
                <w:u w:val="none"/>
                <w:lang w:val="en-US" w:eastAsia="zh-CN" w:bidi="ar"/>
              </w:rPr>
              <w:t>0.8</w:t>
            </w:r>
          </w:p>
        </w:tc>
        <w:tc>
          <w:tcPr>
            <w:tcW w:w="106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i/>
                <w:iCs/>
                <w:color w:val="000000"/>
                <w:kern w:val="2"/>
                <w:sz w:val="24"/>
                <w:szCs w:val="24"/>
                <w:u w:val="none"/>
                <w:lang w:val="en-US" w:eastAsia="zh-CN" w:bidi="ar"/>
              </w:rPr>
            </w:pPr>
            <w:r>
              <w:rPr>
                <w:rFonts w:hint="eastAsia" w:ascii="楷体" w:hAnsi="楷体" w:eastAsia="楷体" w:cs="楷体"/>
                <w:i/>
                <w:iCs/>
                <w:color w:val="000000"/>
                <w:kern w:val="2"/>
                <w:sz w:val="24"/>
                <w:szCs w:val="24"/>
                <w:u w:val="none"/>
                <w:lang w:val="en-US" w:eastAsia="zh-CN" w:bidi="ar"/>
              </w:rPr>
              <w:t>10.1</w:t>
            </w:r>
          </w:p>
        </w:tc>
        <w:tc>
          <w:tcPr>
            <w:tcW w:w="106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i/>
                <w:iCs/>
                <w:color w:val="000000"/>
                <w:kern w:val="2"/>
                <w:sz w:val="24"/>
                <w:szCs w:val="24"/>
                <w:u w:val="none"/>
                <w:lang w:val="en-US" w:eastAsia="zh-CN" w:bidi="ar"/>
              </w:rPr>
            </w:pPr>
            <w:r>
              <w:rPr>
                <w:rFonts w:hint="eastAsia" w:ascii="楷体" w:hAnsi="楷体" w:eastAsia="楷体" w:cs="楷体"/>
                <w:i/>
                <w:iCs/>
                <w:color w:val="000000"/>
                <w:kern w:val="2"/>
                <w:sz w:val="24"/>
                <w:szCs w:val="24"/>
                <w:u w:val="none"/>
                <w:lang w:val="en-US" w:eastAsia="zh-CN" w:bidi="ar"/>
              </w:rPr>
              <w:t>1.2</w:t>
            </w:r>
          </w:p>
        </w:tc>
        <w:tc>
          <w:tcPr>
            <w:tcW w:w="106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i/>
                <w:iCs/>
                <w:color w:val="000000"/>
                <w:kern w:val="2"/>
                <w:sz w:val="24"/>
                <w:szCs w:val="24"/>
                <w:u w:val="none"/>
                <w:lang w:val="en-US" w:eastAsia="zh-CN" w:bidi="ar"/>
              </w:rPr>
            </w:pPr>
            <w:r>
              <w:rPr>
                <w:rFonts w:hint="eastAsia" w:ascii="楷体" w:hAnsi="楷体" w:eastAsia="楷体" w:cs="楷体"/>
                <w:i/>
                <w:iCs/>
                <w:color w:val="000000"/>
                <w:kern w:val="2"/>
                <w:sz w:val="24"/>
                <w:szCs w:val="24"/>
                <w:u w:val="none"/>
                <w:lang w:val="en-US" w:eastAsia="zh-CN" w:bidi="ar"/>
              </w:rPr>
              <w:t>0.1</w:t>
            </w:r>
          </w:p>
        </w:tc>
        <w:tc>
          <w:tcPr>
            <w:tcW w:w="107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i/>
                <w:iCs/>
                <w:color w:val="000000"/>
                <w:kern w:val="2"/>
                <w:sz w:val="24"/>
                <w:szCs w:val="24"/>
                <w:u w:val="none"/>
                <w:lang w:val="en-US" w:eastAsia="zh-CN" w:bidi="ar"/>
              </w:rPr>
            </w:pPr>
            <w:r>
              <w:rPr>
                <w:rFonts w:hint="eastAsia" w:ascii="楷体" w:hAnsi="楷体" w:eastAsia="楷体" w:cs="楷体"/>
                <w:i/>
                <w:iCs/>
                <w:color w:val="000000"/>
                <w:kern w:val="2"/>
                <w:sz w:val="24"/>
                <w:szCs w:val="24"/>
                <w:u w:val="none"/>
                <w:lang w:val="en-US" w:eastAsia="zh-CN" w:bidi="ar"/>
              </w:rPr>
              <w:t>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 w:hRule="atLeast"/>
          <w:jc w:val="center"/>
        </w:trPr>
        <w:tc>
          <w:tcPr>
            <w:tcW w:w="3184" w:type="dxa"/>
            <w:vAlign w:val="bottom"/>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i/>
                <w:iCs/>
                <w:color w:val="000000"/>
                <w:kern w:val="2"/>
                <w:sz w:val="24"/>
                <w:szCs w:val="24"/>
                <w:u w:val="none"/>
                <w:lang w:val="en-US" w:eastAsia="zh-CN" w:bidi="ar"/>
              </w:rPr>
            </w:pPr>
            <w:r>
              <w:rPr>
                <w:rFonts w:hint="eastAsia" w:ascii="楷体" w:hAnsi="楷体" w:eastAsia="楷体" w:cs="楷体"/>
                <w:i/>
                <w:iCs/>
                <w:color w:val="000000"/>
                <w:kern w:val="2"/>
                <w:sz w:val="24"/>
                <w:szCs w:val="24"/>
                <w:u w:val="none"/>
                <w:lang w:val="en-US" w:eastAsia="zh-CN" w:bidi="ar"/>
              </w:rPr>
              <w:t>住宿和餐饮业</w:t>
            </w:r>
          </w:p>
        </w:tc>
        <w:tc>
          <w:tcPr>
            <w:tcW w:w="106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iCs/>
                <w:color w:val="000000"/>
                <w:kern w:val="2"/>
                <w:sz w:val="24"/>
                <w:szCs w:val="24"/>
                <w:u w:val="none"/>
                <w:lang w:val="en-US" w:eastAsia="zh-CN" w:bidi="ar"/>
              </w:rPr>
            </w:pPr>
            <w:r>
              <w:rPr>
                <w:rFonts w:hint="eastAsia" w:ascii="楷体" w:hAnsi="楷体" w:eastAsia="楷体" w:cs="楷体"/>
                <w:b w:val="0"/>
                <w:bCs w:val="0"/>
                <w:i/>
                <w:iCs/>
                <w:color w:val="000000"/>
                <w:kern w:val="2"/>
                <w:sz w:val="24"/>
                <w:szCs w:val="24"/>
                <w:u w:val="none"/>
                <w:lang w:val="en-US" w:eastAsia="zh-CN" w:bidi="ar"/>
              </w:rPr>
              <w:t>1.6</w:t>
            </w:r>
          </w:p>
        </w:tc>
        <w:tc>
          <w:tcPr>
            <w:tcW w:w="106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i/>
                <w:iCs/>
                <w:color w:val="000000"/>
                <w:kern w:val="2"/>
                <w:sz w:val="24"/>
                <w:szCs w:val="24"/>
                <w:u w:val="none"/>
                <w:lang w:val="en-US" w:eastAsia="zh-CN" w:bidi="ar"/>
              </w:rPr>
            </w:pPr>
            <w:r>
              <w:rPr>
                <w:rFonts w:hint="eastAsia" w:ascii="楷体" w:hAnsi="楷体" w:eastAsia="楷体" w:cs="楷体"/>
                <w:i/>
                <w:iCs/>
                <w:color w:val="000000"/>
                <w:kern w:val="2"/>
                <w:sz w:val="24"/>
                <w:szCs w:val="24"/>
                <w:u w:val="none"/>
                <w:lang w:val="en-US" w:eastAsia="zh-CN" w:bidi="ar"/>
              </w:rPr>
              <w:t>1.7</w:t>
            </w:r>
          </w:p>
        </w:tc>
        <w:tc>
          <w:tcPr>
            <w:tcW w:w="106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i/>
                <w:iCs/>
                <w:color w:val="000000"/>
                <w:kern w:val="2"/>
                <w:sz w:val="24"/>
                <w:szCs w:val="24"/>
                <w:u w:val="none"/>
                <w:lang w:val="en-US" w:eastAsia="zh-CN" w:bidi="ar"/>
              </w:rPr>
            </w:pPr>
            <w:r>
              <w:rPr>
                <w:rFonts w:hint="eastAsia" w:ascii="楷体" w:hAnsi="楷体" w:eastAsia="楷体" w:cs="楷体"/>
                <w:i/>
                <w:iCs/>
                <w:color w:val="000000"/>
                <w:kern w:val="2"/>
                <w:sz w:val="24"/>
                <w:szCs w:val="24"/>
                <w:u w:val="none"/>
                <w:lang w:val="en-US" w:eastAsia="zh-CN" w:bidi="ar"/>
              </w:rPr>
              <w:t>2.5</w:t>
            </w:r>
          </w:p>
        </w:tc>
        <w:tc>
          <w:tcPr>
            <w:tcW w:w="106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i/>
                <w:iCs/>
                <w:color w:val="000000"/>
                <w:kern w:val="2"/>
                <w:sz w:val="24"/>
                <w:szCs w:val="24"/>
                <w:u w:val="none"/>
                <w:lang w:val="en-US" w:eastAsia="zh-CN" w:bidi="ar"/>
              </w:rPr>
            </w:pPr>
            <w:r>
              <w:rPr>
                <w:rFonts w:hint="eastAsia" w:ascii="楷体" w:hAnsi="楷体" w:eastAsia="楷体" w:cs="楷体"/>
                <w:i/>
                <w:iCs/>
                <w:color w:val="000000"/>
                <w:kern w:val="2"/>
                <w:sz w:val="24"/>
                <w:szCs w:val="24"/>
                <w:u w:val="none"/>
                <w:lang w:val="en-US" w:eastAsia="zh-CN" w:bidi="ar"/>
              </w:rPr>
              <w:t>0.0</w:t>
            </w:r>
          </w:p>
        </w:tc>
        <w:tc>
          <w:tcPr>
            <w:tcW w:w="107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i/>
                <w:iCs/>
                <w:color w:val="000000"/>
                <w:kern w:val="2"/>
                <w:sz w:val="24"/>
                <w:szCs w:val="24"/>
                <w:u w:val="none"/>
                <w:lang w:val="en-US" w:eastAsia="zh-CN" w:bidi="ar"/>
              </w:rPr>
            </w:pPr>
            <w:r>
              <w:rPr>
                <w:rFonts w:hint="eastAsia" w:ascii="楷体" w:hAnsi="楷体" w:eastAsia="楷体" w:cs="楷体"/>
                <w:i/>
                <w:iCs/>
                <w:color w:val="000000"/>
                <w:kern w:val="2"/>
                <w:sz w:val="24"/>
                <w:szCs w:val="24"/>
                <w:u w:val="none"/>
                <w:lang w:val="en-US" w:eastAsia="zh-CN" w:bidi="ar"/>
              </w:rPr>
              <w:t>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 w:hRule="atLeast"/>
          <w:jc w:val="center"/>
        </w:trPr>
        <w:tc>
          <w:tcPr>
            <w:tcW w:w="3184" w:type="dxa"/>
            <w:vAlign w:val="bottom"/>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i/>
                <w:iCs/>
                <w:color w:val="000000"/>
                <w:kern w:val="2"/>
                <w:sz w:val="24"/>
                <w:szCs w:val="24"/>
                <w:u w:val="none"/>
                <w:lang w:val="en-US" w:eastAsia="zh-CN" w:bidi="ar"/>
              </w:rPr>
            </w:pPr>
            <w:r>
              <w:rPr>
                <w:rFonts w:hint="eastAsia" w:ascii="楷体" w:hAnsi="楷体" w:eastAsia="楷体" w:cs="楷体"/>
                <w:i/>
                <w:iCs/>
                <w:color w:val="000000"/>
                <w:kern w:val="2"/>
                <w:sz w:val="24"/>
                <w:szCs w:val="24"/>
                <w:u w:val="none"/>
                <w:lang w:val="en-US" w:eastAsia="zh-CN" w:bidi="ar"/>
              </w:rPr>
              <w:t>金融业</w:t>
            </w:r>
          </w:p>
        </w:tc>
        <w:tc>
          <w:tcPr>
            <w:tcW w:w="106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iCs/>
                <w:color w:val="000000"/>
                <w:kern w:val="2"/>
                <w:sz w:val="24"/>
                <w:szCs w:val="24"/>
                <w:u w:val="none"/>
                <w:lang w:val="en-US" w:eastAsia="zh-CN" w:bidi="ar"/>
              </w:rPr>
            </w:pPr>
            <w:r>
              <w:rPr>
                <w:rFonts w:hint="eastAsia" w:ascii="楷体" w:hAnsi="楷体" w:eastAsia="楷体" w:cs="楷体"/>
                <w:b w:val="0"/>
                <w:bCs w:val="0"/>
                <w:i/>
                <w:iCs/>
                <w:color w:val="000000"/>
                <w:kern w:val="2"/>
                <w:sz w:val="24"/>
                <w:szCs w:val="24"/>
                <w:u w:val="none"/>
                <w:lang w:val="en-US" w:eastAsia="zh-CN" w:bidi="ar"/>
              </w:rPr>
              <w:t>2.7</w:t>
            </w:r>
          </w:p>
        </w:tc>
        <w:tc>
          <w:tcPr>
            <w:tcW w:w="106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i/>
                <w:iCs/>
                <w:color w:val="000000"/>
                <w:kern w:val="2"/>
                <w:sz w:val="24"/>
                <w:szCs w:val="24"/>
                <w:u w:val="none"/>
                <w:lang w:val="en-US" w:eastAsia="zh-CN" w:bidi="ar"/>
              </w:rPr>
            </w:pPr>
            <w:r>
              <w:rPr>
                <w:rFonts w:hint="eastAsia" w:ascii="楷体" w:hAnsi="楷体" w:eastAsia="楷体" w:cs="楷体"/>
                <w:i/>
                <w:iCs/>
                <w:color w:val="000000"/>
                <w:kern w:val="2"/>
                <w:sz w:val="24"/>
                <w:szCs w:val="24"/>
                <w:u w:val="none"/>
                <w:lang w:val="en-US" w:eastAsia="zh-CN" w:bidi="ar"/>
              </w:rPr>
              <w:t>-1.8</w:t>
            </w:r>
          </w:p>
        </w:tc>
        <w:tc>
          <w:tcPr>
            <w:tcW w:w="106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i/>
                <w:iCs/>
                <w:color w:val="000000"/>
                <w:kern w:val="2"/>
                <w:sz w:val="24"/>
                <w:szCs w:val="24"/>
                <w:u w:val="none"/>
                <w:lang w:val="en-US" w:eastAsia="zh-CN" w:bidi="ar"/>
              </w:rPr>
            </w:pPr>
            <w:r>
              <w:rPr>
                <w:rFonts w:hint="eastAsia" w:ascii="楷体" w:hAnsi="楷体" w:eastAsia="楷体" w:cs="楷体"/>
                <w:i/>
                <w:iCs/>
                <w:color w:val="000000"/>
                <w:kern w:val="2"/>
                <w:sz w:val="24"/>
                <w:szCs w:val="24"/>
                <w:u w:val="none"/>
                <w:lang w:val="en-US" w:eastAsia="zh-CN" w:bidi="ar"/>
              </w:rPr>
              <w:t>4.3</w:t>
            </w:r>
          </w:p>
        </w:tc>
        <w:tc>
          <w:tcPr>
            <w:tcW w:w="106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i/>
                <w:iCs/>
                <w:color w:val="000000"/>
                <w:kern w:val="2"/>
                <w:sz w:val="24"/>
                <w:szCs w:val="24"/>
                <w:u w:val="none"/>
                <w:lang w:val="en-US" w:eastAsia="zh-CN" w:bidi="ar"/>
              </w:rPr>
            </w:pPr>
            <w:r>
              <w:rPr>
                <w:rFonts w:hint="eastAsia" w:ascii="楷体" w:hAnsi="楷体" w:eastAsia="楷体" w:cs="楷体"/>
                <w:i/>
                <w:iCs/>
                <w:color w:val="000000"/>
                <w:kern w:val="2"/>
                <w:sz w:val="24"/>
                <w:szCs w:val="24"/>
                <w:u w:val="none"/>
                <w:lang w:val="en-US" w:eastAsia="zh-CN" w:bidi="ar"/>
              </w:rPr>
              <w:t>-0.1</w:t>
            </w:r>
          </w:p>
        </w:tc>
        <w:tc>
          <w:tcPr>
            <w:tcW w:w="107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i/>
                <w:iCs/>
                <w:color w:val="000000"/>
                <w:kern w:val="2"/>
                <w:sz w:val="24"/>
                <w:szCs w:val="24"/>
                <w:u w:val="none"/>
                <w:lang w:val="en-US" w:eastAsia="zh-CN" w:bidi="ar"/>
              </w:rPr>
            </w:pPr>
            <w:r>
              <w:rPr>
                <w:rFonts w:hint="eastAsia" w:ascii="楷体" w:hAnsi="楷体" w:eastAsia="楷体" w:cs="楷体"/>
                <w:i/>
                <w:iCs/>
                <w:color w:val="000000"/>
                <w:kern w:val="2"/>
                <w:sz w:val="24"/>
                <w:szCs w:val="24"/>
                <w:u w:val="none"/>
                <w:lang w:val="en-US" w:eastAsia="zh-CN" w:bidi="ar"/>
              </w:rPr>
              <w:t>-1.1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57" w:hRule="atLeast"/>
          <w:jc w:val="center"/>
        </w:trPr>
        <w:tc>
          <w:tcPr>
            <w:tcW w:w="3184" w:type="dxa"/>
            <w:vAlign w:val="bottom"/>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i/>
                <w:iCs/>
                <w:color w:val="000000"/>
                <w:kern w:val="2"/>
                <w:sz w:val="24"/>
                <w:szCs w:val="24"/>
                <w:u w:val="none"/>
                <w:lang w:val="en-US" w:eastAsia="zh-CN" w:bidi="ar"/>
              </w:rPr>
            </w:pPr>
            <w:r>
              <w:rPr>
                <w:rFonts w:hint="eastAsia" w:ascii="楷体" w:hAnsi="楷体" w:eastAsia="楷体" w:cs="楷体"/>
                <w:i/>
                <w:iCs/>
                <w:color w:val="000000"/>
                <w:kern w:val="2"/>
                <w:sz w:val="24"/>
                <w:szCs w:val="24"/>
                <w:u w:val="none"/>
                <w:lang w:val="en-US" w:eastAsia="zh-CN" w:bidi="ar"/>
              </w:rPr>
              <w:t>房地产业</w:t>
            </w:r>
          </w:p>
        </w:tc>
        <w:tc>
          <w:tcPr>
            <w:tcW w:w="106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iCs/>
                <w:color w:val="000000"/>
                <w:kern w:val="2"/>
                <w:sz w:val="24"/>
                <w:szCs w:val="24"/>
                <w:u w:val="none"/>
                <w:lang w:val="en-US" w:eastAsia="zh-CN" w:bidi="ar"/>
              </w:rPr>
            </w:pPr>
            <w:r>
              <w:rPr>
                <w:rFonts w:hint="eastAsia" w:ascii="楷体" w:hAnsi="楷体" w:eastAsia="楷体" w:cs="楷体"/>
                <w:b w:val="0"/>
                <w:bCs w:val="0"/>
                <w:i/>
                <w:iCs/>
                <w:color w:val="000000"/>
                <w:kern w:val="2"/>
                <w:sz w:val="24"/>
                <w:szCs w:val="24"/>
                <w:u w:val="none"/>
                <w:lang w:val="en-US" w:eastAsia="zh-CN" w:bidi="ar"/>
              </w:rPr>
              <w:t>12.6</w:t>
            </w:r>
          </w:p>
        </w:tc>
        <w:tc>
          <w:tcPr>
            <w:tcW w:w="106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i/>
                <w:iCs/>
                <w:color w:val="000000"/>
                <w:kern w:val="2"/>
                <w:sz w:val="24"/>
                <w:szCs w:val="24"/>
                <w:u w:val="none"/>
                <w:lang w:val="en-US" w:eastAsia="zh-CN" w:bidi="ar"/>
              </w:rPr>
            </w:pPr>
            <w:r>
              <w:rPr>
                <w:rFonts w:hint="eastAsia" w:ascii="楷体" w:hAnsi="楷体" w:eastAsia="楷体" w:cs="楷体"/>
                <w:i/>
                <w:iCs/>
                <w:color w:val="000000"/>
                <w:kern w:val="2"/>
                <w:sz w:val="24"/>
                <w:szCs w:val="24"/>
                <w:u w:val="none"/>
                <w:lang w:val="en-US" w:eastAsia="zh-CN" w:bidi="ar"/>
              </w:rPr>
              <w:t>8.6</w:t>
            </w:r>
          </w:p>
        </w:tc>
        <w:tc>
          <w:tcPr>
            <w:tcW w:w="106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i/>
                <w:iCs/>
                <w:color w:val="000000"/>
                <w:kern w:val="2"/>
                <w:sz w:val="24"/>
                <w:szCs w:val="24"/>
                <w:u w:val="none"/>
                <w:lang w:val="en-US" w:eastAsia="zh-CN" w:bidi="ar"/>
              </w:rPr>
            </w:pPr>
            <w:r>
              <w:rPr>
                <w:rFonts w:hint="eastAsia" w:ascii="楷体" w:hAnsi="楷体" w:eastAsia="楷体" w:cs="楷体"/>
                <w:i/>
                <w:iCs/>
                <w:color w:val="000000"/>
                <w:kern w:val="2"/>
                <w:sz w:val="24"/>
                <w:szCs w:val="24"/>
                <w:u w:val="none"/>
                <w:lang w:val="en-US" w:eastAsia="zh-CN" w:bidi="ar"/>
              </w:rPr>
              <w:t>19.6</w:t>
            </w:r>
          </w:p>
        </w:tc>
        <w:tc>
          <w:tcPr>
            <w:tcW w:w="106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i/>
                <w:iCs/>
                <w:color w:val="000000"/>
                <w:kern w:val="2"/>
                <w:sz w:val="24"/>
                <w:szCs w:val="24"/>
                <w:u w:val="none"/>
                <w:lang w:val="en-US" w:eastAsia="zh-CN" w:bidi="ar"/>
              </w:rPr>
            </w:pPr>
            <w:r>
              <w:rPr>
                <w:rFonts w:hint="eastAsia" w:ascii="楷体" w:hAnsi="楷体" w:eastAsia="楷体" w:cs="楷体"/>
                <w:i/>
                <w:iCs/>
                <w:color w:val="000000"/>
                <w:kern w:val="2"/>
                <w:sz w:val="24"/>
                <w:szCs w:val="24"/>
                <w:u w:val="none"/>
                <w:lang w:val="en-US" w:eastAsia="zh-CN" w:bidi="ar"/>
              </w:rPr>
              <w:t>1.5</w:t>
            </w:r>
          </w:p>
        </w:tc>
        <w:tc>
          <w:tcPr>
            <w:tcW w:w="107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i/>
                <w:iCs/>
                <w:color w:val="000000"/>
                <w:kern w:val="2"/>
                <w:sz w:val="24"/>
                <w:szCs w:val="24"/>
                <w:u w:val="none"/>
                <w:lang w:val="en-US" w:eastAsia="zh-CN" w:bidi="ar"/>
              </w:rPr>
            </w:pPr>
            <w:r>
              <w:rPr>
                <w:rFonts w:hint="eastAsia" w:ascii="楷体" w:hAnsi="楷体" w:eastAsia="楷体" w:cs="楷体"/>
                <w:i/>
                <w:iCs/>
                <w:color w:val="000000"/>
                <w:kern w:val="2"/>
                <w:sz w:val="24"/>
                <w:szCs w:val="24"/>
                <w:u w:val="none"/>
                <w:lang w:val="en-US" w:eastAsia="zh-CN" w:bidi="ar"/>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 w:hRule="atLeast"/>
          <w:jc w:val="center"/>
        </w:trPr>
        <w:tc>
          <w:tcPr>
            <w:tcW w:w="3184" w:type="dxa"/>
            <w:vAlign w:val="bottom"/>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i/>
                <w:iCs/>
                <w:color w:val="000000"/>
                <w:kern w:val="2"/>
                <w:sz w:val="24"/>
                <w:szCs w:val="24"/>
                <w:u w:val="none"/>
                <w:lang w:val="en-US" w:eastAsia="zh-CN" w:bidi="ar"/>
              </w:rPr>
            </w:pPr>
            <w:r>
              <w:rPr>
                <w:rFonts w:hint="eastAsia" w:ascii="楷体" w:hAnsi="楷体" w:eastAsia="楷体" w:cs="楷体"/>
                <w:i/>
                <w:iCs/>
                <w:color w:val="000000"/>
                <w:kern w:val="2"/>
                <w:sz w:val="24"/>
                <w:szCs w:val="24"/>
                <w:u w:val="none"/>
                <w:lang w:val="en-US" w:eastAsia="zh-CN" w:bidi="ar"/>
              </w:rPr>
              <w:t>其他服务业</w:t>
            </w:r>
          </w:p>
        </w:tc>
        <w:tc>
          <w:tcPr>
            <w:tcW w:w="106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iCs/>
                <w:color w:val="000000"/>
                <w:kern w:val="2"/>
                <w:sz w:val="24"/>
                <w:szCs w:val="24"/>
                <w:u w:val="none"/>
                <w:lang w:val="en-US" w:eastAsia="zh-CN" w:bidi="ar"/>
              </w:rPr>
            </w:pPr>
            <w:r>
              <w:rPr>
                <w:rFonts w:hint="eastAsia" w:ascii="楷体" w:hAnsi="楷体" w:eastAsia="楷体" w:cs="楷体"/>
                <w:b w:val="0"/>
                <w:bCs w:val="0"/>
                <w:i/>
                <w:iCs/>
                <w:color w:val="000000"/>
                <w:kern w:val="2"/>
                <w:sz w:val="24"/>
                <w:szCs w:val="24"/>
                <w:u w:val="none"/>
                <w:lang w:val="en-US" w:eastAsia="zh-CN" w:bidi="ar"/>
              </w:rPr>
              <w:t>15.4</w:t>
            </w:r>
          </w:p>
        </w:tc>
        <w:tc>
          <w:tcPr>
            <w:tcW w:w="106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i/>
                <w:iCs/>
                <w:color w:val="000000"/>
                <w:kern w:val="2"/>
                <w:sz w:val="24"/>
                <w:szCs w:val="24"/>
                <w:u w:val="none"/>
                <w:lang w:val="en-US" w:eastAsia="zh-CN" w:bidi="ar"/>
              </w:rPr>
            </w:pPr>
            <w:r>
              <w:rPr>
                <w:rFonts w:hint="eastAsia" w:ascii="楷体" w:hAnsi="楷体" w:eastAsia="楷体" w:cs="楷体"/>
                <w:i/>
                <w:iCs/>
                <w:color w:val="000000"/>
                <w:kern w:val="2"/>
                <w:sz w:val="24"/>
                <w:szCs w:val="24"/>
                <w:u w:val="none"/>
                <w:lang w:val="en-US" w:eastAsia="zh-CN" w:bidi="ar"/>
              </w:rPr>
              <w:t>8.0</w:t>
            </w:r>
          </w:p>
        </w:tc>
        <w:tc>
          <w:tcPr>
            <w:tcW w:w="106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i/>
                <w:iCs/>
                <w:color w:val="000000"/>
                <w:kern w:val="2"/>
                <w:sz w:val="24"/>
                <w:szCs w:val="24"/>
                <w:u w:val="none"/>
                <w:lang w:val="en-US" w:eastAsia="zh-CN" w:bidi="ar"/>
              </w:rPr>
            </w:pPr>
            <w:r>
              <w:rPr>
                <w:rFonts w:hint="eastAsia" w:ascii="楷体" w:hAnsi="楷体" w:eastAsia="楷体" w:cs="楷体"/>
                <w:i/>
                <w:iCs/>
                <w:color w:val="000000"/>
                <w:kern w:val="2"/>
                <w:sz w:val="24"/>
                <w:szCs w:val="24"/>
                <w:u w:val="none"/>
                <w:lang w:val="en-US" w:eastAsia="zh-CN" w:bidi="ar"/>
              </w:rPr>
              <w:t>23.9</w:t>
            </w:r>
          </w:p>
        </w:tc>
        <w:tc>
          <w:tcPr>
            <w:tcW w:w="106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i/>
                <w:iCs/>
                <w:color w:val="000000"/>
                <w:kern w:val="2"/>
                <w:sz w:val="24"/>
                <w:szCs w:val="24"/>
                <w:u w:val="none"/>
                <w:lang w:val="en-US" w:eastAsia="zh-CN" w:bidi="ar"/>
              </w:rPr>
            </w:pPr>
            <w:r>
              <w:rPr>
                <w:rFonts w:hint="eastAsia" w:ascii="楷体" w:hAnsi="楷体" w:eastAsia="楷体" w:cs="楷体"/>
                <w:i/>
                <w:iCs/>
                <w:color w:val="000000"/>
                <w:kern w:val="2"/>
                <w:sz w:val="24"/>
                <w:szCs w:val="24"/>
                <w:u w:val="none"/>
                <w:lang w:val="en-US" w:eastAsia="zh-CN" w:bidi="ar"/>
              </w:rPr>
              <w:t>1.9</w:t>
            </w:r>
          </w:p>
        </w:tc>
        <w:tc>
          <w:tcPr>
            <w:tcW w:w="107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i/>
                <w:iCs/>
                <w:color w:val="000000"/>
                <w:kern w:val="2"/>
                <w:sz w:val="24"/>
                <w:szCs w:val="24"/>
                <w:u w:val="none"/>
                <w:lang w:val="en-US" w:eastAsia="zh-CN" w:bidi="ar"/>
              </w:rPr>
            </w:pPr>
            <w:r>
              <w:rPr>
                <w:rFonts w:hint="eastAsia" w:ascii="楷体" w:hAnsi="楷体" w:eastAsia="楷体" w:cs="楷体"/>
                <w:i/>
                <w:iCs/>
                <w:color w:val="000000"/>
                <w:kern w:val="2"/>
                <w:sz w:val="24"/>
                <w:szCs w:val="24"/>
                <w:u w:val="none"/>
                <w:lang w:val="en-US" w:eastAsia="zh-CN" w:bidi="ar"/>
              </w:rPr>
              <w:t>25.5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 w:hRule="atLeast"/>
          <w:jc w:val="center"/>
        </w:trPr>
        <w:tc>
          <w:tcPr>
            <w:tcW w:w="3184" w:type="dxa"/>
            <w:vAlign w:val="bottom"/>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i/>
                <w:iCs/>
                <w:color w:val="000000"/>
                <w:kern w:val="2"/>
                <w:sz w:val="24"/>
                <w:szCs w:val="24"/>
                <w:u w:val="none"/>
                <w:lang w:val="en-US" w:eastAsia="zh-CN" w:bidi="ar"/>
              </w:rPr>
            </w:pPr>
            <w:r>
              <w:rPr>
                <w:rFonts w:hint="eastAsia" w:ascii="楷体" w:hAnsi="楷体" w:eastAsia="楷体" w:cs="楷体"/>
                <w:i/>
                <w:iCs/>
                <w:color w:val="000000"/>
                <w:kern w:val="2"/>
                <w:sz w:val="24"/>
                <w:szCs w:val="24"/>
                <w:u w:val="none"/>
                <w:lang w:val="en-US" w:eastAsia="zh-CN" w:bidi="ar"/>
              </w:rPr>
              <w:t>农林牧渔服务业</w:t>
            </w:r>
          </w:p>
        </w:tc>
        <w:tc>
          <w:tcPr>
            <w:tcW w:w="106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iCs/>
                <w:color w:val="000000"/>
                <w:kern w:val="2"/>
                <w:sz w:val="24"/>
                <w:szCs w:val="24"/>
                <w:u w:val="none"/>
                <w:lang w:val="en-US" w:eastAsia="zh-CN" w:bidi="ar"/>
              </w:rPr>
            </w:pPr>
            <w:r>
              <w:rPr>
                <w:rFonts w:hint="eastAsia" w:ascii="楷体" w:hAnsi="楷体" w:eastAsia="楷体" w:cs="楷体"/>
                <w:b w:val="0"/>
                <w:bCs w:val="0"/>
                <w:i/>
                <w:iCs/>
                <w:color w:val="000000"/>
                <w:kern w:val="2"/>
                <w:sz w:val="24"/>
                <w:szCs w:val="24"/>
                <w:u w:val="none"/>
                <w:lang w:val="en-US" w:eastAsia="zh-CN" w:bidi="ar"/>
              </w:rPr>
              <w:t>1.3</w:t>
            </w:r>
          </w:p>
        </w:tc>
        <w:tc>
          <w:tcPr>
            <w:tcW w:w="106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i/>
                <w:iCs/>
                <w:color w:val="000000"/>
                <w:kern w:val="2"/>
                <w:sz w:val="24"/>
                <w:szCs w:val="24"/>
                <w:u w:val="none"/>
                <w:lang w:val="en-US" w:eastAsia="zh-CN" w:bidi="ar"/>
              </w:rPr>
            </w:pPr>
            <w:r>
              <w:rPr>
                <w:rFonts w:hint="eastAsia" w:ascii="楷体" w:hAnsi="楷体" w:eastAsia="楷体" w:cs="楷体"/>
                <w:i/>
                <w:iCs/>
                <w:color w:val="000000"/>
                <w:kern w:val="2"/>
                <w:sz w:val="24"/>
                <w:szCs w:val="24"/>
                <w:u w:val="none"/>
                <w:lang w:val="en-US" w:eastAsia="zh-CN" w:bidi="ar"/>
              </w:rPr>
              <w:t>7.3</w:t>
            </w:r>
          </w:p>
        </w:tc>
        <w:tc>
          <w:tcPr>
            <w:tcW w:w="106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i/>
                <w:iCs/>
                <w:color w:val="000000"/>
                <w:kern w:val="2"/>
                <w:sz w:val="24"/>
                <w:szCs w:val="24"/>
                <w:u w:val="none"/>
                <w:lang w:val="en-US" w:eastAsia="zh-CN" w:bidi="ar"/>
              </w:rPr>
            </w:pPr>
            <w:r>
              <w:rPr>
                <w:rFonts w:hint="eastAsia" w:ascii="楷体" w:hAnsi="楷体" w:eastAsia="楷体" w:cs="楷体"/>
                <w:i/>
                <w:iCs/>
                <w:color w:val="000000"/>
                <w:kern w:val="2"/>
                <w:sz w:val="24"/>
                <w:szCs w:val="24"/>
                <w:u w:val="none"/>
                <w:lang w:val="en-US" w:eastAsia="zh-CN" w:bidi="ar"/>
              </w:rPr>
              <w:t>2.0</w:t>
            </w:r>
          </w:p>
        </w:tc>
        <w:tc>
          <w:tcPr>
            <w:tcW w:w="106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i/>
                <w:iCs/>
                <w:color w:val="000000"/>
                <w:kern w:val="2"/>
                <w:sz w:val="24"/>
                <w:szCs w:val="24"/>
                <w:u w:val="none"/>
                <w:lang w:val="en-US" w:eastAsia="zh-CN" w:bidi="ar"/>
              </w:rPr>
            </w:pPr>
            <w:r>
              <w:rPr>
                <w:rFonts w:hint="eastAsia" w:ascii="楷体" w:hAnsi="楷体" w:eastAsia="楷体" w:cs="楷体"/>
                <w:i/>
                <w:iCs/>
                <w:color w:val="000000"/>
                <w:kern w:val="2"/>
                <w:sz w:val="24"/>
                <w:szCs w:val="24"/>
                <w:u w:val="none"/>
                <w:lang w:val="en-US" w:eastAsia="zh-CN" w:bidi="ar"/>
              </w:rPr>
              <w:t>0.1</w:t>
            </w:r>
          </w:p>
        </w:tc>
        <w:tc>
          <w:tcPr>
            <w:tcW w:w="107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i/>
                <w:iCs/>
                <w:color w:val="000000"/>
                <w:kern w:val="2"/>
                <w:sz w:val="24"/>
                <w:szCs w:val="24"/>
                <w:u w:val="none"/>
                <w:lang w:val="en-US" w:eastAsia="zh-CN" w:bidi="ar"/>
              </w:rPr>
            </w:pPr>
            <w:r>
              <w:rPr>
                <w:rFonts w:hint="eastAsia" w:ascii="楷体" w:hAnsi="楷体" w:eastAsia="楷体" w:cs="楷体"/>
                <w:i/>
                <w:iCs/>
                <w:color w:val="000000"/>
                <w:kern w:val="2"/>
                <w:sz w:val="24"/>
                <w:szCs w:val="24"/>
                <w:u w:val="none"/>
                <w:lang w:val="en-US" w:eastAsia="zh-CN" w:bidi="ar"/>
              </w:rPr>
              <w:t>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 w:hRule="atLeast"/>
          <w:jc w:val="center"/>
        </w:trPr>
        <w:tc>
          <w:tcPr>
            <w:tcW w:w="3184" w:type="dxa"/>
            <w:tcBorders>
              <w:bottom w:val="thickThinSmallGap" w:color="A4A4A4" w:sz="12" w:space="0"/>
            </w:tcBorders>
            <w:vAlign w:val="bottom"/>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color w:val="000000"/>
                <w:kern w:val="2"/>
                <w:sz w:val="24"/>
                <w:szCs w:val="24"/>
                <w:u w:val="none"/>
                <w:lang w:val="en-US" w:eastAsia="zh-CN" w:bidi="ar"/>
              </w:rPr>
            </w:pPr>
            <w:r>
              <w:rPr>
                <w:rFonts w:hint="eastAsia" w:ascii="楷体" w:hAnsi="楷体" w:eastAsia="楷体" w:cs="楷体"/>
                <w:b/>
                <w:bCs/>
                <w:i w:val="0"/>
                <w:color w:val="000000"/>
                <w:kern w:val="2"/>
                <w:sz w:val="24"/>
                <w:szCs w:val="24"/>
                <w:u w:val="none"/>
                <w:lang w:val="en-US" w:eastAsia="zh-CN" w:bidi="ar"/>
              </w:rPr>
              <w:t>合  计</w:t>
            </w:r>
          </w:p>
        </w:tc>
        <w:tc>
          <w:tcPr>
            <w:tcW w:w="1067" w:type="dxa"/>
            <w:tcBorders>
              <w:bottom w:val="thickThinSmallGap" w:color="A4A4A4" w:sz="12"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bCs/>
                <w:i w:val="0"/>
                <w:color w:val="000000"/>
                <w:kern w:val="2"/>
                <w:sz w:val="24"/>
                <w:szCs w:val="24"/>
                <w:u w:val="none"/>
                <w:lang w:val="en-US" w:eastAsia="zh-CN" w:bidi="ar"/>
              </w:rPr>
            </w:pPr>
            <w:r>
              <w:rPr>
                <w:rFonts w:hint="eastAsia" w:ascii="楷体" w:hAnsi="楷体" w:eastAsia="楷体" w:cs="楷体"/>
                <w:b/>
                <w:bCs/>
                <w:i w:val="0"/>
                <w:color w:val="000000"/>
                <w:kern w:val="2"/>
                <w:sz w:val="24"/>
                <w:szCs w:val="24"/>
                <w:u w:val="none"/>
                <w:lang w:val="en-US" w:eastAsia="zh-CN" w:bidi="ar"/>
              </w:rPr>
              <w:t>64.3</w:t>
            </w:r>
          </w:p>
        </w:tc>
        <w:tc>
          <w:tcPr>
            <w:tcW w:w="1067" w:type="dxa"/>
            <w:tcBorders>
              <w:bottom w:val="thickThinSmallGap" w:color="A4A4A4" w:sz="12"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bCs/>
                <w:i w:val="0"/>
                <w:color w:val="000000"/>
                <w:kern w:val="2"/>
                <w:sz w:val="24"/>
                <w:szCs w:val="24"/>
                <w:u w:val="none"/>
                <w:lang w:val="en-US" w:eastAsia="zh-CN" w:bidi="ar"/>
              </w:rPr>
            </w:pPr>
            <w:r>
              <w:rPr>
                <w:rFonts w:hint="eastAsia" w:ascii="楷体" w:hAnsi="楷体" w:eastAsia="楷体" w:cs="楷体"/>
                <w:b/>
                <w:bCs/>
                <w:i w:val="0"/>
                <w:color w:val="000000"/>
                <w:kern w:val="2"/>
                <w:sz w:val="24"/>
                <w:szCs w:val="24"/>
                <w:u w:val="none"/>
                <w:lang w:val="en-US" w:eastAsia="zh-CN" w:bidi="ar"/>
              </w:rPr>
              <w:t>7.6</w:t>
            </w:r>
          </w:p>
        </w:tc>
        <w:tc>
          <w:tcPr>
            <w:tcW w:w="1067" w:type="dxa"/>
            <w:tcBorders>
              <w:bottom w:val="thickThinSmallGap" w:color="A4A4A4" w:sz="12"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bCs/>
                <w:i w:val="0"/>
                <w:color w:val="000000"/>
                <w:kern w:val="2"/>
                <w:sz w:val="24"/>
                <w:szCs w:val="24"/>
                <w:u w:val="none"/>
                <w:lang w:val="en-US" w:eastAsia="zh-CN" w:bidi="ar"/>
              </w:rPr>
            </w:pPr>
            <w:r>
              <w:rPr>
                <w:rFonts w:hint="eastAsia" w:ascii="楷体" w:hAnsi="楷体" w:eastAsia="楷体" w:cs="楷体"/>
                <w:b/>
                <w:bCs/>
                <w:i w:val="0"/>
                <w:color w:val="000000"/>
                <w:kern w:val="2"/>
                <w:sz w:val="24"/>
                <w:szCs w:val="24"/>
                <w:u w:val="none"/>
                <w:lang w:val="en-US" w:eastAsia="zh-CN" w:bidi="ar"/>
              </w:rPr>
              <w:t>100.0</w:t>
            </w:r>
          </w:p>
        </w:tc>
        <w:tc>
          <w:tcPr>
            <w:tcW w:w="1067" w:type="dxa"/>
            <w:tcBorders>
              <w:bottom w:val="thickThinSmallGap" w:color="A4A4A4" w:sz="12"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bCs/>
                <w:i w:val="0"/>
                <w:color w:val="000000"/>
                <w:kern w:val="2"/>
                <w:sz w:val="24"/>
                <w:szCs w:val="24"/>
                <w:u w:val="none"/>
                <w:lang w:val="en-US" w:eastAsia="zh-CN" w:bidi="ar"/>
              </w:rPr>
            </w:pPr>
            <w:r>
              <w:rPr>
                <w:rFonts w:hint="eastAsia" w:ascii="楷体" w:hAnsi="楷体" w:eastAsia="楷体" w:cs="楷体"/>
                <w:b/>
                <w:bCs/>
                <w:i w:val="0"/>
                <w:color w:val="000000"/>
                <w:kern w:val="2"/>
                <w:sz w:val="24"/>
                <w:szCs w:val="24"/>
                <w:u w:val="none"/>
                <w:lang w:val="en-US" w:eastAsia="zh-CN" w:bidi="ar"/>
              </w:rPr>
              <w:t>7.6</w:t>
            </w:r>
          </w:p>
        </w:tc>
        <w:tc>
          <w:tcPr>
            <w:tcW w:w="1070" w:type="dxa"/>
            <w:tcBorders>
              <w:bottom w:val="thickThinSmallGap" w:color="A4A4A4" w:sz="12"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bCs/>
                <w:i w:val="0"/>
                <w:color w:val="000000"/>
                <w:kern w:val="2"/>
                <w:sz w:val="24"/>
                <w:szCs w:val="24"/>
                <w:u w:val="none"/>
                <w:lang w:val="en-US" w:eastAsia="zh-CN" w:bidi="ar"/>
              </w:rPr>
            </w:pPr>
            <w:r>
              <w:rPr>
                <w:rFonts w:hint="eastAsia" w:ascii="楷体" w:hAnsi="楷体" w:eastAsia="楷体" w:cs="楷体"/>
                <w:b/>
                <w:bCs/>
                <w:i w:val="0"/>
                <w:color w:val="000000"/>
                <w:kern w:val="2"/>
                <w:sz w:val="24"/>
                <w:szCs w:val="24"/>
                <w:u w:val="none"/>
                <w:lang w:val="en-US" w:eastAsia="zh-CN" w:bidi="ar"/>
              </w:rPr>
              <w:t>100.0</w:t>
            </w:r>
          </w:p>
        </w:tc>
      </w:tr>
    </w:tbl>
    <w:p>
      <w:pPr>
        <w:pStyle w:val="4"/>
        <w:numPr>
          <w:ilvl w:val="0"/>
          <w:numId w:val="2"/>
        </w:numPr>
        <w:bidi w:val="0"/>
        <w:rPr>
          <w:rFonts w:hint="eastAsia"/>
          <w:b w:val="0"/>
          <w:lang w:val="en-US" w:eastAsia="zh-CN"/>
        </w:rPr>
      </w:pPr>
      <w:bookmarkStart w:id="52" w:name="_Toc32467"/>
      <w:bookmarkStart w:id="53" w:name="_Toc28796"/>
      <w:r>
        <w:rPr>
          <w:rFonts w:hint="eastAsia"/>
          <w:b w:val="0"/>
          <w:lang w:val="en-US" w:eastAsia="zh-CN"/>
        </w:rPr>
        <w:t>产业发展呈现“一小三慢”特征，爬坡过坎任务重挑战大</w:t>
      </w:r>
      <w:bookmarkEnd w:id="52"/>
      <w:bookmarkEnd w:id="53"/>
    </w:p>
    <w:p>
      <w:pPr>
        <w:rPr>
          <w:rFonts w:hint="eastAsia"/>
          <w:lang w:val="en-US" w:eastAsia="zh-CN"/>
        </w:rPr>
      </w:pPr>
      <w:r>
        <w:rPr>
          <w:rFonts w:hint="eastAsia"/>
          <w:lang w:val="en-US" w:eastAsia="zh-CN"/>
        </w:rPr>
        <w:t>崖州产业处于起步期、新旧转换期的双期重合阶段，既要做大体量又要做精质量，爬坡过坎的任务重挑战大。产业发展呈现出“一小三慢”的阶段特征，尚未形成传统产业转型升级、接续产业蓬勃壮大、培育产业项目涌入的高质量发展局面。</w:t>
      </w:r>
    </w:p>
    <w:p>
      <w:pPr>
        <w:rPr>
          <w:rFonts w:hint="eastAsia"/>
          <w:lang w:val="en-US" w:eastAsia="zh-CN"/>
        </w:rPr>
      </w:pPr>
      <w:r>
        <w:rPr>
          <w:rFonts w:hint="eastAsia"/>
          <w:b/>
          <w:bCs/>
          <w:lang w:val="en-US" w:eastAsia="zh-CN"/>
        </w:rPr>
        <w:t>一是传统优势产业规模小</w:t>
      </w:r>
      <w:r>
        <w:rPr>
          <w:rFonts w:hint="eastAsia"/>
          <w:lang w:val="en-US" w:eastAsia="zh-CN"/>
        </w:rPr>
        <w:t>。热带农业、商贸物流、宗教文旅等产业具有一定比较优势，但规模体量偏小，产业链条不长，缺少农业商贸头部企业，不能支撑全区经济上规模。</w:t>
      </w:r>
    </w:p>
    <w:p>
      <w:pPr>
        <w:rPr>
          <w:rFonts w:hint="eastAsia"/>
          <w:lang w:val="en-US" w:eastAsia="zh-CN"/>
        </w:rPr>
      </w:pPr>
      <w:r>
        <w:rPr>
          <w:rFonts w:hint="eastAsia"/>
          <w:b/>
          <w:bCs/>
          <w:lang w:val="en-US" w:eastAsia="zh-CN"/>
        </w:rPr>
        <w:t>二是传统优势产业升级慢</w:t>
      </w:r>
      <w:r>
        <w:rPr>
          <w:rFonts w:hint="eastAsia"/>
          <w:lang w:val="en-US" w:eastAsia="zh-CN"/>
        </w:rPr>
        <w:t>。整体发展质量不高、转型升级动力不足，农业依靠重复投入低端要素撑起产业规模，商贸物流业态落后只见规模不见品牌，宗教旅游创新不足吸引力下降。</w:t>
      </w:r>
    </w:p>
    <w:p>
      <w:pPr>
        <w:rPr>
          <w:rFonts w:hint="eastAsia"/>
          <w:lang w:val="en-US" w:eastAsia="zh-CN"/>
        </w:rPr>
      </w:pPr>
      <w:r>
        <w:rPr>
          <w:rFonts w:hint="eastAsia"/>
          <w:b/>
          <w:bCs/>
          <w:lang w:val="en-US" w:eastAsia="zh-CN"/>
        </w:rPr>
        <w:t>三是接续产业发展壮大慢</w:t>
      </w:r>
      <w:r>
        <w:rPr>
          <w:rFonts w:hint="eastAsia"/>
          <w:lang w:val="en-US" w:eastAsia="zh-CN"/>
        </w:rPr>
        <w:t>。文旅、农旅、渔港经济、设施农业等建区以来重点发展的产业仍处于婴儿期，亟需壮大规模、做大体量，对全区经济形成支撑作用。</w:t>
      </w:r>
    </w:p>
    <w:p>
      <w:pPr>
        <w:rPr>
          <w:rFonts w:hint="default"/>
          <w:lang w:val="en-US" w:eastAsia="zh-CN"/>
        </w:rPr>
      </w:pPr>
      <w:r>
        <w:rPr>
          <w:rFonts w:hint="eastAsia"/>
          <w:b/>
          <w:bCs/>
          <w:lang w:val="en-US" w:eastAsia="zh-CN"/>
        </w:rPr>
        <w:t>四是培育产业项目引入慢。</w:t>
      </w:r>
      <w:r>
        <w:rPr>
          <w:rFonts w:hint="eastAsia"/>
          <w:lang w:val="en-US" w:eastAsia="zh-CN"/>
        </w:rPr>
        <w:t>主题乐园、农渔加工、现代商贸、冷链物流、现代农业等产业领域大项目引入较慢，难觅具有引领示范作用、能够引爆产业发展的项目。</w:t>
      </w:r>
    </w:p>
    <w:p>
      <w:pPr>
        <w:pStyle w:val="4"/>
        <w:numPr>
          <w:ilvl w:val="0"/>
          <w:numId w:val="2"/>
        </w:numPr>
        <w:bidi w:val="0"/>
        <w:rPr>
          <w:rFonts w:hint="eastAsia"/>
          <w:b w:val="0"/>
          <w:lang w:val="en-US" w:eastAsia="zh-CN"/>
        </w:rPr>
      </w:pPr>
      <w:bookmarkStart w:id="54" w:name="_Toc14994"/>
      <w:bookmarkStart w:id="55" w:name="_Toc17151"/>
      <w:r>
        <w:rPr>
          <w:rFonts w:hint="eastAsia"/>
          <w:b w:val="0"/>
          <w:lang w:val="en-US" w:eastAsia="zh-CN"/>
        </w:rPr>
        <w:t>纵观历史当代，崖州发展找了到“南”，就不难了</w:t>
      </w:r>
      <w:bookmarkEnd w:id="51"/>
      <w:bookmarkEnd w:id="54"/>
      <w:bookmarkEnd w:id="55"/>
    </w:p>
    <w:p>
      <w:pPr>
        <w:rPr>
          <w:rFonts w:hint="eastAsia"/>
          <w:lang w:val="en-US" w:eastAsia="zh-CN"/>
        </w:rPr>
      </w:pPr>
      <w:r>
        <w:rPr>
          <w:rFonts w:hint="eastAsia"/>
          <w:lang w:val="en-US" w:eastAsia="zh-CN"/>
        </w:rPr>
        <w:t>崖州历史文化、社会发展、产业经济中的重大要素都与“南”密切相关，千年历史反复验证一件事：“南”是崖州运势的原点，崖州因“南”而生，也必将因“南”而兴。</w:t>
      </w:r>
    </w:p>
    <w:p>
      <w:pPr>
        <w:rPr>
          <w:rFonts w:hint="default"/>
          <w:lang w:val="en-US" w:eastAsia="zh-CN"/>
        </w:rPr>
      </w:pPr>
      <w:r>
        <w:rPr>
          <w:rFonts w:hint="eastAsia"/>
          <w:lang w:val="en-US" w:eastAsia="zh-CN"/>
        </w:rPr>
        <w:t>“地势极而南溟深，天柱高而北辰远”（</w:t>
      </w:r>
      <w:r>
        <w:rPr>
          <w:rFonts w:hint="eastAsia" w:ascii="楷体" w:hAnsi="楷体" w:eastAsia="楷体" w:cs="楷体"/>
          <w:lang w:val="en-US" w:eastAsia="zh-CN"/>
        </w:rPr>
        <w:t>《</w:t>
      </w:r>
      <w:r>
        <w:rPr>
          <w:rFonts w:hint="eastAsia"/>
          <w:lang w:val="en-US" w:eastAsia="zh-CN"/>
        </w:rPr>
        <w:t>滕王阁序</w:t>
      </w:r>
      <w:r>
        <w:rPr>
          <w:rFonts w:hint="eastAsia" w:ascii="楷体" w:hAnsi="楷体" w:eastAsia="楷体" w:cs="楷体"/>
          <w:lang w:val="en-US" w:eastAsia="zh-CN"/>
        </w:rPr>
        <w:t>》</w:t>
      </w:r>
      <w:r>
        <w:rPr>
          <w:rFonts w:hint="eastAsia"/>
          <w:lang w:val="en-US" w:eastAsia="zh-CN"/>
        </w:rPr>
        <w:t>），崖州因地处疆之南而受到历代中央王朝的关照早早设郡，因地处疆之南而接纳了南下贬官、带来茂盛的中原文化，因南海而接纳包容渡洋而来的不同民族、宗教、文化，因丝绸之路吸收了南洋文化和海洋文化，迎来送往一波又一波僧侣商贾探险家。时至今日，中国最南的南山香火兴盛，中国最南的洋田冬季瓜菜、热带水果和南繁育种蓬勃发展，中国最南的中心渔港和果蔬批发市场交易繁荣，南繁和南海锚定了崖州湾科技城的战略定位。崖州的历史经验证明，</w:t>
      </w:r>
      <w:r>
        <w:rPr>
          <w:rFonts w:hint="eastAsia"/>
          <w:b w:val="0"/>
          <w:bCs w:val="0"/>
          <w:lang w:val="en-US" w:eastAsia="zh-CN"/>
        </w:rPr>
        <w:t>崖州诸事不怕难，就怕找不到“南”，找到了“南”，就不难了，</w:t>
      </w:r>
      <w:r>
        <w:rPr>
          <w:rFonts w:hint="eastAsia"/>
          <w:b/>
          <w:bCs/>
          <w:lang w:val="en-US" w:eastAsia="zh-CN"/>
        </w:rPr>
        <w:t>崖州产业经济体系围绕“南”做足文章</w:t>
      </w:r>
      <w:r>
        <w:rPr>
          <w:rFonts w:hint="eastAsia"/>
          <w:lang w:val="en-US" w:eastAsia="zh-CN"/>
        </w:rPr>
        <w:t>，达到事半功倍效果。</w:t>
      </w:r>
    </w:p>
    <w:p>
      <w:pPr>
        <w:rPr>
          <w:rFonts w:hint="eastAsia"/>
          <w:lang w:val="en-US" w:eastAsia="zh-CN"/>
        </w:rPr>
      </w:pPr>
      <w:r>
        <w:rPr>
          <w:rFonts w:hint="eastAsia"/>
          <w:lang w:val="en-US" w:eastAsia="zh-CN"/>
        </w:rPr>
        <w:t>纵览中西方的历史可以发现，政治军事上的战略要地，都成为今天经济发展的战略要地。尽管崖州远在南海极边，但历史上多次直接接受来自中央王朝的重点关照，</w:t>
      </w:r>
      <w:r>
        <w:rPr>
          <w:rFonts w:hint="eastAsia"/>
          <w:b/>
          <w:bCs/>
          <w:lang w:val="en-US" w:eastAsia="zh-CN"/>
        </w:rPr>
        <w:t>历朝历代中央政府始终把偏居南疆一隅的崖州放在全国全局的战略中思考</w:t>
      </w:r>
      <w:r>
        <w:rPr>
          <w:rFonts w:hint="eastAsia"/>
          <w:b w:val="0"/>
          <w:bCs w:val="0"/>
          <w:lang w:val="en-US" w:eastAsia="zh-CN"/>
        </w:rPr>
        <w:t>，今时今日又一次成为国家级重大战略的落子之地，</w:t>
      </w:r>
      <w:r>
        <w:rPr>
          <w:rFonts w:hint="eastAsia"/>
          <w:b/>
          <w:bCs/>
          <w:lang w:val="en-US" w:eastAsia="zh-CN"/>
        </w:rPr>
        <w:t>崖州再次承担起服务保障国家重大战略的历史使命</w:t>
      </w:r>
      <w:r>
        <w:rPr>
          <w:rFonts w:hint="eastAsia"/>
          <w:b w:val="0"/>
          <w:bCs w:val="0"/>
          <w:lang w:val="en-US" w:eastAsia="zh-CN"/>
        </w:rPr>
        <w:t>，</w:t>
      </w:r>
      <w:r>
        <w:rPr>
          <w:rFonts w:hint="eastAsia"/>
          <w:lang w:val="en-US" w:eastAsia="zh-CN"/>
        </w:rPr>
        <w:t>崖州必将超越历史辉煌、走向崭新的高度。</w:t>
      </w:r>
      <w:r>
        <w:rPr>
          <w:rFonts w:hint="eastAsia"/>
          <w:lang w:val="en-US" w:eastAsia="zh-CN"/>
        </w:rPr>
        <w:br w:type="page"/>
      </w: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pStyle w:val="2"/>
        <w:bidi w:val="0"/>
        <w:rPr>
          <w:rFonts w:hint="eastAsia"/>
          <w:lang w:val="en-US" w:eastAsia="zh-CN"/>
        </w:rPr>
      </w:pPr>
      <w:bookmarkStart w:id="56" w:name="_Toc16243"/>
      <w:bookmarkStart w:id="57" w:name="_Toc17951"/>
      <w:bookmarkStart w:id="58" w:name="_Toc4449"/>
      <w:r>
        <w:rPr>
          <w:rFonts w:hint="eastAsia"/>
          <w:lang w:val="en-US" w:eastAsia="zh-CN"/>
        </w:rPr>
        <w:t>第二章  发展战略</w:t>
      </w:r>
      <w:bookmarkEnd w:id="56"/>
      <w:bookmarkEnd w:id="57"/>
      <w:bookmarkEnd w:id="58"/>
    </w:p>
    <w:p>
      <w:pPr>
        <w:rPr>
          <w:rFonts w:hint="eastAsia"/>
          <w:lang w:val="en-US" w:eastAsia="zh-CN"/>
        </w:rPr>
      </w:pPr>
      <w:r>
        <w:rPr>
          <w:rFonts w:hint="eastAsia" w:ascii="仿宋_GB2312" w:eastAsia="仿宋_GB2312"/>
          <w:lang w:val="en-US" w:eastAsia="zh-CN"/>
        </w:rPr>
        <w:br w:type="page"/>
      </w:r>
    </w:p>
    <w:p>
      <w:pPr>
        <w:pStyle w:val="3"/>
        <w:bidi w:val="0"/>
        <w:rPr>
          <w:rFonts w:hint="default"/>
          <w:lang w:val="en-US" w:eastAsia="zh-CN"/>
        </w:rPr>
      </w:pPr>
      <w:bookmarkStart w:id="59" w:name="_Toc25786"/>
      <w:bookmarkStart w:id="60" w:name="_Toc22712"/>
      <w:bookmarkStart w:id="61" w:name="_Toc12263"/>
      <w:r>
        <w:rPr>
          <w:rFonts w:hint="eastAsia"/>
          <w:lang w:val="en-US" w:eastAsia="zh-CN"/>
        </w:rPr>
        <w:t>第一节  发展战略</w:t>
      </w:r>
      <w:bookmarkEnd w:id="59"/>
      <w:bookmarkEnd w:id="60"/>
      <w:bookmarkEnd w:id="61"/>
    </w:p>
    <w:p>
      <w:pPr>
        <w:pStyle w:val="4"/>
        <w:bidi w:val="0"/>
        <w:rPr>
          <w:rFonts w:hint="eastAsia"/>
          <w:lang w:val="en-US" w:eastAsia="zh-CN"/>
        </w:rPr>
      </w:pPr>
      <w:bookmarkStart w:id="62" w:name="_Toc2329"/>
      <w:bookmarkStart w:id="63" w:name="_Toc14799"/>
      <w:bookmarkStart w:id="64" w:name="_Toc8626"/>
      <w:r>
        <w:rPr>
          <w:rFonts w:hint="eastAsia"/>
          <w:lang w:val="en-US" w:eastAsia="zh-CN"/>
        </w:rPr>
        <w:t>一、总体思路</w:t>
      </w:r>
      <w:bookmarkEnd w:id="62"/>
      <w:bookmarkEnd w:id="63"/>
      <w:bookmarkEnd w:id="64"/>
    </w:p>
    <w:p>
      <w:pPr>
        <w:bidi w:val="0"/>
        <w:rPr>
          <w:rFonts w:hint="eastAsia" w:ascii="方正仿宋_GBK" w:hAnsi="方正仿宋_GBK" w:eastAsia="方正仿宋_GBK" w:cs="方正仿宋_GBK"/>
          <w:lang w:val="en-US" w:eastAsia="zh-CN"/>
        </w:rPr>
      </w:pPr>
      <w:r>
        <w:rPr>
          <w:rFonts w:hint="eastAsia"/>
          <w:lang w:val="en-US" w:eastAsia="zh-CN"/>
        </w:rPr>
        <w:t>把握海南自由贸</w:t>
      </w:r>
      <w:r>
        <w:rPr>
          <w:rFonts w:hint="eastAsia" w:ascii="仿宋_GB2312" w:hAnsi="仿宋_GB2312" w:eastAsia="仿宋_GB2312" w:cs="仿宋_GB2312"/>
          <w:lang w:val="en-US" w:eastAsia="zh-CN"/>
        </w:rPr>
        <w:t>易港建设重大机遇，主动对接“三区一中心”战略定位和自贸港制度设计，突出崖州“大三亚”西翼支点地位，实现与崖州湾科技城融合发展，重点打造</w:t>
      </w:r>
      <w:r>
        <w:rPr>
          <w:rFonts w:hint="eastAsia" w:ascii="仿宋_GB2312" w:hAnsi="仿宋_GB2312" w:eastAsia="仿宋_GB2312" w:cs="仿宋_GB2312"/>
          <w:u w:val="single"/>
          <w:lang w:val="en-US" w:eastAsia="zh-CN"/>
        </w:rPr>
        <w:t>旅游业</w:t>
      </w:r>
      <w:r>
        <w:rPr>
          <w:rFonts w:hint="eastAsia" w:ascii="仿宋_GB2312" w:hAnsi="仿宋_GB2312" w:eastAsia="仿宋_GB2312" w:cs="仿宋_GB2312"/>
          <w:lang w:val="en-US" w:eastAsia="zh-CN"/>
        </w:rPr>
        <w:t>、</w:t>
      </w:r>
      <w:r>
        <w:rPr>
          <w:rFonts w:hint="eastAsia" w:ascii="仿宋_GB2312" w:hAnsi="仿宋_GB2312" w:eastAsia="仿宋_GB2312" w:cs="仿宋_GB2312"/>
          <w:u w:val="single"/>
          <w:lang w:val="en-US" w:eastAsia="zh-CN"/>
        </w:rPr>
        <w:t>热带农业</w:t>
      </w:r>
      <w:r>
        <w:rPr>
          <w:rFonts w:hint="eastAsia" w:ascii="仿宋_GB2312" w:hAnsi="仿宋_GB2312" w:eastAsia="仿宋_GB2312" w:cs="仿宋_GB2312"/>
          <w:b/>
          <w:bCs/>
          <w:lang w:val="en-US" w:eastAsia="zh-CN"/>
        </w:rPr>
        <w:t>两大主导产业</w:t>
      </w:r>
      <w:r>
        <w:rPr>
          <w:rFonts w:hint="eastAsia" w:ascii="仿宋_GB2312" w:hAnsi="仿宋_GB2312" w:eastAsia="仿宋_GB2312" w:cs="仿宋_GB2312"/>
          <w:lang w:val="en-US" w:eastAsia="zh-CN"/>
        </w:rPr>
        <w:t>，大力提升</w:t>
      </w:r>
      <w:r>
        <w:rPr>
          <w:rFonts w:hint="eastAsia" w:ascii="仿宋_GB2312" w:hAnsi="仿宋_GB2312" w:eastAsia="仿宋_GB2312" w:cs="仿宋_GB2312"/>
          <w:u w:val="single"/>
          <w:lang w:val="en-US" w:eastAsia="zh-CN"/>
        </w:rPr>
        <w:t>商贸物流业</w:t>
      </w:r>
      <w:r>
        <w:rPr>
          <w:rFonts w:hint="eastAsia" w:ascii="仿宋_GB2312" w:hAnsi="仿宋_GB2312" w:eastAsia="仿宋_GB2312" w:cs="仿宋_GB2312"/>
          <w:lang w:val="en-US" w:eastAsia="zh-CN"/>
        </w:rPr>
        <w:t>、</w:t>
      </w:r>
      <w:r>
        <w:rPr>
          <w:rFonts w:hint="eastAsia" w:ascii="仿宋_GB2312" w:hAnsi="仿宋_GB2312" w:eastAsia="仿宋_GB2312" w:cs="仿宋_GB2312"/>
          <w:u w:val="single"/>
          <w:lang w:val="en-US" w:eastAsia="zh-CN"/>
        </w:rPr>
        <w:t>现代渔业</w:t>
      </w:r>
      <w:r>
        <w:rPr>
          <w:rFonts w:hint="eastAsia" w:ascii="仿宋_GB2312" w:hAnsi="仿宋_GB2312" w:eastAsia="仿宋_GB2312" w:cs="仿宋_GB2312"/>
          <w:b/>
          <w:bCs/>
          <w:lang w:val="en-US" w:eastAsia="zh-CN"/>
        </w:rPr>
        <w:t>两大优势产业</w:t>
      </w:r>
      <w:r>
        <w:rPr>
          <w:rFonts w:hint="eastAsia" w:ascii="仿宋_GB2312" w:hAnsi="仿宋_GB2312" w:eastAsia="仿宋_GB2312" w:cs="仿宋_GB2312"/>
          <w:lang w:val="en-US" w:eastAsia="zh-CN"/>
        </w:rPr>
        <w:t>，积极培育</w:t>
      </w:r>
      <w:r>
        <w:rPr>
          <w:rFonts w:hint="eastAsia" w:ascii="仿宋_GB2312" w:hAnsi="仿宋_GB2312" w:eastAsia="仿宋_GB2312" w:cs="仿宋_GB2312"/>
          <w:u w:val="single"/>
          <w:lang w:val="en-US" w:eastAsia="zh-CN"/>
        </w:rPr>
        <w:t>绿色高端制造</w:t>
      </w:r>
      <w:r>
        <w:rPr>
          <w:rFonts w:hint="eastAsia" w:ascii="仿宋_GB2312" w:hAnsi="仿宋_GB2312" w:eastAsia="仿宋_GB2312" w:cs="仿宋_GB2312"/>
          <w:lang w:val="en-US" w:eastAsia="zh-CN"/>
        </w:rPr>
        <w:t>、</w:t>
      </w:r>
      <w:r>
        <w:rPr>
          <w:rFonts w:hint="eastAsia" w:ascii="仿宋_GB2312" w:hAnsi="仿宋_GB2312" w:eastAsia="仿宋_GB2312" w:cs="仿宋_GB2312"/>
          <w:u w:val="single"/>
          <w:lang w:val="en-US" w:eastAsia="zh-CN"/>
        </w:rPr>
        <w:t>农渔产品加工业</w:t>
      </w:r>
      <w:r>
        <w:rPr>
          <w:rFonts w:hint="eastAsia" w:ascii="仿宋_GB2312" w:hAnsi="仿宋_GB2312" w:eastAsia="仿宋_GB2312" w:cs="仿宋_GB2312"/>
          <w:b/>
          <w:bCs/>
          <w:lang w:val="en-US" w:eastAsia="zh-CN"/>
        </w:rPr>
        <w:t>两大新兴产业</w:t>
      </w:r>
      <w:r>
        <w:rPr>
          <w:rFonts w:hint="eastAsia" w:ascii="仿宋_GB2312" w:hAnsi="仿宋_GB2312" w:eastAsia="仿宋_GB2312" w:cs="仿宋_GB2312"/>
          <w:lang w:val="en-US" w:eastAsia="zh-CN"/>
        </w:rPr>
        <w:t>，形成“两带六组团”产业空间结构，引入一批具有产业号召力、产业链带动作用强、提升崖州影响力的重大产业项目，把崖州区打造成为中国南</w:t>
      </w:r>
      <w:r>
        <w:rPr>
          <w:rFonts w:hint="eastAsia"/>
          <w:lang w:val="en-US" w:eastAsia="zh-CN"/>
        </w:rPr>
        <w:t>海产业新区、大三亚西翼增长极、产城融合发展典范。</w:t>
      </w:r>
    </w:p>
    <w:p>
      <w:pPr>
        <w:pStyle w:val="4"/>
        <w:bidi w:val="0"/>
        <w:rPr>
          <w:rFonts w:hint="eastAsia"/>
          <w:lang w:val="en-US" w:eastAsia="zh-CN"/>
        </w:rPr>
      </w:pPr>
      <w:bookmarkStart w:id="65" w:name="_Toc3998"/>
      <w:bookmarkStart w:id="66" w:name="_Toc1653"/>
      <w:bookmarkStart w:id="67" w:name="_Toc8062"/>
      <w:r>
        <w:rPr>
          <w:rFonts w:hint="eastAsia"/>
          <w:lang w:val="en-US" w:eastAsia="zh-CN"/>
        </w:rPr>
        <w:t>二、战略定位：一区一极一典范</w:t>
      </w:r>
      <w:bookmarkEnd w:id="65"/>
      <w:bookmarkEnd w:id="66"/>
      <w:bookmarkEnd w:id="67"/>
    </w:p>
    <w:p>
      <w:pPr>
        <w:pStyle w:val="5"/>
        <w:bidi w:val="0"/>
        <w:rPr>
          <w:rFonts w:hint="default"/>
          <w:lang w:val="en-US" w:eastAsia="zh-CN"/>
        </w:rPr>
      </w:pPr>
      <w:bookmarkStart w:id="68" w:name="_Toc25777"/>
      <w:bookmarkStart w:id="69" w:name="_Toc1175"/>
      <w:bookmarkStart w:id="70" w:name="_Toc776"/>
      <w:r>
        <w:rPr>
          <w:rFonts w:hint="eastAsia"/>
          <w:lang w:val="en-US" w:eastAsia="zh-CN"/>
        </w:rPr>
        <w:t>战略定位1：中国南海产业新区</w:t>
      </w:r>
      <w:bookmarkEnd w:id="68"/>
      <w:bookmarkEnd w:id="69"/>
      <w:bookmarkEnd w:id="70"/>
    </w:p>
    <w:p>
      <w:pPr>
        <w:rPr>
          <w:rFonts w:hint="default"/>
          <w:lang w:val="en-US" w:eastAsia="zh-CN"/>
        </w:rPr>
      </w:pPr>
      <w:r>
        <w:rPr>
          <w:rFonts w:hint="eastAsia"/>
          <w:lang w:val="en-US" w:eastAsia="zh-CN"/>
        </w:rPr>
        <w:t>崖州地处海南岛南端、直面广袤南海、因南海而生、因南海而兴，围绕南海构建现代产业体系是崖州的优势机遇，也是崖州的历史使命。利用南海之滨热带资源发展现代农业，积极走向深远海建设南海渔业基地，光大南海文化发展文旅产业，培育沙滩体育旅游、主题乐园游产业，打造南海商贸物流门户基地，把崖州发展成为依托南海、开发南海、服务南海、保障南海的产业新区。</w:t>
      </w:r>
    </w:p>
    <w:tbl>
      <w:tblPr>
        <w:tblStyle w:val="18"/>
        <w:tblW w:w="0" w:type="auto"/>
        <w:tblInd w:w="0" w:type="dxa"/>
        <w:tblBorders>
          <w:top w:val="thinThickSmallGap" w:color="auto" w:sz="2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thinThickSmallGap" w:color="auto" w:sz="2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24" w:hRule="atLeast"/>
        </w:trPr>
        <w:tc>
          <w:tcPr>
            <w:tcW w:w="8522" w:type="dxa"/>
            <w:tcBorders>
              <w:top w:val="thinThickSmallGap" w:color="A4A4A4" w:sz="12" w:space="0"/>
              <w:bottom w:val="thickThinSmallGap" w:color="A4A4A4" w:sz="12" w:space="0"/>
            </w:tcBorders>
          </w:tcPr>
          <w:p>
            <w:pPr>
              <w:pStyle w:val="31"/>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b/>
                <w:bCs/>
                <w:sz w:val="24"/>
                <w:szCs w:val="24"/>
                <w:lang w:val="en-US" w:eastAsia="zh-CN"/>
              </w:rPr>
            </w:pPr>
            <w:r>
              <w:rPr>
                <w:rFonts w:hint="eastAsia"/>
                <w:b/>
                <w:bCs/>
                <w:sz w:val="24"/>
                <w:szCs w:val="24"/>
                <w:lang w:val="en-US" w:eastAsia="zh-CN"/>
              </w:rPr>
              <w:t>专栏1  案例借鉴：浙江省舟山市面向东海大力发展海洋经济</w:t>
            </w:r>
          </w:p>
          <w:p>
            <w:pPr>
              <w:pStyle w:val="3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val="0"/>
                <w:bCs w:val="0"/>
                <w:sz w:val="24"/>
                <w:szCs w:val="24"/>
                <w:lang w:val="en-US" w:eastAsia="zh-CN"/>
              </w:rPr>
            </w:pPr>
            <w:r>
              <w:rPr>
                <w:rFonts w:hint="eastAsia"/>
                <w:b w:val="0"/>
                <w:bCs w:val="0"/>
                <w:sz w:val="24"/>
                <w:szCs w:val="24"/>
                <w:lang w:val="en-US" w:eastAsia="zh-CN"/>
              </w:rPr>
              <w:t>舟山是群岛市，岛屿深入东海，是我国保卫海疆、开发东海、发展海洋经济的前沿。舟山是浙江自贸区的组成部分，提出建设创新舟山、开放舟山、品质舟山、幸福舟山“四个舟山”，推进与近邻宁波的甬舟一体化战略，打造临港制造、绿色石化、港贸物流、海洋旅游等海洋产业，为我国开发东海渔业资源、保障海上运输通道、确保能源安全作出重要贡献。</w:t>
            </w:r>
          </w:p>
          <w:p>
            <w:pPr>
              <w:pStyle w:val="3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b w:val="0"/>
                <w:bCs w:val="0"/>
                <w:sz w:val="24"/>
                <w:szCs w:val="24"/>
                <w:lang w:val="en-US" w:eastAsia="zh-CN"/>
              </w:rPr>
            </w:pPr>
            <w:r>
              <w:rPr>
                <w:rFonts w:hint="eastAsia"/>
                <w:b w:val="0"/>
                <w:bCs w:val="0"/>
                <w:sz w:val="24"/>
                <w:szCs w:val="24"/>
                <w:lang w:val="en-US" w:eastAsia="zh-CN"/>
              </w:rPr>
              <w:t>舟山与崖州有相似之处，都是佛教旅游胜地，宗教文化旅游“一枝独秀”。舟山提出建设动感、时尚、健康、快乐的海洋度假旅游目的地，发展海滨游、海上游、康体游、生态游、休闲运动（海钓、游艇、帆船、高尔夫、沙滩运动）、宗教游、渔农村游等产品。</w:t>
            </w:r>
          </w:p>
        </w:tc>
      </w:tr>
    </w:tbl>
    <w:p>
      <w:pPr>
        <w:pStyle w:val="5"/>
        <w:bidi w:val="0"/>
        <w:rPr>
          <w:rFonts w:hint="default"/>
          <w:lang w:val="en-US" w:eastAsia="zh-CN"/>
        </w:rPr>
      </w:pPr>
      <w:bookmarkStart w:id="71" w:name="_Toc28935"/>
      <w:bookmarkStart w:id="72" w:name="_Toc3822"/>
      <w:bookmarkStart w:id="73" w:name="_Toc8638"/>
      <w:r>
        <w:rPr>
          <w:rFonts w:hint="eastAsia"/>
          <w:lang w:val="en-US" w:eastAsia="zh-CN"/>
        </w:rPr>
        <w:t>战略定位2：大三亚西翼增长极</w:t>
      </w:r>
      <w:bookmarkEnd w:id="71"/>
      <w:bookmarkEnd w:id="72"/>
      <w:bookmarkEnd w:id="73"/>
    </w:p>
    <w:p>
      <w:pPr>
        <w:rPr>
          <w:rFonts w:hint="default"/>
          <w:lang w:val="en-US" w:eastAsia="zh-CN"/>
        </w:rPr>
      </w:pPr>
      <w:r>
        <w:rPr>
          <w:rFonts w:hint="eastAsia"/>
          <w:lang w:val="en-US" w:eastAsia="zh-CN"/>
        </w:rPr>
        <w:t>与“大三亚”东翼相比，西翼一体化进展较慢，区域结构较为松散，需要出现一个联络三亚与乐东、九所、黄流的区域次中心。崖州是琼南历史上的政治经济文化中心，现在是大三亚瓜菜水果集散地，要发挥好历史文脉相连、区域位置适中、产业联系紧密、科技城建设等优势，在西翼一体化进程中“东联西引”，发展进出岛瓜菜集散地、保税型水产品物流加工交易基地、农产品电子商务、农渔产品加工、区域商业消费中心等可以辐射带动周边的现代产业，把崖州打造成为服务“大三亚”的枢纽型节点，成为推进“大三亚”西翼一体化进程的重要发动机。</w:t>
      </w:r>
    </w:p>
    <w:tbl>
      <w:tblPr>
        <w:tblStyle w:val="18"/>
        <w:tblW w:w="0" w:type="auto"/>
        <w:tblInd w:w="0" w:type="dxa"/>
        <w:tblBorders>
          <w:top w:val="thinThickSmallGap" w:color="auto" w:sz="2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thinThickSmallGap" w:color="auto" w:sz="2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22" w:type="dxa"/>
            <w:tcBorders>
              <w:top w:val="thinThickSmallGap" w:color="A4A4A4" w:sz="12" w:space="0"/>
              <w:bottom w:val="thickThinSmallGap" w:color="A4A4A4" w:sz="12" w:space="0"/>
            </w:tcBorders>
          </w:tcPr>
          <w:p>
            <w:pPr>
              <w:pStyle w:val="31"/>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b/>
                <w:bCs/>
                <w:sz w:val="24"/>
                <w:szCs w:val="24"/>
                <w:lang w:val="en-US" w:eastAsia="zh-CN"/>
              </w:rPr>
            </w:pPr>
            <w:r>
              <w:rPr>
                <w:rFonts w:hint="eastAsia"/>
                <w:b/>
                <w:bCs/>
                <w:sz w:val="24"/>
                <w:szCs w:val="24"/>
                <w:lang w:val="en-US" w:eastAsia="zh-CN"/>
              </w:rPr>
              <w:t>专栏2  崖州在大三亚区域一体化协调发展中的重要作用</w:t>
            </w:r>
          </w:p>
          <w:p>
            <w:pPr>
              <w:pStyle w:val="3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b w:val="0"/>
                <w:bCs w:val="0"/>
                <w:sz w:val="24"/>
                <w:szCs w:val="24"/>
                <w:lang w:val="en-US" w:eastAsia="zh-CN"/>
              </w:rPr>
            </w:pPr>
            <w:r>
              <w:rPr>
                <w:rFonts w:hint="default"/>
                <w:b w:val="0"/>
                <w:bCs w:val="0"/>
                <w:sz w:val="24"/>
                <w:szCs w:val="24"/>
                <w:lang w:val="en-US" w:eastAsia="zh-CN"/>
              </w:rPr>
              <w:t>三亚是大三亚区域一体化的核心，陵水以旅游文化教育产业为</w:t>
            </w:r>
            <w:r>
              <w:rPr>
                <w:rFonts w:hint="eastAsia"/>
                <w:b w:val="0"/>
                <w:bCs w:val="0"/>
                <w:sz w:val="24"/>
                <w:szCs w:val="24"/>
                <w:lang w:val="en-US" w:eastAsia="zh-CN"/>
              </w:rPr>
              <w:t>重点</w:t>
            </w:r>
            <w:r>
              <w:rPr>
                <w:rFonts w:hint="default"/>
                <w:b w:val="0"/>
                <w:bCs w:val="0"/>
                <w:sz w:val="24"/>
                <w:szCs w:val="24"/>
                <w:lang w:val="en-US" w:eastAsia="zh-CN"/>
              </w:rPr>
              <w:t>，打造国际教育试验区、旅游创新交流基地和世界一流的度假胜地</w:t>
            </w:r>
            <w:r>
              <w:rPr>
                <w:rFonts w:hint="eastAsia"/>
                <w:b w:val="0"/>
                <w:bCs w:val="0"/>
                <w:sz w:val="24"/>
                <w:szCs w:val="24"/>
                <w:lang w:val="en-US" w:eastAsia="zh-CN"/>
              </w:rPr>
              <w:t>。</w:t>
            </w:r>
            <w:r>
              <w:rPr>
                <w:rFonts w:hint="default"/>
                <w:b w:val="0"/>
                <w:bCs w:val="0"/>
                <w:sz w:val="24"/>
                <w:szCs w:val="24"/>
                <w:lang w:val="en-US" w:eastAsia="zh-CN"/>
              </w:rPr>
              <w:t>大三亚一体化</w:t>
            </w:r>
            <w:r>
              <w:rPr>
                <w:rFonts w:hint="eastAsia"/>
                <w:b w:val="0"/>
                <w:bCs w:val="0"/>
                <w:sz w:val="24"/>
                <w:szCs w:val="24"/>
                <w:lang w:val="en-US" w:eastAsia="zh-CN"/>
              </w:rPr>
              <w:t>东翼</w:t>
            </w:r>
            <w:r>
              <w:rPr>
                <w:rFonts w:hint="default"/>
                <w:b w:val="0"/>
                <w:bCs w:val="0"/>
                <w:sz w:val="24"/>
                <w:szCs w:val="24"/>
                <w:lang w:val="en-US" w:eastAsia="zh-CN"/>
              </w:rPr>
              <w:t>进程较快，</w:t>
            </w:r>
            <w:r>
              <w:rPr>
                <w:rFonts w:hint="eastAsia"/>
                <w:b w:val="0"/>
                <w:bCs w:val="0"/>
                <w:sz w:val="24"/>
                <w:szCs w:val="24"/>
                <w:lang w:val="en-US" w:eastAsia="zh-CN"/>
              </w:rPr>
              <w:t>陵</w:t>
            </w:r>
            <w:r>
              <w:rPr>
                <w:rFonts w:hint="default"/>
                <w:b w:val="0"/>
                <w:bCs w:val="0"/>
                <w:sz w:val="24"/>
                <w:szCs w:val="24"/>
                <w:lang w:val="en-US" w:eastAsia="zh-CN"/>
              </w:rPr>
              <w:t>水与三亚逐渐连为一体，保亭把发展重点向南部倾斜</w:t>
            </w:r>
            <w:r>
              <w:rPr>
                <w:rFonts w:hint="eastAsia"/>
                <w:b w:val="0"/>
                <w:bCs w:val="0"/>
                <w:sz w:val="24"/>
                <w:szCs w:val="24"/>
                <w:lang w:val="en-US" w:eastAsia="zh-CN"/>
              </w:rPr>
              <w:t>，加快融入大三亚的步伐</w:t>
            </w:r>
            <w:r>
              <w:rPr>
                <w:rFonts w:hint="default"/>
                <w:b w:val="0"/>
                <w:bCs w:val="0"/>
                <w:sz w:val="24"/>
                <w:szCs w:val="24"/>
                <w:lang w:val="en-US" w:eastAsia="zh-CN"/>
              </w:rPr>
              <w:t>。</w:t>
            </w:r>
          </w:p>
          <w:p>
            <w:pPr>
              <w:pStyle w:val="3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b w:val="0"/>
                <w:bCs w:val="0"/>
                <w:sz w:val="28"/>
                <w:szCs w:val="28"/>
                <w:lang w:val="en-US" w:eastAsia="zh-CN"/>
              </w:rPr>
            </w:pPr>
            <w:r>
              <w:rPr>
                <w:rFonts w:hint="eastAsia"/>
                <w:b w:val="0"/>
                <w:bCs w:val="0"/>
                <w:sz w:val="24"/>
                <w:szCs w:val="24"/>
                <w:lang w:val="en-US" w:eastAsia="zh-CN"/>
              </w:rPr>
              <w:t>西翼由于城镇布局分散、产业结构相似、交通联络不紧密等原因，一体化进程落后于东翼，天然需要一个号召能力较强、可以联络三亚核心的次中心出现。崖州位于大三亚西翼几何中心位置，是三亚核心功能向西翼辐射的跳板和放大器，是西翼城镇功能与三亚联系不可或缺的支点。崖州历史上是西翼地区中心，具有较强的心理认同感，三亚崖州湾科技城的建设进一步强化了崖州在大三亚西翼的重要地位。崖州具有成为大三亚区域一体化次级中心节点的条件，通过加快发展商贸物流、消费服务业、建材家居、现代农渔业、文旅产业、体育旅游产品等带动周边发展，加快大三亚区域一体化进程。</w:t>
            </w:r>
          </w:p>
        </w:tc>
      </w:tr>
    </w:tbl>
    <w:p>
      <w:pPr>
        <w:pStyle w:val="5"/>
        <w:bidi w:val="0"/>
        <w:rPr>
          <w:rFonts w:hint="default"/>
          <w:lang w:val="en-US" w:eastAsia="zh-CN"/>
        </w:rPr>
      </w:pPr>
      <w:bookmarkStart w:id="74" w:name="_Toc21762"/>
      <w:bookmarkStart w:id="75" w:name="_Toc15396"/>
      <w:bookmarkStart w:id="76" w:name="_Toc8142"/>
      <w:r>
        <w:rPr>
          <w:rFonts w:hint="eastAsia"/>
          <w:lang w:val="en-US" w:eastAsia="zh-CN"/>
        </w:rPr>
        <w:t>战略定位3：产城融合发展典范</w:t>
      </w:r>
      <w:bookmarkEnd w:id="74"/>
      <w:bookmarkEnd w:id="75"/>
      <w:bookmarkEnd w:id="76"/>
    </w:p>
    <w:p>
      <w:pPr>
        <w:rPr>
          <w:rFonts w:hint="eastAsia"/>
          <w:lang w:val="en-US" w:eastAsia="zh-CN"/>
        </w:rPr>
      </w:pPr>
      <w:r>
        <w:rPr>
          <w:rFonts w:hint="eastAsia"/>
          <w:lang w:val="en-US" w:eastAsia="zh-CN"/>
        </w:rPr>
        <w:t>三亚崖州湾科技城是自贸港重点园区，重点发展深海科技城、南繁科技城和大学城三大功能板块，具有重大战略意义。崖州区乘势而上、借力用力，积极对接延长科技城的创新链、产业链，承接转化南繁育种、热带瓜菜、特色水果、花卉苗木、水产养殖等领域新品种、新技术，打造就近就地转化科技成果的承接区。同时积极对接科研院所高校人群需求，发展高端生活服务、高端生活社区、时尚休闲体验、沙滩运动体验、观光休闲农渔业等现代服务业，打造服务功能齐备、生态环境俱佳的生活宜居区。</w:t>
      </w:r>
    </w:p>
    <w:tbl>
      <w:tblPr>
        <w:tblStyle w:val="18"/>
        <w:tblW w:w="0" w:type="auto"/>
        <w:tblInd w:w="0" w:type="dxa"/>
        <w:tblBorders>
          <w:top w:val="thinThickSmallGap" w:color="auto" w:sz="2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thinThickSmallGap" w:color="auto" w:sz="2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22" w:type="dxa"/>
            <w:tcBorders>
              <w:top w:val="thinThickSmallGap" w:color="A4A4A4" w:sz="12" w:space="0"/>
              <w:bottom w:val="thickThinSmallGap" w:color="A4A4A4" w:sz="12" w:space="0"/>
            </w:tcBorders>
          </w:tcPr>
          <w:p>
            <w:pPr>
              <w:pStyle w:val="31"/>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b/>
                <w:bCs/>
                <w:sz w:val="24"/>
                <w:szCs w:val="24"/>
                <w:lang w:val="en-US" w:eastAsia="zh-CN"/>
              </w:rPr>
            </w:pPr>
            <w:r>
              <w:rPr>
                <w:rFonts w:hint="eastAsia"/>
                <w:b/>
                <w:bCs/>
                <w:sz w:val="24"/>
                <w:szCs w:val="24"/>
                <w:lang w:val="en-US" w:eastAsia="zh-CN"/>
              </w:rPr>
              <w:t>专栏3  案例借鉴：日本筑波科技城、台湾新竹科技城与周边地区融合发展</w:t>
            </w:r>
          </w:p>
          <w:p>
            <w:pPr>
              <w:pStyle w:val="3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b w:val="0"/>
                <w:bCs w:val="0"/>
                <w:sz w:val="24"/>
                <w:szCs w:val="24"/>
                <w:lang w:val="en-US" w:eastAsia="zh-CN"/>
              </w:rPr>
            </w:pPr>
            <w:r>
              <w:rPr>
                <w:rFonts w:hint="eastAsia"/>
                <w:b w:val="0"/>
                <w:bCs w:val="0"/>
                <w:sz w:val="24"/>
                <w:szCs w:val="24"/>
                <w:lang w:val="en-US" w:eastAsia="zh-CN"/>
              </w:rPr>
              <w:t>（1）</w:t>
            </w:r>
            <w:r>
              <w:rPr>
                <w:rFonts w:hint="default"/>
                <w:b w:val="0"/>
                <w:bCs w:val="0"/>
                <w:sz w:val="24"/>
                <w:szCs w:val="24"/>
                <w:lang w:val="en-US" w:eastAsia="zh-CN"/>
              </w:rPr>
              <w:t>日本筑波科学城</w:t>
            </w:r>
            <w:r>
              <w:rPr>
                <w:rFonts w:hint="eastAsia"/>
                <w:b w:val="0"/>
                <w:bCs w:val="0"/>
                <w:sz w:val="24"/>
                <w:szCs w:val="24"/>
                <w:lang w:val="en-US" w:eastAsia="zh-CN"/>
              </w:rPr>
              <w:t>建设了</w:t>
            </w:r>
            <w:r>
              <w:rPr>
                <w:rFonts w:hint="default"/>
                <w:b w:val="0"/>
                <w:bCs w:val="0"/>
                <w:sz w:val="24"/>
                <w:szCs w:val="24"/>
                <w:lang w:val="en-US" w:eastAsia="zh-CN"/>
              </w:rPr>
              <w:t>大量特色配套</w:t>
            </w:r>
            <w:r>
              <w:rPr>
                <w:rFonts w:hint="eastAsia"/>
                <w:b w:val="0"/>
                <w:bCs w:val="0"/>
                <w:sz w:val="24"/>
                <w:szCs w:val="24"/>
                <w:lang w:val="en-US" w:eastAsia="zh-CN"/>
              </w:rPr>
              <w:t>功能服务设施，包括筑波会展中心、筑波公共图书馆、筑波文化中心、筑波艺术博物馆、Matsumi公园、市政友谊中心等。但由于城市基础设施和配套设施始终供不应求，筑波对居住人口缺少吸引力，日常钟摆式人口流动较大。</w:t>
            </w:r>
          </w:p>
          <w:p>
            <w:pPr>
              <w:pStyle w:val="3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b w:val="0"/>
                <w:bCs w:val="0"/>
                <w:sz w:val="24"/>
                <w:szCs w:val="24"/>
                <w:lang w:val="en-US" w:eastAsia="zh-CN"/>
              </w:rPr>
            </w:pPr>
            <w:r>
              <w:rPr>
                <w:rFonts w:hint="eastAsia"/>
                <w:b w:val="0"/>
                <w:bCs w:val="0"/>
                <w:sz w:val="24"/>
                <w:szCs w:val="24"/>
                <w:lang w:val="en-US" w:eastAsia="zh-CN"/>
              </w:rPr>
              <w:t>（2）台湾新竹科学城区域由园区、大学城、香山山城、历史古迹城四大片区组成，形成科技、居住、社教、娱乐四大功能，经历了大规模基础设施建设阶段、高科技产品标准化生产主导阶段、研发与标准化生产平分秋色阶段、研发活动为主的阶段。</w:t>
            </w:r>
            <w:r>
              <w:rPr>
                <w:rFonts w:hint="default"/>
                <w:b w:val="0"/>
                <w:bCs w:val="0"/>
                <w:sz w:val="24"/>
                <w:szCs w:val="24"/>
                <w:lang w:val="en-US" w:eastAsia="zh-CN"/>
              </w:rPr>
              <w:t>香山山城</w:t>
            </w:r>
            <w:r>
              <w:rPr>
                <w:rFonts w:hint="eastAsia"/>
                <w:b w:val="0"/>
                <w:bCs w:val="0"/>
                <w:sz w:val="24"/>
                <w:szCs w:val="24"/>
                <w:lang w:val="en-US" w:eastAsia="zh-CN"/>
              </w:rPr>
              <w:t>位于</w:t>
            </w:r>
            <w:r>
              <w:rPr>
                <w:rFonts w:hint="default"/>
                <w:b w:val="0"/>
                <w:bCs w:val="0"/>
                <w:sz w:val="24"/>
                <w:szCs w:val="24"/>
                <w:lang w:val="en-US" w:eastAsia="zh-CN"/>
              </w:rPr>
              <w:t>青草湖附近，占地500公顷，</w:t>
            </w:r>
            <w:r>
              <w:rPr>
                <w:rFonts w:hint="eastAsia"/>
                <w:b w:val="0"/>
                <w:bCs w:val="0"/>
                <w:sz w:val="24"/>
                <w:szCs w:val="24"/>
                <w:lang w:val="en-US" w:eastAsia="zh-CN"/>
              </w:rPr>
              <w:t>容纳</w:t>
            </w:r>
            <w:r>
              <w:rPr>
                <w:rFonts w:hint="default"/>
                <w:b w:val="0"/>
                <w:bCs w:val="0"/>
                <w:sz w:val="24"/>
                <w:szCs w:val="24"/>
                <w:lang w:val="en-US" w:eastAsia="zh-CN"/>
              </w:rPr>
              <w:t>1.5万人居住的</w:t>
            </w:r>
            <w:r>
              <w:rPr>
                <w:rFonts w:hint="eastAsia"/>
                <w:b w:val="0"/>
                <w:bCs w:val="0"/>
                <w:sz w:val="24"/>
                <w:szCs w:val="24"/>
                <w:lang w:val="en-US" w:eastAsia="zh-CN"/>
              </w:rPr>
              <w:t>大型</w:t>
            </w:r>
            <w:r>
              <w:rPr>
                <w:rFonts w:hint="default"/>
                <w:b w:val="0"/>
                <w:bCs w:val="0"/>
                <w:sz w:val="24"/>
                <w:szCs w:val="24"/>
                <w:lang w:val="en-US" w:eastAsia="zh-CN"/>
              </w:rPr>
              <w:t>社区，为</w:t>
            </w:r>
            <w:r>
              <w:rPr>
                <w:rFonts w:hint="eastAsia"/>
                <w:b w:val="0"/>
                <w:bCs w:val="0"/>
                <w:sz w:val="24"/>
                <w:szCs w:val="24"/>
                <w:lang w:val="en-US" w:eastAsia="zh-CN"/>
              </w:rPr>
              <w:t>新竹科学城</w:t>
            </w:r>
            <w:r>
              <w:rPr>
                <w:rFonts w:hint="default"/>
                <w:b w:val="0"/>
                <w:bCs w:val="0"/>
                <w:sz w:val="24"/>
                <w:szCs w:val="24"/>
                <w:lang w:val="en-US" w:eastAsia="zh-CN"/>
              </w:rPr>
              <w:t>及附近民众提供居住。历史古迹城完善保存，</w:t>
            </w:r>
            <w:r>
              <w:rPr>
                <w:rFonts w:hint="eastAsia"/>
                <w:b w:val="0"/>
                <w:bCs w:val="0"/>
                <w:sz w:val="24"/>
                <w:szCs w:val="24"/>
                <w:lang w:val="en-US" w:eastAsia="zh-CN"/>
              </w:rPr>
              <w:t>通过</w:t>
            </w:r>
            <w:r>
              <w:rPr>
                <w:rFonts w:hint="default"/>
                <w:b w:val="0"/>
                <w:bCs w:val="0"/>
                <w:sz w:val="24"/>
                <w:szCs w:val="24"/>
                <w:lang w:val="en-US" w:eastAsia="zh-CN"/>
              </w:rPr>
              <w:t>人行道将诸多古迹连接起来，</w:t>
            </w:r>
            <w:r>
              <w:rPr>
                <w:rFonts w:hint="eastAsia"/>
                <w:b w:val="0"/>
                <w:bCs w:val="0"/>
                <w:sz w:val="24"/>
                <w:szCs w:val="24"/>
                <w:lang w:val="en-US" w:eastAsia="zh-CN"/>
              </w:rPr>
              <w:t>是新竹科学城人口重要的</w:t>
            </w:r>
            <w:r>
              <w:rPr>
                <w:rFonts w:hint="default"/>
                <w:b w:val="0"/>
                <w:bCs w:val="0"/>
                <w:sz w:val="24"/>
                <w:szCs w:val="24"/>
                <w:lang w:val="en-US" w:eastAsia="zh-CN"/>
              </w:rPr>
              <w:t>观光</w:t>
            </w:r>
            <w:r>
              <w:rPr>
                <w:rFonts w:hint="eastAsia"/>
                <w:b w:val="0"/>
                <w:bCs w:val="0"/>
                <w:sz w:val="24"/>
                <w:szCs w:val="24"/>
                <w:lang w:val="en-US" w:eastAsia="zh-CN"/>
              </w:rPr>
              <w:t>休闲去处。</w:t>
            </w:r>
          </w:p>
          <w:p>
            <w:pPr>
              <w:pStyle w:val="3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val="0"/>
                <w:bCs w:val="0"/>
                <w:sz w:val="24"/>
                <w:szCs w:val="24"/>
                <w:lang w:val="en-US" w:eastAsia="zh-CN"/>
              </w:rPr>
            </w:pPr>
            <w:r>
              <w:rPr>
                <w:rFonts w:hint="eastAsia"/>
                <w:b w:val="0"/>
                <w:bCs w:val="0"/>
                <w:sz w:val="24"/>
                <w:szCs w:val="24"/>
                <w:lang w:val="en-US" w:eastAsia="zh-CN"/>
              </w:rPr>
              <w:t>（3）日本筑波与台湾新竹在促进周边融合发展上有共同之处：</w:t>
            </w:r>
          </w:p>
          <w:p>
            <w:pPr>
              <w:pStyle w:val="3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val="0"/>
                <w:bCs w:val="0"/>
                <w:sz w:val="24"/>
                <w:szCs w:val="24"/>
                <w:lang w:val="en-US" w:eastAsia="zh-CN"/>
              </w:rPr>
            </w:pPr>
            <w:r>
              <w:rPr>
                <w:rFonts w:hint="eastAsia"/>
                <w:b w:val="0"/>
                <w:bCs w:val="0"/>
                <w:sz w:val="24"/>
                <w:szCs w:val="24"/>
                <w:lang w:val="en-US" w:eastAsia="zh-CN"/>
              </w:rPr>
              <w:t>①</w:t>
            </w:r>
            <w:r>
              <w:rPr>
                <w:rFonts w:hint="default"/>
                <w:b w:val="0"/>
                <w:bCs w:val="0"/>
                <w:sz w:val="24"/>
                <w:szCs w:val="24"/>
                <w:lang w:val="en-US" w:eastAsia="zh-CN"/>
              </w:rPr>
              <w:t>政府</w:t>
            </w:r>
            <w:r>
              <w:rPr>
                <w:rFonts w:hint="eastAsia"/>
                <w:b w:val="0"/>
                <w:bCs w:val="0"/>
                <w:sz w:val="24"/>
                <w:szCs w:val="24"/>
                <w:lang w:val="en-US" w:eastAsia="zh-CN"/>
              </w:rPr>
              <w:t>出面引导</w:t>
            </w:r>
            <w:r>
              <w:rPr>
                <w:rFonts w:hint="default"/>
                <w:b w:val="0"/>
                <w:bCs w:val="0"/>
                <w:sz w:val="24"/>
                <w:szCs w:val="24"/>
                <w:lang w:val="en-US" w:eastAsia="zh-CN"/>
              </w:rPr>
              <w:t>支持</w:t>
            </w:r>
            <w:r>
              <w:rPr>
                <w:rFonts w:hint="eastAsia"/>
                <w:b w:val="0"/>
                <w:bCs w:val="0"/>
                <w:sz w:val="24"/>
                <w:szCs w:val="24"/>
                <w:lang w:val="en-US" w:eastAsia="zh-CN"/>
              </w:rPr>
              <w:t>区域协调推进发展，如规划建设支持、</w:t>
            </w:r>
            <w:r>
              <w:rPr>
                <w:rFonts w:hint="default"/>
                <w:b w:val="0"/>
                <w:bCs w:val="0"/>
                <w:sz w:val="24"/>
                <w:szCs w:val="24"/>
                <w:lang w:val="en-US" w:eastAsia="zh-CN"/>
              </w:rPr>
              <w:t>立法税费减免</w:t>
            </w:r>
            <w:r>
              <w:rPr>
                <w:rFonts w:hint="eastAsia"/>
                <w:b w:val="0"/>
                <w:bCs w:val="0"/>
                <w:sz w:val="24"/>
                <w:szCs w:val="24"/>
                <w:lang w:val="en-US" w:eastAsia="zh-CN"/>
              </w:rPr>
              <w:t>支持、</w:t>
            </w:r>
            <w:r>
              <w:rPr>
                <w:rFonts w:hint="default"/>
                <w:b w:val="0"/>
                <w:bCs w:val="0"/>
                <w:sz w:val="24"/>
                <w:szCs w:val="24"/>
                <w:lang w:val="en-US" w:eastAsia="zh-CN"/>
              </w:rPr>
              <w:t>资金支持</w:t>
            </w:r>
            <w:r>
              <w:rPr>
                <w:rFonts w:hint="eastAsia"/>
                <w:b w:val="0"/>
                <w:bCs w:val="0"/>
                <w:sz w:val="24"/>
                <w:szCs w:val="24"/>
                <w:lang w:val="en-US" w:eastAsia="zh-CN"/>
              </w:rPr>
              <w:t>等。</w:t>
            </w:r>
          </w:p>
          <w:p>
            <w:pPr>
              <w:pStyle w:val="3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val="0"/>
                <w:bCs w:val="0"/>
                <w:sz w:val="24"/>
                <w:szCs w:val="24"/>
                <w:lang w:val="en-US" w:eastAsia="zh-CN"/>
              </w:rPr>
            </w:pPr>
            <w:r>
              <w:rPr>
                <w:rFonts w:hint="eastAsia"/>
                <w:b w:val="0"/>
                <w:bCs w:val="0"/>
                <w:sz w:val="24"/>
                <w:szCs w:val="24"/>
                <w:lang w:val="en-US" w:eastAsia="zh-CN"/>
              </w:rPr>
              <w:t>②</w:t>
            </w:r>
            <w:r>
              <w:rPr>
                <w:rFonts w:hint="default"/>
                <w:b w:val="0"/>
                <w:bCs w:val="0"/>
                <w:sz w:val="24"/>
                <w:szCs w:val="24"/>
                <w:lang w:val="en-US" w:eastAsia="zh-CN"/>
              </w:rPr>
              <w:t>产学研</w:t>
            </w:r>
            <w:r>
              <w:rPr>
                <w:rFonts w:hint="eastAsia"/>
                <w:b w:val="0"/>
                <w:bCs w:val="0"/>
                <w:sz w:val="24"/>
                <w:szCs w:val="24"/>
                <w:lang w:val="en-US" w:eastAsia="zh-CN"/>
              </w:rPr>
              <w:t>用</w:t>
            </w:r>
            <w:r>
              <w:rPr>
                <w:rFonts w:hint="default"/>
                <w:b w:val="0"/>
                <w:bCs w:val="0"/>
                <w:sz w:val="24"/>
                <w:szCs w:val="24"/>
                <w:lang w:val="en-US" w:eastAsia="zh-CN"/>
              </w:rPr>
              <w:t>一体化</w:t>
            </w:r>
            <w:r>
              <w:rPr>
                <w:rFonts w:hint="eastAsia"/>
                <w:b w:val="0"/>
                <w:bCs w:val="0"/>
                <w:sz w:val="24"/>
                <w:szCs w:val="24"/>
                <w:lang w:val="en-US" w:eastAsia="zh-CN"/>
              </w:rPr>
              <w:t>需要在科技城周边，企业就近就地实现科技成果产业化，产业链、创新链成为区域间联系的纽带。</w:t>
            </w:r>
          </w:p>
          <w:p>
            <w:pPr>
              <w:pStyle w:val="3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b w:val="0"/>
                <w:bCs w:val="0"/>
                <w:sz w:val="28"/>
                <w:szCs w:val="28"/>
                <w:lang w:val="en-US" w:eastAsia="zh-CN"/>
              </w:rPr>
            </w:pPr>
            <w:r>
              <w:rPr>
                <w:rFonts w:hint="eastAsia"/>
                <w:b w:val="0"/>
                <w:bCs w:val="0"/>
                <w:sz w:val="24"/>
                <w:szCs w:val="24"/>
                <w:lang w:val="en-US" w:eastAsia="zh-CN"/>
              </w:rPr>
              <w:t>③提供</w:t>
            </w:r>
            <w:r>
              <w:rPr>
                <w:rFonts w:hint="default"/>
                <w:b w:val="0"/>
                <w:bCs w:val="0"/>
                <w:sz w:val="24"/>
                <w:szCs w:val="24"/>
                <w:lang w:val="en-US" w:eastAsia="zh-CN"/>
              </w:rPr>
              <w:t>良好的宜居宜业环境，</w:t>
            </w:r>
            <w:r>
              <w:rPr>
                <w:rFonts w:hint="eastAsia"/>
                <w:b w:val="0"/>
                <w:bCs w:val="0"/>
                <w:sz w:val="24"/>
                <w:szCs w:val="24"/>
                <w:lang w:val="en-US" w:eastAsia="zh-CN"/>
              </w:rPr>
              <w:t>规划建设高档</w:t>
            </w:r>
            <w:r>
              <w:rPr>
                <w:rFonts w:hint="default"/>
                <w:b w:val="0"/>
                <w:bCs w:val="0"/>
                <w:sz w:val="24"/>
                <w:szCs w:val="24"/>
                <w:lang w:val="en-US" w:eastAsia="zh-CN"/>
              </w:rPr>
              <w:t>舒适</w:t>
            </w:r>
            <w:r>
              <w:rPr>
                <w:rFonts w:hint="eastAsia"/>
                <w:b w:val="0"/>
                <w:bCs w:val="0"/>
                <w:sz w:val="24"/>
                <w:szCs w:val="24"/>
                <w:lang w:val="en-US" w:eastAsia="zh-CN"/>
              </w:rPr>
              <w:t>、</w:t>
            </w:r>
            <w:r>
              <w:rPr>
                <w:rFonts w:hint="default"/>
                <w:b w:val="0"/>
                <w:bCs w:val="0"/>
                <w:sz w:val="24"/>
                <w:szCs w:val="24"/>
                <w:lang w:val="en-US" w:eastAsia="zh-CN"/>
              </w:rPr>
              <w:t>交通便利</w:t>
            </w:r>
            <w:r>
              <w:rPr>
                <w:rFonts w:hint="eastAsia"/>
                <w:b w:val="0"/>
                <w:bCs w:val="0"/>
                <w:sz w:val="24"/>
                <w:szCs w:val="24"/>
                <w:lang w:val="en-US" w:eastAsia="zh-CN"/>
              </w:rPr>
              <w:t>、</w:t>
            </w:r>
            <w:r>
              <w:rPr>
                <w:rFonts w:hint="default"/>
                <w:b w:val="0"/>
                <w:bCs w:val="0"/>
                <w:sz w:val="24"/>
                <w:szCs w:val="24"/>
                <w:lang w:val="en-US" w:eastAsia="zh-CN"/>
              </w:rPr>
              <w:t>环境优美</w:t>
            </w:r>
            <w:r>
              <w:rPr>
                <w:rFonts w:hint="eastAsia"/>
                <w:b w:val="0"/>
                <w:bCs w:val="0"/>
                <w:sz w:val="24"/>
                <w:szCs w:val="24"/>
                <w:lang w:val="en-US" w:eastAsia="zh-CN"/>
              </w:rPr>
              <w:t>的</w:t>
            </w:r>
            <w:r>
              <w:rPr>
                <w:rFonts w:hint="default"/>
                <w:b w:val="0"/>
                <w:bCs w:val="0"/>
                <w:sz w:val="24"/>
                <w:szCs w:val="24"/>
                <w:lang w:val="en-US" w:eastAsia="zh-CN"/>
              </w:rPr>
              <w:t>高新人才居住</w:t>
            </w:r>
            <w:r>
              <w:rPr>
                <w:rFonts w:hint="eastAsia"/>
                <w:b w:val="0"/>
                <w:bCs w:val="0"/>
                <w:sz w:val="24"/>
                <w:szCs w:val="24"/>
                <w:lang w:val="en-US" w:eastAsia="zh-CN"/>
              </w:rPr>
              <w:t>社区。</w:t>
            </w:r>
          </w:p>
        </w:tc>
      </w:tr>
    </w:tbl>
    <w:p>
      <w:pPr>
        <w:pStyle w:val="3"/>
        <w:bidi w:val="0"/>
        <w:rPr>
          <w:rFonts w:hint="default"/>
          <w:lang w:val="en-US" w:eastAsia="zh-CN"/>
        </w:rPr>
      </w:pPr>
      <w:bookmarkStart w:id="77" w:name="_Toc16031"/>
      <w:bookmarkStart w:id="78" w:name="_Toc24128"/>
      <w:bookmarkStart w:id="79" w:name="_Toc15375"/>
      <w:r>
        <w:rPr>
          <w:rFonts w:hint="eastAsia"/>
          <w:lang w:val="en-US" w:eastAsia="zh-CN"/>
        </w:rPr>
        <w:t>第二节  产业体系</w:t>
      </w:r>
      <w:bookmarkEnd w:id="77"/>
      <w:bookmarkEnd w:id="78"/>
      <w:bookmarkEnd w:id="79"/>
    </w:p>
    <w:p>
      <w:pPr>
        <w:pStyle w:val="4"/>
        <w:bidi w:val="0"/>
        <w:ind w:firstLine="1059" w:firstLineChars="331"/>
        <w:rPr>
          <w:rFonts w:hint="default"/>
          <w:lang w:val="en-US" w:eastAsia="zh-CN"/>
        </w:rPr>
      </w:pPr>
      <w:bookmarkStart w:id="80" w:name="_Toc12073"/>
      <w:bookmarkStart w:id="81" w:name="_Toc31137"/>
      <w:bookmarkStart w:id="82" w:name="_Toc20437"/>
      <w:r>
        <w:rPr>
          <w:rFonts w:hint="eastAsia"/>
          <w:lang w:val="en-US" w:eastAsia="zh-CN"/>
        </w:rPr>
        <w:t>一、产业定位</w:t>
      </w:r>
      <w:bookmarkEnd w:id="80"/>
      <w:bookmarkEnd w:id="81"/>
      <w:bookmarkEnd w:id="82"/>
    </w:p>
    <w:p>
      <w:pPr>
        <w:rPr>
          <w:rFonts w:hint="eastAsia"/>
          <w:lang w:val="en-US" w:eastAsia="zh-CN"/>
        </w:rPr>
      </w:pPr>
      <w:r>
        <w:rPr>
          <w:rFonts w:hint="eastAsia"/>
          <w:lang w:val="en-US" w:eastAsia="zh-CN"/>
        </w:rPr>
        <w:t>围绕崖州区</w:t>
      </w:r>
      <w:r>
        <w:rPr>
          <w:rFonts w:hint="eastAsia"/>
          <w:b w:val="0"/>
          <w:bCs w:val="0"/>
          <w:lang w:val="en-US" w:eastAsia="zh-CN"/>
        </w:rPr>
        <w:t>“一区一极一典范”战略定位，</w:t>
      </w:r>
      <w:r>
        <w:rPr>
          <w:rFonts w:hint="eastAsia"/>
          <w:lang w:val="en-US" w:eastAsia="zh-CN"/>
        </w:rPr>
        <w:t>推动三次产业齐头并进，全力发展</w:t>
      </w:r>
      <w:r>
        <w:rPr>
          <w:rFonts w:hint="eastAsia"/>
          <w:u w:val="single"/>
          <w:lang w:val="en-US" w:eastAsia="zh-CN"/>
        </w:rPr>
        <w:t>旅游业</w:t>
      </w:r>
      <w:r>
        <w:rPr>
          <w:rFonts w:hint="eastAsia"/>
          <w:lang w:val="en-US" w:eastAsia="zh-CN"/>
        </w:rPr>
        <w:t>、</w:t>
      </w:r>
      <w:r>
        <w:rPr>
          <w:rFonts w:hint="eastAsia"/>
          <w:u w:val="single"/>
          <w:lang w:val="en-US" w:eastAsia="zh-CN"/>
        </w:rPr>
        <w:t>热带农业</w:t>
      </w:r>
      <w:r>
        <w:rPr>
          <w:rFonts w:hint="eastAsia"/>
          <w:b/>
          <w:bCs/>
          <w:lang w:val="en-US" w:eastAsia="zh-CN"/>
        </w:rPr>
        <w:t>两个主导</w:t>
      </w:r>
      <w:r>
        <w:rPr>
          <w:rFonts w:hint="eastAsia"/>
          <w:b w:val="0"/>
          <w:bCs w:val="0"/>
          <w:lang w:val="en-US" w:eastAsia="zh-CN"/>
        </w:rPr>
        <w:t>产业</w:t>
      </w:r>
      <w:r>
        <w:rPr>
          <w:rFonts w:hint="eastAsia"/>
          <w:lang w:val="en-US" w:eastAsia="zh-CN"/>
        </w:rPr>
        <w:t>，重点推进</w:t>
      </w:r>
      <w:r>
        <w:rPr>
          <w:rFonts w:hint="eastAsia"/>
          <w:u w:val="single"/>
          <w:lang w:val="en-US" w:eastAsia="zh-CN"/>
        </w:rPr>
        <w:t>商贸物流业</w:t>
      </w:r>
      <w:r>
        <w:rPr>
          <w:rFonts w:hint="eastAsia"/>
          <w:lang w:val="en-US" w:eastAsia="zh-CN"/>
        </w:rPr>
        <w:t>、</w:t>
      </w:r>
      <w:r>
        <w:rPr>
          <w:rFonts w:hint="eastAsia"/>
          <w:u w:val="single"/>
          <w:lang w:val="en-US" w:eastAsia="zh-CN"/>
        </w:rPr>
        <w:t>现代渔业</w:t>
      </w:r>
      <w:r>
        <w:rPr>
          <w:rFonts w:hint="eastAsia"/>
          <w:b/>
          <w:bCs/>
          <w:lang w:val="en-US" w:eastAsia="zh-CN"/>
        </w:rPr>
        <w:t>两个优势</w:t>
      </w:r>
      <w:r>
        <w:rPr>
          <w:rFonts w:hint="eastAsia"/>
          <w:b w:val="0"/>
          <w:bCs w:val="0"/>
          <w:lang w:val="en-US" w:eastAsia="zh-CN"/>
        </w:rPr>
        <w:t>产业</w:t>
      </w:r>
      <w:r>
        <w:rPr>
          <w:rFonts w:hint="eastAsia"/>
          <w:lang w:val="en-US" w:eastAsia="zh-CN"/>
        </w:rPr>
        <w:t>，积极培育</w:t>
      </w:r>
      <w:r>
        <w:rPr>
          <w:rFonts w:hint="eastAsia"/>
          <w:u w:val="single"/>
          <w:lang w:val="en-US" w:eastAsia="zh-CN"/>
        </w:rPr>
        <w:t>绿色高端制造业</w:t>
      </w:r>
      <w:r>
        <w:rPr>
          <w:rFonts w:hint="eastAsia"/>
          <w:lang w:val="en-US" w:eastAsia="zh-CN"/>
        </w:rPr>
        <w:t>、</w:t>
      </w:r>
      <w:r>
        <w:rPr>
          <w:rFonts w:hint="eastAsia"/>
          <w:u w:val="single"/>
          <w:lang w:val="en-US" w:eastAsia="zh-CN"/>
        </w:rPr>
        <w:t>农渔产品加工业</w:t>
      </w:r>
      <w:r>
        <w:rPr>
          <w:rFonts w:hint="eastAsia"/>
          <w:b/>
          <w:bCs/>
          <w:lang w:val="en-US" w:eastAsia="zh-CN"/>
        </w:rPr>
        <w:t>两个新兴</w:t>
      </w:r>
      <w:r>
        <w:rPr>
          <w:rFonts w:hint="eastAsia"/>
          <w:b w:val="0"/>
          <w:bCs w:val="0"/>
          <w:lang w:val="en-US" w:eastAsia="zh-CN"/>
        </w:rPr>
        <w:t>产业</w:t>
      </w:r>
      <w:r>
        <w:rPr>
          <w:rFonts w:hint="eastAsia"/>
          <w:lang w:val="en-US" w:eastAsia="zh-CN"/>
        </w:rPr>
        <w:t>，把崖州发展成为国家热带农业示范区、大三亚旅游圈重要支点、南海渔业基地、南海商贸物流枢纽、大三亚食品加工和绿色制造基地。</w:t>
      </w:r>
    </w:p>
    <w:p>
      <w:pPr>
        <w:bidi w:val="0"/>
        <w:spacing w:line="240" w:lineRule="auto"/>
        <w:ind w:firstLine="0" w:firstLineChars="0"/>
        <w:jc w:val="center"/>
        <w:rPr>
          <w:rFonts w:hint="eastAsia" w:ascii="楷体" w:hAnsi="楷体" w:eastAsia="楷体" w:cs="楷体"/>
          <w:b w:val="0"/>
          <w:bCs w:val="0"/>
          <w:sz w:val="28"/>
          <w:szCs w:val="28"/>
          <w:lang w:val="en-US" w:eastAsia="zh-CN"/>
        </w:rPr>
      </w:pPr>
      <w:r>
        <w:rPr>
          <w:rFonts w:hint="eastAsia" w:ascii="楷体" w:hAnsi="楷体" w:eastAsia="楷体" w:cs="楷体"/>
          <w:b w:val="0"/>
          <w:bCs w:val="0"/>
          <w:sz w:val="28"/>
          <w:szCs w:val="28"/>
          <w:lang w:val="en-US" w:eastAsia="zh-CN"/>
        </w:rPr>
        <w:t>表6  崖州区产业定位和产业体系</w:t>
      </w:r>
    </w:p>
    <w:tbl>
      <w:tblPr>
        <w:tblStyle w:val="18"/>
        <w:tblW w:w="5000" w:type="pct"/>
        <w:tblInd w:w="0" w:type="dxa"/>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3"/>
        <w:gridCol w:w="1137"/>
        <w:gridCol w:w="2409"/>
        <w:gridCol w:w="1962"/>
        <w:gridCol w:w="1250"/>
        <w:gridCol w:w="1251"/>
      </w:tblGrid>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blHeader/>
        </w:trPr>
        <w:tc>
          <w:tcPr>
            <w:tcW w:w="1650" w:type="dxa"/>
            <w:gridSpan w:val="2"/>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color w:val="000000"/>
                <w:kern w:val="2"/>
                <w:sz w:val="24"/>
                <w:szCs w:val="24"/>
                <w:u w:val="none"/>
                <w:lang w:val="en-US" w:eastAsia="zh-CN" w:bidi="ar"/>
              </w:rPr>
              <w:t>产业体系</w:t>
            </w:r>
          </w:p>
        </w:tc>
        <w:tc>
          <w:tcPr>
            <w:tcW w:w="2409"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细分方向</w:t>
            </w:r>
          </w:p>
        </w:tc>
        <w:tc>
          <w:tcPr>
            <w:tcW w:w="1962"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color w:val="000000"/>
                <w:kern w:val="2"/>
                <w:sz w:val="24"/>
                <w:szCs w:val="24"/>
                <w:u w:val="none"/>
                <w:lang w:val="en-US" w:eastAsia="zh-CN" w:bidi="ar"/>
              </w:rPr>
              <w:t>发展定位</w:t>
            </w:r>
          </w:p>
        </w:tc>
        <w:tc>
          <w:tcPr>
            <w:tcW w:w="125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发展目标</w:t>
            </w:r>
          </w:p>
        </w:tc>
        <w:tc>
          <w:tcPr>
            <w:tcW w:w="125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发展策略</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513"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第一产业</w:t>
            </w:r>
          </w:p>
        </w:tc>
        <w:tc>
          <w:tcPr>
            <w:tcW w:w="113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现代渔业</w:t>
            </w:r>
          </w:p>
        </w:tc>
        <w:tc>
          <w:tcPr>
            <w:tcW w:w="2409" w:type="dxa"/>
            <w:vAlign w:val="center"/>
          </w:tcPr>
          <w:p>
            <w:pPr>
              <w:keepNext w:val="0"/>
              <w:keepLines w:val="0"/>
              <w:pageBreakBefore w:val="0"/>
              <w:widowControl/>
              <w:numPr>
                <w:ilvl w:val="0"/>
                <w:numId w:val="3"/>
              </w:numPr>
              <w:suppressLineNumbers w:val="0"/>
              <w:kinsoku/>
              <w:wordWrap/>
              <w:overflowPunct/>
              <w:topLinePunct w:val="0"/>
              <w:autoSpaceDE/>
              <w:autoSpaceDN/>
              <w:bidi w:val="0"/>
              <w:adjustRightInd/>
              <w:snapToGrid/>
              <w:spacing w:line="240" w:lineRule="auto"/>
              <w:ind w:left="227" w:leftChars="0" w:hanging="227" w:firstLineChars="0"/>
              <w:jc w:val="both"/>
              <w:textAlignment w:val="auto"/>
              <w:rPr>
                <w:rFonts w:hint="eastAsia"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岸上养殖</w:t>
            </w:r>
          </w:p>
          <w:p>
            <w:pPr>
              <w:keepNext w:val="0"/>
              <w:keepLines w:val="0"/>
              <w:pageBreakBefore w:val="0"/>
              <w:widowControl/>
              <w:numPr>
                <w:ilvl w:val="0"/>
                <w:numId w:val="3"/>
              </w:numPr>
              <w:suppressLineNumbers w:val="0"/>
              <w:kinsoku/>
              <w:wordWrap/>
              <w:overflowPunct/>
              <w:topLinePunct w:val="0"/>
              <w:autoSpaceDE/>
              <w:autoSpaceDN/>
              <w:bidi w:val="0"/>
              <w:adjustRightInd/>
              <w:snapToGrid/>
              <w:spacing w:line="240" w:lineRule="auto"/>
              <w:ind w:left="227" w:leftChars="0" w:hanging="227" w:firstLineChars="0"/>
              <w:jc w:val="both"/>
              <w:textAlignment w:val="auto"/>
              <w:rPr>
                <w:rFonts w:hint="eastAsia"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深海养殖</w:t>
            </w:r>
          </w:p>
          <w:p>
            <w:pPr>
              <w:keepNext w:val="0"/>
              <w:keepLines w:val="0"/>
              <w:pageBreakBefore w:val="0"/>
              <w:widowControl/>
              <w:numPr>
                <w:ilvl w:val="0"/>
                <w:numId w:val="3"/>
              </w:numPr>
              <w:suppressLineNumbers w:val="0"/>
              <w:kinsoku/>
              <w:wordWrap/>
              <w:overflowPunct/>
              <w:topLinePunct w:val="0"/>
              <w:autoSpaceDE/>
              <w:autoSpaceDN/>
              <w:bidi w:val="0"/>
              <w:adjustRightInd/>
              <w:snapToGrid/>
              <w:spacing w:line="240" w:lineRule="auto"/>
              <w:ind w:left="227" w:leftChars="0" w:hanging="227" w:firstLineChars="0"/>
              <w:jc w:val="both"/>
              <w:textAlignment w:val="auto"/>
              <w:rPr>
                <w:rFonts w:hint="eastAsia"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渔港经济</w:t>
            </w:r>
          </w:p>
          <w:p>
            <w:pPr>
              <w:keepNext w:val="0"/>
              <w:keepLines w:val="0"/>
              <w:pageBreakBefore w:val="0"/>
              <w:widowControl/>
              <w:numPr>
                <w:ilvl w:val="0"/>
                <w:numId w:val="3"/>
              </w:numPr>
              <w:suppressLineNumbers w:val="0"/>
              <w:kinsoku/>
              <w:wordWrap/>
              <w:overflowPunct/>
              <w:topLinePunct w:val="0"/>
              <w:autoSpaceDE/>
              <w:autoSpaceDN/>
              <w:bidi w:val="0"/>
              <w:adjustRightInd/>
              <w:snapToGrid/>
              <w:spacing w:line="240" w:lineRule="auto"/>
              <w:ind w:left="227" w:leftChars="0" w:hanging="227" w:firstLineChars="0"/>
              <w:jc w:val="both"/>
              <w:textAlignment w:val="auto"/>
              <w:rPr>
                <w:rFonts w:hint="eastAsia"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水产捕捞</w:t>
            </w:r>
          </w:p>
        </w:tc>
        <w:tc>
          <w:tcPr>
            <w:tcW w:w="1962"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南海渔业基地</w:t>
            </w:r>
          </w:p>
        </w:tc>
        <w:tc>
          <w:tcPr>
            <w:tcW w:w="125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优势产业</w:t>
            </w:r>
          </w:p>
        </w:tc>
        <w:tc>
          <w:tcPr>
            <w:tcW w:w="125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重点推进</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513"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13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热带特色高效农业</w:t>
            </w:r>
          </w:p>
        </w:tc>
        <w:tc>
          <w:tcPr>
            <w:tcW w:w="2409" w:type="dxa"/>
            <w:vAlign w:val="center"/>
          </w:tcPr>
          <w:p>
            <w:pPr>
              <w:keepNext w:val="0"/>
              <w:keepLines w:val="0"/>
              <w:pageBreakBefore w:val="0"/>
              <w:widowControl/>
              <w:numPr>
                <w:ilvl w:val="0"/>
                <w:numId w:val="3"/>
              </w:numPr>
              <w:suppressLineNumbers w:val="0"/>
              <w:kinsoku/>
              <w:wordWrap/>
              <w:overflowPunct/>
              <w:topLinePunct w:val="0"/>
              <w:autoSpaceDE/>
              <w:autoSpaceDN/>
              <w:bidi w:val="0"/>
              <w:adjustRightInd/>
              <w:snapToGrid/>
              <w:spacing w:line="240" w:lineRule="auto"/>
              <w:ind w:left="227" w:leftChars="0" w:hanging="227" w:firstLineChars="0"/>
              <w:jc w:val="both"/>
              <w:textAlignment w:val="auto"/>
              <w:rPr>
                <w:rFonts w:hint="eastAsia"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冬季瓜菜</w:t>
            </w:r>
          </w:p>
          <w:p>
            <w:pPr>
              <w:keepNext w:val="0"/>
              <w:keepLines w:val="0"/>
              <w:pageBreakBefore w:val="0"/>
              <w:widowControl/>
              <w:numPr>
                <w:ilvl w:val="0"/>
                <w:numId w:val="3"/>
              </w:numPr>
              <w:suppressLineNumbers w:val="0"/>
              <w:kinsoku/>
              <w:wordWrap/>
              <w:overflowPunct/>
              <w:topLinePunct w:val="0"/>
              <w:autoSpaceDE/>
              <w:autoSpaceDN/>
              <w:bidi w:val="0"/>
              <w:adjustRightInd/>
              <w:snapToGrid/>
              <w:spacing w:line="240" w:lineRule="auto"/>
              <w:ind w:left="227" w:leftChars="0" w:hanging="227" w:firstLineChars="0"/>
              <w:jc w:val="both"/>
              <w:textAlignment w:val="auto"/>
              <w:rPr>
                <w:rFonts w:hint="eastAsia"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热带水果</w:t>
            </w:r>
          </w:p>
          <w:p>
            <w:pPr>
              <w:keepNext w:val="0"/>
              <w:keepLines w:val="0"/>
              <w:pageBreakBefore w:val="0"/>
              <w:widowControl/>
              <w:numPr>
                <w:ilvl w:val="0"/>
                <w:numId w:val="3"/>
              </w:numPr>
              <w:suppressLineNumbers w:val="0"/>
              <w:kinsoku/>
              <w:wordWrap/>
              <w:overflowPunct/>
              <w:topLinePunct w:val="0"/>
              <w:autoSpaceDE/>
              <w:autoSpaceDN/>
              <w:bidi w:val="0"/>
              <w:adjustRightInd/>
              <w:snapToGrid/>
              <w:spacing w:line="240" w:lineRule="auto"/>
              <w:ind w:left="227" w:leftChars="0" w:hanging="227" w:firstLineChars="0"/>
              <w:jc w:val="both"/>
              <w:textAlignment w:val="auto"/>
              <w:rPr>
                <w:rFonts w:hint="eastAsia"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南繁育种及服务</w:t>
            </w:r>
          </w:p>
          <w:p>
            <w:pPr>
              <w:keepNext w:val="0"/>
              <w:keepLines w:val="0"/>
              <w:pageBreakBefore w:val="0"/>
              <w:widowControl/>
              <w:numPr>
                <w:ilvl w:val="0"/>
                <w:numId w:val="3"/>
              </w:numPr>
              <w:suppressLineNumbers w:val="0"/>
              <w:kinsoku/>
              <w:wordWrap/>
              <w:overflowPunct/>
              <w:topLinePunct w:val="0"/>
              <w:autoSpaceDE/>
              <w:autoSpaceDN/>
              <w:bidi w:val="0"/>
              <w:adjustRightInd/>
              <w:snapToGrid/>
              <w:spacing w:line="240" w:lineRule="auto"/>
              <w:ind w:left="227" w:leftChars="0" w:hanging="227" w:firstLineChars="0"/>
              <w:jc w:val="both"/>
              <w:textAlignment w:val="auto"/>
              <w:rPr>
                <w:rFonts w:hint="eastAsia"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特色种养殖</w:t>
            </w:r>
          </w:p>
        </w:tc>
        <w:tc>
          <w:tcPr>
            <w:tcW w:w="1962"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国家热带特色高效农业示范区</w:t>
            </w:r>
          </w:p>
        </w:tc>
        <w:tc>
          <w:tcPr>
            <w:tcW w:w="125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主导产业</w:t>
            </w:r>
          </w:p>
        </w:tc>
        <w:tc>
          <w:tcPr>
            <w:tcW w:w="125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全力发展</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513"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第二产业</w:t>
            </w:r>
          </w:p>
        </w:tc>
        <w:tc>
          <w:tcPr>
            <w:tcW w:w="113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绿色高端制造业</w:t>
            </w:r>
          </w:p>
        </w:tc>
        <w:tc>
          <w:tcPr>
            <w:tcW w:w="2409" w:type="dxa"/>
            <w:vAlign w:val="center"/>
          </w:tcPr>
          <w:p>
            <w:pPr>
              <w:keepNext w:val="0"/>
              <w:keepLines w:val="0"/>
              <w:pageBreakBefore w:val="0"/>
              <w:widowControl/>
              <w:numPr>
                <w:ilvl w:val="0"/>
                <w:numId w:val="3"/>
              </w:numPr>
              <w:suppressLineNumbers w:val="0"/>
              <w:kinsoku/>
              <w:wordWrap/>
              <w:overflowPunct/>
              <w:topLinePunct w:val="0"/>
              <w:autoSpaceDE/>
              <w:autoSpaceDN/>
              <w:bidi w:val="0"/>
              <w:adjustRightInd/>
              <w:snapToGrid/>
              <w:spacing w:line="240" w:lineRule="auto"/>
              <w:ind w:left="227" w:leftChars="0" w:hanging="227" w:firstLineChars="0"/>
              <w:jc w:val="both"/>
              <w:textAlignment w:val="auto"/>
              <w:rPr>
                <w:rFonts w:hint="eastAsia"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电子产品制造</w:t>
            </w:r>
          </w:p>
          <w:p>
            <w:pPr>
              <w:keepNext w:val="0"/>
              <w:keepLines w:val="0"/>
              <w:pageBreakBefore w:val="0"/>
              <w:widowControl/>
              <w:numPr>
                <w:ilvl w:val="0"/>
                <w:numId w:val="3"/>
              </w:numPr>
              <w:suppressLineNumbers w:val="0"/>
              <w:kinsoku/>
              <w:wordWrap/>
              <w:overflowPunct/>
              <w:topLinePunct w:val="0"/>
              <w:autoSpaceDE/>
              <w:autoSpaceDN/>
              <w:bidi w:val="0"/>
              <w:adjustRightInd/>
              <w:snapToGrid/>
              <w:spacing w:line="240" w:lineRule="auto"/>
              <w:ind w:left="227" w:leftChars="0" w:hanging="227" w:firstLineChars="0"/>
              <w:jc w:val="both"/>
              <w:textAlignment w:val="auto"/>
              <w:rPr>
                <w:rFonts w:hint="eastAsia"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高温高盐高辐射产业</w:t>
            </w:r>
          </w:p>
          <w:p>
            <w:pPr>
              <w:keepNext w:val="0"/>
              <w:keepLines w:val="0"/>
              <w:pageBreakBefore w:val="0"/>
              <w:widowControl/>
              <w:numPr>
                <w:ilvl w:val="0"/>
                <w:numId w:val="3"/>
              </w:numPr>
              <w:suppressLineNumbers w:val="0"/>
              <w:kinsoku/>
              <w:wordWrap/>
              <w:overflowPunct/>
              <w:topLinePunct w:val="0"/>
              <w:autoSpaceDE/>
              <w:autoSpaceDN/>
              <w:bidi w:val="0"/>
              <w:adjustRightInd/>
              <w:snapToGrid/>
              <w:spacing w:line="240" w:lineRule="auto"/>
              <w:ind w:left="227" w:leftChars="0" w:hanging="227" w:firstLineChars="0"/>
              <w:jc w:val="both"/>
              <w:textAlignment w:val="auto"/>
              <w:rPr>
                <w:rFonts w:hint="eastAsia"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中高端消费品制造</w:t>
            </w:r>
          </w:p>
          <w:p>
            <w:pPr>
              <w:keepNext w:val="0"/>
              <w:keepLines w:val="0"/>
              <w:pageBreakBefore w:val="0"/>
              <w:widowControl/>
              <w:numPr>
                <w:ilvl w:val="0"/>
                <w:numId w:val="3"/>
              </w:numPr>
              <w:suppressLineNumbers w:val="0"/>
              <w:kinsoku/>
              <w:wordWrap/>
              <w:overflowPunct/>
              <w:topLinePunct w:val="0"/>
              <w:autoSpaceDE/>
              <w:autoSpaceDN/>
              <w:bidi w:val="0"/>
              <w:adjustRightInd/>
              <w:snapToGrid/>
              <w:spacing w:line="240" w:lineRule="auto"/>
              <w:ind w:left="227" w:leftChars="0" w:hanging="227" w:firstLineChars="0"/>
              <w:jc w:val="both"/>
              <w:textAlignment w:val="auto"/>
              <w:rPr>
                <w:rFonts w:hint="eastAsia"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临港加工业</w:t>
            </w:r>
          </w:p>
        </w:tc>
        <w:tc>
          <w:tcPr>
            <w:tcW w:w="1962"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大三亚绿色制造基地</w:t>
            </w:r>
          </w:p>
        </w:tc>
        <w:tc>
          <w:tcPr>
            <w:tcW w:w="125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新兴产业</w:t>
            </w:r>
          </w:p>
        </w:tc>
        <w:tc>
          <w:tcPr>
            <w:tcW w:w="125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积极培育</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513"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13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农渔产品加工业</w:t>
            </w:r>
          </w:p>
        </w:tc>
        <w:tc>
          <w:tcPr>
            <w:tcW w:w="2409" w:type="dxa"/>
            <w:vAlign w:val="center"/>
          </w:tcPr>
          <w:p>
            <w:pPr>
              <w:keepNext w:val="0"/>
              <w:keepLines w:val="0"/>
              <w:pageBreakBefore w:val="0"/>
              <w:widowControl/>
              <w:numPr>
                <w:ilvl w:val="0"/>
                <w:numId w:val="3"/>
              </w:numPr>
              <w:suppressLineNumbers w:val="0"/>
              <w:kinsoku/>
              <w:wordWrap/>
              <w:overflowPunct/>
              <w:topLinePunct w:val="0"/>
              <w:autoSpaceDE/>
              <w:autoSpaceDN/>
              <w:bidi w:val="0"/>
              <w:adjustRightInd/>
              <w:snapToGrid/>
              <w:spacing w:line="240" w:lineRule="auto"/>
              <w:ind w:left="227" w:leftChars="0" w:hanging="227" w:firstLineChars="0"/>
              <w:jc w:val="both"/>
              <w:textAlignment w:val="auto"/>
              <w:rPr>
                <w:rFonts w:hint="eastAsia"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果蔬保鲜提质处理</w:t>
            </w:r>
          </w:p>
          <w:p>
            <w:pPr>
              <w:keepNext w:val="0"/>
              <w:keepLines w:val="0"/>
              <w:pageBreakBefore w:val="0"/>
              <w:widowControl/>
              <w:numPr>
                <w:ilvl w:val="0"/>
                <w:numId w:val="3"/>
              </w:numPr>
              <w:suppressLineNumbers w:val="0"/>
              <w:kinsoku/>
              <w:wordWrap/>
              <w:overflowPunct/>
              <w:topLinePunct w:val="0"/>
              <w:autoSpaceDE/>
              <w:autoSpaceDN/>
              <w:bidi w:val="0"/>
              <w:adjustRightInd/>
              <w:snapToGrid/>
              <w:spacing w:line="240" w:lineRule="auto"/>
              <w:ind w:left="227" w:leftChars="0" w:hanging="227" w:firstLineChars="0"/>
              <w:jc w:val="both"/>
              <w:textAlignment w:val="auto"/>
              <w:rPr>
                <w:rFonts w:hint="eastAsia"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水果加工</w:t>
            </w:r>
          </w:p>
          <w:p>
            <w:pPr>
              <w:keepNext w:val="0"/>
              <w:keepLines w:val="0"/>
              <w:pageBreakBefore w:val="0"/>
              <w:widowControl/>
              <w:numPr>
                <w:ilvl w:val="0"/>
                <w:numId w:val="3"/>
              </w:numPr>
              <w:suppressLineNumbers w:val="0"/>
              <w:kinsoku/>
              <w:wordWrap/>
              <w:overflowPunct/>
              <w:topLinePunct w:val="0"/>
              <w:autoSpaceDE/>
              <w:autoSpaceDN/>
              <w:bidi w:val="0"/>
              <w:adjustRightInd/>
              <w:snapToGrid/>
              <w:spacing w:line="240" w:lineRule="auto"/>
              <w:ind w:left="227" w:leftChars="0" w:hanging="227" w:firstLineChars="0"/>
              <w:jc w:val="both"/>
              <w:textAlignment w:val="auto"/>
              <w:rPr>
                <w:rFonts w:hint="eastAsia"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蔬菜加工</w:t>
            </w:r>
          </w:p>
          <w:p>
            <w:pPr>
              <w:keepNext w:val="0"/>
              <w:keepLines w:val="0"/>
              <w:pageBreakBefore w:val="0"/>
              <w:widowControl/>
              <w:numPr>
                <w:ilvl w:val="0"/>
                <w:numId w:val="3"/>
              </w:numPr>
              <w:suppressLineNumbers w:val="0"/>
              <w:kinsoku/>
              <w:wordWrap/>
              <w:overflowPunct/>
              <w:topLinePunct w:val="0"/>
              <w:autoSpaceDE/>
              <w:autoSpaceDN/>
              <w:bidi w:val="0"/>
              <w:adjustRightInd/>
              <w:snapToGrid/>
              <w:spacing w:line="240" w:lineRule="auto"/>
              <w:ind w:left="227" w:leftChars="0" w:hanging="227" w:firstLineChars="0"/>
              <w:jc w:val="both"/>
              <w:textAlignment w:val="auto"/>
              <w:rPr>
                <w:rFonts w:hint="eastAsia"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水产品加工</w:t>
            </w:r>
          </w:p>
          <w:p>
            <w:pPr>
              <w:keepNext w:val="0"/>
              <w:keepLines w:val="0"/>
              <w:pageBreakBefore w:val="0"/>
              <w:widowControl/>
              <w:numPr>
                <w:ilvl w:val="0"/>
                <w:numId w:val="3"/>
              </w:numPr>
              <w:suppressLineNumbers w:val="0"/>
              <w:kinsoku/>
              <w:wordWrap/>
              <w:overflowPunct/>
              <w:topLinePunct w:val="0"/>
              <w:autoSpaceDE/>
              <w:autoSpaceDN/>
              <w:bidi w:val="0"/>
              <w:adjustRightInd/>
              <w:snapToGrid/>
              <w:spacing w:line="240" w:lineRule="auto"/>
              <w:ind w:left="227" w:leftChars="0" w:hanging="227" w:firstLineChars="0"/>
              <w:jc w:val="both"/>
              <w:textAlignment w:val="auto"/>
              <w:rPr>
                <w:rFonts w:hint="eastAsia"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保健品生产</w:t>
            </w:r>
          </w:p>
          <w:p>
            <w:pPr>
              <w:keepNext w:val="0"/>
              <w:keepLines w:val="0"/>
              <w:pageBreakBefore w:val="0"/>
              <w:widowControl/>
              <w:numPr>
                <w:ilvl w:val="0"/>
                <w:numId w:val="3"/>
              </w:numPr>
              <w:suppressLineNumbers w:val="0"/>
              <w:kinsoku/>
              <w:wordWrap/>
              <w:overflowPunct/>
              <w:topLinePunct w:val="0"/>
              <w:autoSpaceDE/>
              <w:autoSpaceDN/>
              <w:bidi w:val="0"/>
              <w:adjustRightInd/>
              <w:snapToGrid/>
              <w:spacing w:line="240" w:lineRule="auto"/>
              <w:ind w:left="227" w:leftChars="0" w:hanging="227" w:firstLineChars="0"/>
              <w:jc w:val="both"/>
              <w:textAlignment w:val="auto"/>
              <w:rPr>
                <w:rFonts w:hint="eastAsia"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宠物饲料生产</w:t>
            </w:r>
          </w:p>
        </w:tc>
        <w:tc>
          <w:tcPr>
            <w:tcW w:w="1962"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大三亚食品加工基地</w:t>
            </w:r>
          </w:p>
        </w:tc>
        <w:tc>
          <w:tcPr>
            <w:tcW w:w="125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新兴产业</w:t>
            </w:r>
          </w:p>
        </w:tc>
        <w:tc>
          <w:tcPr>
            <w:tcW w:w="125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积极培育</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513"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第三产业</w:t>
            </w:r>
          </w:p>
        </w:tc>
        <w:tc>
          <w:tcPr>
            <w:tcW w:w="113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商贸物流业</w:t>
            </w:r>
          </w:p>
        </w:tc>
        <w:tc>
          <w:tcPr>
            <w:tcW w:w="2409" w:type="dxa"/>
            <w:vAlign w:val="center"/>
          </w:tcPr>
          <w:p>
            <w:pPr>
              <w:keepNext w:val="0"/>
              <w:keepLines w:val="0"/>
              <w:pageBreakBefore w:val="0"/>
              <w:widowControl/>
              <w:numPr>
                <w:ilvl w:val="0"/>
                <w:numId w:val="3"/>
              </w:numPr>
              <w:suppressLineNumbers w:val="0"/>
              <w:kinsoku/>
              <w:wordWrap/>
              <w:overflowPunct/>
              <w:topLinePunct w:val="0"/>
              <w:autoSpaceDE/>
              <w:autoSpaceDN/>
              <w:bidi w:val="0"/>
              <w:adjustRightInd/>
              <w:snapToGrid/>
              <w:spacing w:line="240" w:lineRule="auto"/>
              <w:ind w:left="227" w:leftChars="0" w:hanging="227" w:firstLineChars="0"/>
              <w:jc w:val="both"/>
              <w:textAlignment w:val="auto"/>
              <w:rPr>
                <w:rFonts w:hint="default" w:ascii="楷体" w:hAnsi="楷体" w:eastAsia="楷体" w:cs="楷体"/>
                <w:b w:val="0"/>
                <w:bCs w:val="0"/>
                <w:i w:val="0"/>
                <w:color w:val="000000"/>
                <w:kern w:val="2"/>
                <w:sz w:val="24"/>
                <w:szCs w:val="24"/>
                <w:u w:val="none"/>
                <w:lang w:val="en-US" w:eastAsia="zh-CN" w:bidi="ar"/>
              </w:rPr>
            </w:pPr>
            <w:r>
              <w:rPr>
                <w:rFonts w:hint="default" w:ascii="楷体" w:hAnsi="楷体" w:eastAsia="楷体" w:cs="楷体"/>
                <w:b w:val="0"/>
                <w:bCs w:val="0"/>
                <w:i w:val="0"/>
                <w:color w:val="000000"/>
                <w:kern w:val="2"/>
                <w:sz w:val="24"/>
                <w:szCs w:val="24"/>
                <w:u w:val="none"/>
                <w:lang w:val="en-US" w:eastAsia="zh-CN" w:bidi="ar"/>
              </w:rPr>
              <w:t>生活服务业</w:t>
            </w:r>
          </w:p>
          <w:p>
            <w:pPr>
              <w:keepNext w:val="0"/>
              <w:keepLines w:val="0"/>
              <w:pageBreakBefore w:val="0"/>
              <w:widowControl/>
              <w:numPr>
                <w:ilvl w:val="0"/>
                <w:numId w:val="3"/>
              </w:numPr>
              <w:suppressLineNumbers w:val="0"/>
              <w:kinsoku/>
              <w:wordWrap/>
              <w:overflowPunct/>
              <w:topLinePunct w:val="0"/>
              <w:autoSpaceDE/>
              <w:autoSpaceDN/>
              <w:bidi w:val="0"/>
              <w:adjustRightInd/>
              <w:snapToGrid/>
              <w:spacing w:line="240" w:lineRule="auto"/>
              <w:ind w:left="227" w:leftChars="0" w:hanging="227" w:firstLineChars="0"/>
              <w:jc w:val="both"/>
              <w:textAlignment w:val="auto"/>
              <w:rPr>
                <w:rFonts w:hint="default" w:ascii="楷体" w:hAnsi="楷体" w:eastAsia="楷体" w:cs="楷体"/>
                <w:b w:val="0"/>
                <w:bCs w:val="0"/>
                <w:i w:val="0"/>
                <w:color w:val="000000"/>
                <w:kern w:val="2"/>
                <w:sz w:val="24"/>
                <w:szCs w:val="24"/>
                <w:u w:val="none"/>
                <w:lang w:val="en-US" w:eastAsia="zh-CN" w:bidi="ar"/>
              </w:rPr>
            </w:pPr>
            <w:r>
              <w:rPr>
                <w:rFonts w:hint="default" w:ascii="楷体" w:hAnsi="楷体" w:eastAsia="楷体" w:cs="楷体"/>
                <w:b w:val="0"/>
                <w:bCs w:val="0"/>
                <w:i w:val="0"/>
                <w:color w:val="000000"/>
                <w:kern w:val="2"/>
                <w:sz w:val="24"/>
                <w:szCs w:val="24"/>
                <w:u w:val="none"/>
                <w:lang w:val="en-US" w:eastAsia="zh-CN" w:bidi="ar"/>
              </w:rPr>
              <w:t>农渔产品交易</w:t>
            </w:r>
          </w:p>
          <w:p>
            <w:pPr>
              <w:keepNext w:val="0"/>
              <w:keepLines w:val="0"/>
              <w:pageBreakBefore w:val="0"/>
              <w:widowControl/>
              <w:numPr>
                <w:ilvl w:val="0"/>
                <w:numId w:val="3"/>
              </w:numPr>
              <w:suppressLineNumbers w:val="0"/>
              <w:kinsoku/>
              <w:wordWrap/>
              <w:overflowPunct/>
              <w:topLinePunct w:val="0"/>
              <w:autoSpaceDE/>
              <w:autoSpaceDN/>
              <w:bidi w:val="0"/>
              <w:adjustRightInd/>
              <w:snapToGrid/>
              <w:spacing w:line="240" w:lineRule="auto"/>
              <w:ind w:left="227" w:leftChars="0" w:hanging="227" w:firstLineChars="0"/>
              <w:jc w:val="both"/>
              <w:textAlignment w:val="auto"/>
              <w:rPr>
                <w:rFonts w:hint="default" w:ascii="楷体" w:hAnsi="楷体" w:eastAsia="楷体" w:cs="楷体"/>
                <w:b w:val="0"/>
                <w:bCs w:val="0"/>
                <w:i w:val="0"/>
                <w:color w:val="000000"/>
                <w:kern w:val="2"/>
                <w:sz w:val="24"/>
                <w:szCs w:val="24"/>
                <w:u w:val="none"/>
                <w:lang w:val="en-US" w:eastAsia="zh-CN" w:bidi="ar"/>
              </w:rPr>
            </w:pPr>
            <w:r>
              <w:rPr>
                <w:rFonts w:hint="default" w:ascii="楷体" w:hAnsi="楷体" w:eastAsia="楷体" w:cs="楷体"/>
                <w:b w:val="0"/>
                <w:bCs w:val="0"/>
                <w:i w:val="0"/>
                <w:color w:val="000000"/>
                <w:kern w:val="2"/>
                <w:sz w:val="24"/>
                <w:szCs w:val="24"/>
                <w:u w:val="none"/>
                <w:lang w:val="en-US" w:eastAsia="zh-CN" w:bidi="ar"/>
              </w:rPr>
              <w:t>现代物流</w:t>
            </w:r>
          </w:p>
          <w:p>
            <w:pPr>
              <w:keepNext w:val="0"/>
              <w:keepLines w:val="0"/>
              <w:pageBreakBefore w:val="0"/>
              <w:widowControl/>
              <w:numPr>
                <w:ilvl w:val="0"/>
                <w:numId w:val="3"/>
              </w:numPr>
              <w:suppressLineNumbers w:val="0"/>
              <w:kinsoku/>
              <w:wordWrap/>
              <w:overflowPunct/>
              <w:topLinePunct w:val="0"/>
              <w:autoSpaceDE/>
              <w:autoSpaceDN/>
              <w:bidi w:val="0"/>
              <w:adjustRightInd/>
              <w:snapToGrid/>
              <w:spacing w:line="240" w:lineRule="auto"/>
              <w:ind w:left="227" w:leftChars="0" w:hanging="227" w:firstLineChars="0"/>
              <w:jc w:val="both"/>
              <w:textAlignment w:val="auto"/>
              <w:rPr>
                <w:rFonts w:hint="default" w:ascii="楷体" w:hAnsi="楷体" w:eastAsia="楷体" w:cs="楷体"/>
                <w:b w:val="0"/>
                <w:bCs w:val="0"/>
                <w:i w:val="0"/>
                <w:color w:val="000000"/>
                <w:kern w:val="2"/>
                <w:sz w:val="24"/>
                <w:szCs w:val="24"/>
                <w:u w:val="none"/>
                <w:lang w:val="en-US" w:eastAsia="zh-CN" w:bidi="ar"/>
              </w:rPr>
            </w:pPr>
            <w:r>
              <w:rPr>
                <w:rFonts w:hint="default" w:ascii="楷体" w:hAnsi="楷体" w:eastAsia="楷体" w:cs="楷体"/>
                <w:b w:val="0"/>
                <w:bCs w:val="0"/>
                <w:i w:val="0"/>
                <w:color w:val="000000"/>
                <w:kern w:val="2"/>
                <w:sz w:val="24"/>
                <w:szCs w:val="24"/>
                <w:u w:val="none"/>
                <w:lang w:val="en-US" w:eastAsia="zh-CN" w:bidi="ar"/>
              </w:rPr>
              <w:t>电子商务</w:t>
            </w:r>
          </w:p>
          <w:p>
            <w:pPr>
              <w:keepNext w:val="0"/>
              <w:keepLines w:val="0"/>
              <w:pageBreakBefore w:val="0"/>
              <w:widowControl/>
              <w:numPr>
                <w:ilvl w:val="0"/>
                <w:numId w:val="3"/>
              </w:numPr>
              <w:suppressLineNumbers w:val="0"/>
              <w:kinsoku/>
              <w:wordWrap/>
              <w:overflowPunct/>
              <w:topLinePunct w:val="0"/>
              <w:autoSpaceDE/>
              <w:autoSpaceDN/>
              <w:bidi w:val="0"/>
              <w:adjustRightInd/>
              <w:snapToGrid/>
              <w:spacing w:line="240" w:lineRule="auto"/>
              <w:ind w:left="227" w:leftChars="0" w:hanging="227" w:firstLineChars="0"/>
              <w:jc w:val="both"/>
              <w:textAlignment w:val="auto"/>
              <w:rPr>
                <w:rFonts w:hint="eastAsia" w:ascii="楷体" w:hAnsi="楷体" w:eastAsia="楷体" w:cs="楷体"/>
                <w:b w:val="0"/>
                <w:bCs w:val="0"/>
                <w:i w:val="0"/>
                <w:color w:val="000000"/>
                <w:kern w:val="2"/>
                <w:sz w:val="24"/>
                <w:szCs w:val="24"/>
                <w:u w:val="none"/>
                <w:lang w:val="en-US" w:eastAsia="zh-CN" w:bidi="ar"/>
              </w:rPr>
            </w:pPr>
            <w:r>
              <w:rPr>
                <w:rFonts w:hint="default" w:ascii="楷体" w:hAnsi="楷体" w:eastAsia="楷体" w:cs="楷体"/>
                <w:b w:val="0"/>
                <w:bCs w:val="0"/>
                <w:i w:val="0"/>
                <w:color w:val="000000"/>
                <w:kern w:val="2"/>
                <w:sz w:val="24"/>
                <w:szCs w:val="24"/>
                <w:u w:val="none"/>
                <w:lang w:val="en-US" w:eastAsia="zh-CN" w:bidi="ar"/>
              </w:rPr>
              <w:t>免税购物</w:t>
            </w:r>
          </w:p>
        </w:tc>
        <w:tc>
          <w:tcPr>
            <w:tcW w:w="1962"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南海商贸物流枢纽</w:t>
            </w:r>
          </w:p>
        </w:tc>
        <w:tc>
          <w:tcPr>
            <w:tcW w:w="125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优势产业</w:t>
            </w:r>
          </w:p>
        </w:tc>
        <w:tc>
          <w:tcPr>
            <w:tcW w:w="125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重点推进</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513"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13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全域旅游</w:t>
            </w:r>
          </w:p>
        </w:tc>
        <w:tc>
          <w:tcPr>
            <w:tcW w:w="2409" w:type="dxa"/>
            <w:vAlign w:val="center"/>
          </w:tcPr>
          <w:p>
            <w:pPr>
              <w:keepNext w:val="0"/>
              <w:keepLines w:val="0"/>
              <w:pageBreakBefore w:val="0"/>
              <w:widowControl/>
              <w:numPr>
                <w:ilvl w:val="0"/>
                <w:numId w:val="3"/>
              </w:numPr>
              <w:suppressLineNumbers w:val="0"/>
              <w:kinsoku/>
              <w:wordWrap/>
              <w:overflowPunct/>
              <w:topLinePunct w:val="0"/>
              <w:autoSpaceDE/>
              <w:autoSpaceDN/>
              <w:bidi w:val="0"/>
              <w:adjustRightInd/>
              <w:snapToGrid/>
              <w:spacing w:line="240" w:lineRule="auto"/>
              <w:ind w:left="227" w:leftChars="0" w:hanging="227" w:firstLineChars="0"/>
              <w:jc w:val="both"/>
              <w:textAlignment w:val="auto"/>
              <w:rPr>
                <w:rFonts w:hint="eastAsia"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古城文化游</w:t>
            </w:r>
          </w:p>
          <w:p>
            <w:pPr>
              <w:keepNext w:val="0"/>
              <w:keepLines w:val="0"/>
              <w:pageBreakBefore w:val="0"/>
              <w:widowControl/>
              <w:numPr>
                <w:ilvl w:val="0"/>
                <w:numId w:val="3"/>
              </w:numPr>
              <w:suppressLineNumbers w:val="0"/>
              <w:kinsoku/>
              <w:wordWrap/>
              <w:overflowPunct/>
              <w:topLinePunct w:val="0"/>
              <w:autoSpaceDE/>
              <w:autoSpaceDN/>
              <w:bidi w:val="0"/>
              <w:adjustRightInd/>
              <w:snapToGrid/>
              <w:spacing w:line="240" w:lineRule="auto"/>
              <w:ind w:left="227" w:leftChars="0" w:hanging="227" w:firstLineChars="0"/>
              <w:jc w:val="both"/>
              <w:textAlignment w:val="auto"/>
              <w:rPr>
                <w:rFonts w:hint="eastAsia"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主题乐园游</w:t>
            </w:r>
          </w:p>
          <w:p>
            <w:pPr>
              <w:keepNext w:val="0"/>
              <w:keepLines w:val="0"/>
              <w:pageBreakBefore w:val="0"/>
              <w:widowControl/>
              <w:numPr>
                <w:ilvl w:val="0"/>
                <w:numId w:val="3"/>
              </w:numPr>
              <w:suppressLineNumbers w:val="0"/>
              <w:kinsoku/>
              <w:wordWrap/>
              <w:overflowPunct/>
              <w:topLinePunct w:val="0"/>
              <w:autoSpaceDE/>
              <w:autoSpaceDN/>
              <w:bidi w:val="0"/>
              <w:adjustRightInd/>
              <w:snapToGrid/>
              <w:spacing w:line="240" w:lineRule="auto"/>
              <w:ind w:left="227" w:leftChars="0" w:hanging="227" w:firstLineChars="0"/>
              <w:jc w:val="both"/>
              <w:textAlignment w:val="auto"/>
              <w:rPr>
                <w:rFonts w:hint="eastAsia"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亲子研学游</w:t>
            </w:r>
          </w:p>
          <w:p>
            <w:pPr>
              <w:keepNext w:val="0"/>
              <w:keepLines w:val="0"/>
              <w:pageBreakBefore w:val="0"/>
              <w:widowControl/>
              <w:numPr>
                <w:ilvl w:val="0"/>
                <w:numId w:val="3"/>
              </w:numPr>
              <w:suppressLineNumbers w:val="0"/>
              <w:kinsoku/>
              <w:wordWrap/>
              <w:overflowPunct/>
              <w:topLinePunct w:val="0"/>
              <w:autoSpaceDE/>
              <w:autoSpaceDN/>
              <w:bidi w:val="0"/>
              <w:adjustRightInd/>
              <w:snapToGrid/>
              <w:spacing w:line="240" w:lineRule="auto"/>
              <w:ind w:left="227" w:leftChars="0" w:hanging="227" w:firstLineChars="0"/>
              <w:jc w:val="both"/>
              <w:textAlignment w:val="auto"/>
              <w:rPr>
                <w:rFonts w:hint="eastAsia"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南海之恋游</w:t>
            </w:r>
          </w:p>
          <w:p>
            <w:pPr>
              <w:keepNext w:val="0"/>
              <w:keepLines w:val="0"/>
              <w:pageBreakBefore w:val="0"/>
              <w:widowControl/>
              <w:numPr>
                <w:ilvl w:val="0"/>
                <w:numId w:val="3"/>
              </w:numPr>
              <w:suppressLineNumbers w:val="0"/>
              <w:kinsoku/>
              <w:wordWrap/>
              <w:overflowPunct/>
              <w:topLinePunct w:val="0"/>
              <w:autoSpaceDE/>
              <w:autoSpaceDN/>
              <w:bidi w:val="0"/>
              <w:adjustRightInd/>
              <w:snapToGrid/>
              <w:spacing w:line="240" w:lineRule="auto"/>
              <w:ind w:left="227" w:leftChars="0" w:hanging="227" w:firstLineChars="0"/>
              <w:jc w:val="both"/>
              <w:textAlignment w:val="auto"/>
              <w:rPr>
                <w:rFonts w:hint="eastAsia"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运动体验游</w:t>
            </w:r>
          </w:p>
          <w:p>
            <w:pPr>
              <w:keepNext w:val="0"/>
              <w:keepLines w:val="0"/>
              <w:pageBreakBefore w:val="0"/>
              <w:widowControl/>
              <w:numPr>
                <w:ilvl w:val="0"/>
                <w:numId w:val="3"/>
              </w:numPr>
              <w:suppressLineNumbers w:val="0"/>
              <w:kinsoku/>
              <w:wordWrap/>
              <w:overflowPunct/>
              <w:topLinePunct w:val="0"/>
              <w:autoSpaceDE/>
              <w:autoSpaceDN/>
              <w:bidi w:val="0"/>
              <w:adjustRightInd/>
              <w:snapToGrid/>
              <w:spacing w:line="240" w:lineRule="auto"/>
              <w:ind w:left="227" w:leftChars="0" w:hanging="227" w:firstLineChars="0"/>
              <w:jc w:val="both"/>
              <w:textAlignment w:val="auto"/>
              <w:rPr>
                <w:rFonts w:hint="eastAsia"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休闲农渔业游</w:t>
            </w:r>
          </w:p>
          <w:p>
            <w:pPr>
              <w:keepNext w:val="0"/>
              <w:keepLines w:val="0"/>
              <w:pageBreakBefore w:val="0"/>
              <w:widowControl/>
              <w:numPr>
                <w:ilvl w:val="0"/>
                <w:numId w:val="3"/>
              </w:numPr>
              <w:suppressLineNumbers w:val="0"/>
              <w:kinsoku/>
              <w:wordWrap/>
              <w:overflowPunct/>
              <w:topLinePunct w:val="0"/>
              <w:autoSpaceDE/>
              <w:autoSpaceDN/>
              <w:bidi w:val="0"/>
              <w:adjustRightInd/>
              <w:snapToGrid/>
              <w:spacing w:line="240" w:lineRule="auto"/>
              <w:ind w:left="227" w:leftChars="0" w:hanging="227" w:firstLineChars="0"/>
              <w:jc w:val="both"/>
              <w:textAlignment w:val="auto"/>
              <w:rPr>
                <w:rFonts w:hint="default"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红色爱国游</w:t>
            </w:r>
          </w:p>
        </w:tc>
        <w:tc>
          <w:tcPr>
            <w:tcW w:w="1962"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大三亚旅游圈重要支点</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历史文旅目的地</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宗教文旅目的地</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科普研学目的地</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农旅度假目的地</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体育旅游目的地</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红色旅游目的地</w:t>
            </w:r>
          </w:p>
        </w:tc>
        <w:tc>
          <w:tcPr>
            <w:tcW w:w="125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主导产业</w:t>
            </w:r>
          </w:p>
        </w:tc>
        <w:tc>
          <w:tcPr>
            <w:tcW w:w="125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全力发展</w:t>
            </w:r>
          </w:p>
        </w:tc>
      </w:tr>
    </w:tbl>
    <w:p>
      <w:pPr>
        <w:pStyle w:val="4"/>
        <w:bidi w:val="0"/>
        <w:rPr>
          <w:rFonts w:hint="default"/>
          <w:lang w:val="en-US" w:eastAsia="zh-CN"/>
        </w:rPr>
      </w:pPr>
      <w:bookmarkStart w:id="83" w:name="_Toc19277"/>
      <w:bookmarkStart w:id="84" w:name="_Toc5275"/>
      <w:bookmarkStart w:id="85" w:name="_Toc12249"/>
      <w:r>
        <w:rPr>
          <w:rFonts w:hint="eastAsia"/>
          <w:lang w:val="en-US" w:eastAsia="zh-CN"/>
        </w:rPr>
        <w:t>二、产业体系：两主导+两优势+两新兴</w:t>
      </w:r>
      <w:bookmarkEnd w:id="83"/>
      <w:bookmarkEnd w:id="84"/>
      <w:bookmarkEnd w:id="85"/>
    </w:p>
    <w:p>
      <w:pPr>
        <w:pStyle w:val="5"/>
        <w:bidi w:val="0"/>
        <w:rPr>
          <w:rFonts w:hint="eastAsia"/>
          <w:lang w:val="en-US" w:eastAsia="zh-CN"/>
        </w:rPr>
      </w:pPr>
      <w:bookmarkStart w:id="86" w:name="_Toc846"/>
      <w:bookmarkStart w:id="87" w:name="_Toc7031"/>
      <w:bookmarkStart w:id="88" w:name="_Toc27783"/>
      <w:r>
        <w:rPr>
          <w:rFonts w:hint="eastAsia"/>
          <w:lang w:val="en-US" w:eastAsia="zh-CN"/>
        </w:rPr>
        <w:t>——两个主导产业</w:t>
      </w:r>
      <w:bookmarkEnd w:id="86"/>
      <w:bookmarkEnd w:id="87"/>
      <w:bookmarkEnd w:id="88"/>
    </w:p>
    <w:p>
      <w:pPr>
        <w:pStyle w:val="5"/>
        <w:numPr>
          <w:ilvl w:val="0"/>
          <w:numId w:val="4"/>
        </w:numPr>
        <w:bidi w:val="0"/>
        <w:rPr>
          <w:rFonts w:hint="default"/>
          <w:lang w:val="en-US" w:eastAsia="zh-CN"/>
        </w:rPr>
      </w:pPr>
      <w:bookmarkStart w:id="89" w:name="_Toc16174"/>
      <w:bookmarkStart w:id="90" w:name="_Toc2107"/>
      <w:bookmarkStart w:id="91" w:name="_Toc30670"/>
      <w:r>
        <w:rPr>
          <w:rFonts w:hint="eastAsia"/>
          <w:lang w:val="en-US" w:eastAsia="zh-CN"/>
        </w:rPr>
        <w:t>全域旅游：大三亚旅游圈重要支点</w:t>
      </w:r>
      <w:bookmarkEnd w:id="89"/>
      <w:bookmarkEnd w:id="90"/>
      <w:bookmarkEnd w:id="91"/>
    </w:p>
    <w:p>
      <w:pPr>
        <w:rPr>
          <w:rFonts w:hint="default"/>
          <w:lang w:val="en-US" w:eastAsia="zh-CN"/>
        </w:rPr>
      </w:pPr>
      <w:r>
        <w:rPr>
          <w:rFonts w:hint="default"/>
          <w:lang w:val="en-US" w:eastAsia="zh-CN"/>
        </w:rPr>
        <w:t>打造“六大旅游目的地”的全域旅游格局</w:t>
      </w:r>
      <w:r>
        <w:rPr>
          <w:rFonts w:hint="eastAsia"/>
          <w:lang w:val="en-US" w:eastAsia="zh-CN"/>
        </w:rPr>
        <w:t>，</w:t>
      </w:r>
      <w:r>
        <w:rPr>
          <w:rFonts w:hint="default"/>
          <w:lang w:val="en-US" w:eastAsia="zh-CN"/>
        </w:rPr>
        <w:t>“六大旅游目的地”指打造以崖州千年古城为核心的历史文化旅游目的地，以南山、大小洞天为核心的宗教文化旅游目的地，以南繁、深海为核心的科普研学旅游目的地，以农旅融合为核心的农旅度假康养旅游目的地，以“海陆空”运动为核心的体育旅游目的地，以梅山爱国主义教育基地为核心的红色旅游目的地。</w:t>
      </w:r>
    </w:p>
    <w:p>
      <w:pPr>
        <w:pStyle w:val="5"/>
        <w:numPr>
          <w:ilvl w:val="0"/>
          <w:numId w:val="4"/>
        </w:numPr>
        <w:bidi w:val="0"/>
        <w:rPr>
          <w:rFonts w:hint="default"/>
          <w:lang w:val="en-US" w:eastAsia="zh-CN"/>
        </w:rPr>
      </w:pPr>
      <w:bookmarkStart w:id="92" w:name="_Toc11028"/>
      <w:bookmarkStart w:id="93" w:name="_Toc32425"/>
      <w:bookmarkStart w:id="94" w:name="_Toc5777"/>
      <w:r>
        <w:rPr>
          <w:rFonts w:hint="eastAsia"/>
          <w:lang w:val="en-US" w:eastAsia="zh-CN"/>
        </w:rPr>
        <w:t>热带农业：国家热带特色高效农业示范区</w:t>
      </w:r>
      <w:bookmarkEnd w:id="92"/>
      <w:bookmarkEnd w:id="93"/>
      <w:bookmarkEnd w:id="94"/>
    </w:p>
    <w:p>
      <w:pPr>
        <w:ind w:firstLine="560"/>
        <w:rPr>
          <w:rFonts w:hint="eastAsia"/>
          <w:lang w:val="en-US" w:eastAsia="zh-CN"/>
        </w:rPr>
      </w:pPr>
      <w:r>
        <w:rPr>
          <w:rFonts w:hint="eastAsia" w:ascii="仿宋_GB2312" w:eastAsia="仿宋_GB2312"/>
          <w:lang w:val="en-US" w:eastAsia="zh-CN"/>
        </w:rPr>
        <w:t>崖州农业水土光热本底条件俱佳、为国内少见，在南繁科技城技术加持下，崖州农业要做好农业科技成果应用转化、打品牌做认证、拥抱新业态三篇文章，走科技化、规模化、品牌化、生态化、电商化路线，打造以冬季瓜菜和洋田育种为重点、科技聚集、品牌显著、生态高效、利润超额、一二三产业（六次产业）融合发展的热带农业范本，在自贸港背景下积极建设热带水果和冬季瓜菜出口种植基地，把崖州建设成为国家级热带特色高效农业示范区。</w:t>
      </w:r>
    </w:p>
    <w:tbl>
      <w:tblPr>
        <w:tblStyle w:val="19"/>
        <w:tblW w:w="0" w:type="auto"/>
        <w:tblInd w:w="0" w:type="dxa"/>
        <w:tblBorders>
          <w:top w:val="thinThickSmallGap" w:color="auto" w:sz="2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thinThickSmallGap" w:color="auto" w:sz="2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22" w:type="dxa"/>
            <w:tcBorders>
              <w:top w:val="thinThickSmallGap" w:color="A4A4A4" w:sz="12" w:space="0"/>
              <w:bottom w:val="thickThinSmallGap" w:color="A4A4A4" w:sz="12" w:space="0"/>
            </w:tcBorders>
          </w:tcPr>
          <w:p>
            <w:pPr>
              <w:pStyle w:val="31"/>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b/>
                <w:bCs/>
                <w:sz w:val="24"/>
                <w:szCs w:val="24"/>
                <w:lang w:val="en-US" w:eastAsia="zh-CN"/>
              </w:rPr>
            </w:pPr>
            <w:r>
              <w:rPr>
                <w:rFonts w:hint="eastAsia"/>
                <w:b/>
                <w:bCs/>
                <w:sz w:val="24"/>
                <w:szCs w:val="24"/>
                <w:lang w:val="en-US" w:eastAsia="zh-CN"/>
              </w:rPr>
              <w:t>专栏4  案例借鉴：“中国蔬菜之乡”山东寿光的高效农业模式</w:t>
            </w:r>
          </w:p>
          <w:p>
            <w:pPr>
              <w:pStyle w:val="3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val="0"/>
                <w:bCs w:val="0"/>
                <w:sz w:val="24"/>
                <w:szCs w:val="24"/>
                <w:lang w:val="en-US" w:eastAsia="zh-CN"/>
              </w:rPr>
            </w:pPr>
            <w:r>
              <w:rPr>
                <w:rFonts w:hint="eastAsia"/>
                <w:b w:val="0"/>
                <w:bCs w:val="0"/>
                <w:sz w:val="24"/>
                <w:szCs w:val="24"/>
                <w:lang w:val="en-US" w:eastAsia="zh-CN"/>
              </w:rPr>
              <w:t>（1）规模化：2019年，寿光有日光温室14.7万个、拱棚2.5万个，设施蔬菜种植面积60万亩，年产450万吨，产值110亿元，直接从事蔬菜生产的农户达7.8万户。</w:t>
            </w:r>
          </w:p>
          <w:p>
            <w:pPr>
              <w:pStyle w:val="3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val="0"/>
                <w:bCs w:val="0"/>
                <w:sz w:val="24"/>
                <w:szCs w:val="24"/>
                <w:lang w:val="en-US" w:eastAsia="zh-CN"/>
              </w:rPr>
            </w:pPr>
            <w:r>
              <w:rPr>
                <w:rFonts w:hint="eastAsia"/>
                <w:b w:val="0"/>
                <w:bCs w:val="0"/>
                <w:sz w:val="24"/>
                <w:szCs w:val="24"/>
                <w:lang w:val="en-US" w:eastAsia="zh-CN"/>
              </w:rPr>
              <w:t>（2）科技化：与中国农科院、中国农业大学等40多家科研院所深度合作，建设现代农业高新技术试验示范基地，集最前沿的新技术、新品种及新装备于一体，通过可视化的温室集群智慧管控云服务托管系统，实现整个基地生产全流程云端托管。</w:t>
            </w:r>
          </w:p>
          <w:p>
            <w:pPr>
              <w:pStyle w:val="3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val="0"/>
                <w:bCs w:val="0"/>
                <w:sz w:val="24"/>
                <w:szCs w:val="24"/>
                <w:lang w:val="en-US" w:eastAsia="zh-CN"/>
              </w:rPr>
            </w:pPr>
            <w:r>
              <w:rPr>
                <w:rFonts w:hint="eastAsia"/>
                <w:b w:val="0"/>
                <w:bCs w:val="0"/>
                <w:sz w:val="24"/>
                <w:szCs w:val="24"/>
                <w:lang w:val="en-US" w:eastAsia="zh-CN"/>
              </w:rPr>
              <w:t>（3）品牌化：突出“品牌兴农”战略，鼓励引导经营主体开展品牌创建，培育出“乐义蔬菜”、“七彩庄园”等中国驰名商标。2019年“寿光蔬菜”公共品牌在国家知识产权局成功注册。</w:t>
            </w:r>
          </w:p>
          <w:p>
            <w:pPr>
              <w:pStyle w:val="3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val="0"/>
                <w:bCs w:val="0"/>
                <w:sz w:val="24"/>
                <w:szCs w:val="24"/>
                <w:lang w:val="en-US" w:eastAsia="zh-CN"/>
              </w:rPr>
            </w:pPr>
            <w:r>
              <w:rPr>
                <w:rFonts w:hint="eastAsia"/>
                <w:b w:val="0"/>
                <w:bCs w:val="0"/>
                <w:sz w:val="24"/>
                <w:szCs w:val="24"/>
                <w:lang w:val="en-US" w:eastAsia="zh-CN"/>
              </w:rPr>
              <w:t>（4）生态化：“三品一标”（无公害农产品、绿色食品、有机食品、地理标志产品）达325个，寿光蔬菜获批中国特色农产品，成为2022年北京冬奥会蔬菜直供基地。创建安全监管模式，把寿光打造成全国最安全、最放心、最优质“菜篮子”。</w:t>
            </w:r>
          </w:p>
          <w:p>
            <w:pPr>
              <w:pStyle w:val="3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val="0"/>
                <w:bCs w:val="0"/>
                <w:sz w:val="24"/>
                <w:szCs w:val="24"/>
                <w:lang w:val="en-US" w:eastAsia="zh-CN"/>
              </w:rPr>
            </w:pPr>
            <w:r>
              <w:rPr>
                <w:rFonts w:hint="eastAsia"/>
                <w:b w:val="0"/>
                <w:bCs w:val="0"/>
                <w:sz w:val="24"/>
                <w:szCs w:val="24"/>
                <w:lang w:val="en-US" w:eastAsia="zh-CN"/>
              </w:rPr>
              <w:t>（5）国际化：多年经营成为亚洲最大蔬菜种植基地，每天有300多个品种、15000吨新鲜果蔬运往200多个大中城市，并出口日本、韩国。2019年在寿光举办的第20届中国（寿光）国际蔬菜科技博览会吸引40多个国家参展参会，签约重点项目23个，总投资84亿元。</w:t>
            </w:r>
          </w:p>
          <w:p>
            <w:pPr>
              <w:pStyle w:val="3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val="0"/>
                <w:bCs w:val="0"/>
                <w:sz w:val="28"/>
                <w:szCs w:val="28"/>
                <w:lang w:val="en-US" w:eastAsia="zh-CN"/>
              </w:rPr>
            </w:pPr>
            <w:r>
              <w:rPr>
                <w:rFonts w:hint="eastAsia"/>
                <w:b w:val="0"/>
                <w:bCs w:val="0"/>
                <w:sz w:val="24"/>
                <w:szCs w:val="24"/>
                <w:lang w:val="en-US" w:eastAsia="zh-CN"/>
              </w:rPr>
              <w:t>（6）电商化：天猫正宗原产地与天猫农场携手寿光市人民政府，共同打造寿光蔬菜天猫正宗原产地，通过天猫互联网大数据、云计算为“寿光蔬菜”发展数字化赋能，促进寿光蔬菜产业升级，打通寿光蔬菜网络销售道路。</w:t>
            </w:r>
          </w:p>
        </w:tc>
      </w:tr>
    </w:tbl>
    <w:p>
      <w:pPr>
        <w:pStyle w:val="5"/>
        <w:bidi w:val="0"/>
        <w:rPr>
          <w:rFonts w:hint="default"/>
          <w:lang w:val="en-US" w:eastAsia="zh-CN"/>
        </w:rPr>
      </w:pPr>
      <w:bookmarkStart w:id="95" w:name="_Toc12368"/>
      <w:bookmarkStart w:id="96" w:name="_Toc9128"/>
      <w:bookmarkStart w:id="97" w:name="_Toc27774"/>
      <w:r>
        <w:rPr>
          <w:rFonts w:hint="eastAsia"/>
          <w:lang w:val="en-US" w:eastAsia="zh-CN"/>
        </w:rPr>
        <w:t>——两个优势</w:t>
      </w:r>
      <w:r>
        <w:rPr>
          <w:rFonts w:hint="default"/>
          <w:lang w:val="en-US" w:eastAsia="zh-CN"/>
        </w:rPr>
        <w:t>产业</w:t>
      </w:r>
      <w:bookmarkEnd w:id="95"/>
      <w:bookmarkEnd w:id="96"/>
      <w:bookmarkEnd w:id="97"/>
    </w:p>
    <w:p>
      <w:pPr>
        <w:pStyle w:val="5"/>
        <w:numPr>
          <w:ilvl w:val="0"/>
          <w:numId w:val="5"/>
        </w:numPr>
        <w:bidi w:val="0"/>
        <w:rPr>
          <w:rFonts w:hint="default"/>
          <w:lang w:val="en-US" w:eastAsia="zh-CN"/>
        </w:rPr>
      </w:pPr>
      <w:bookmarkStart w:id="98" w:name="_Toc26058"/>
      <w:bookmarkStart w:id="99" w:name="_Toc2111"/>
      <w:bookmarkStart w:id="100" w:name="_Toc28993"/>
      <w:r>
        <w:rPr>
          <w:rFonts w:hint="eastAsia"/>
          <w:lang w:val="en-US" w:eastAsia="zh-CN"/>
        </w:rPr>
        <w:t>商贸物流业：商贸物流枢纽</w:t>
      </w:r>
      <w:bookmarkEnd w:id="98"/>
      <w:bookmarkEnd w:id="99"/>
      <w:bookmarkEnd w:id="100"/>
    </w:p>
    <w:p>
      <w:pPr>
        <w:rPr>
          <w:rFonts w:hint="eastAsia"/>
          <w:lang w:val="en-US" w:eastAsia="zh-CN"/>
        </w:rPr>
      </w:pPr>
      <w:r>
        <w:rPr>
          <w:rFonts w:hint="eastAsia"/>
          <w:lang w:val="en-US" w:eastAsia="zh-CN"/>
        </w:rPr>
        <w:t>打造联通国际国内的全球性商贸物流节点是国家赋予海南建设自贸港的重要使命，崖州拥有中国最南端的瓜菜交易集散中心和最南端的国家级中心渔港，即是全国供应链物流网络的最南端节点，也是全国最深入亚太、最靠近东南亚的供应链物流节点，战略位置十分重要。</w:t>
      </w:r>
    </w:p>
    <w:p>
      <w:pPr>
        <w:rPr>
          <w:rFonts w:hint="eastAsia"/>
          <w:lang w:val="en-US" w:eastAsia="zh-CN"/>
        </w:rPr>
      </w:pPr>
      <w:r>
        <w:rPr>
          <w:rFonts w:hint="eastAsia"/>
          <w:lang w:val="en-US" w:eastAsia="zh-CN"/>
        </w:rPr>
        <w:t>崖州要做好瓜菜和水产两大商贸物流业基地，加快建设完善冷链基础设施网络，拥抱物流商贸新经济新业态新模式。积极发展辐射全国的农产品出岛集散交易中心和服务大三亚的农产品进岛集散交易中心，发展热带特色水果国内电商销售和跨境电商出口新业态，依托果蔬综合批发市场搭建农产品出口平台，成为海南热带水果和冬季瓜菜的出口基地。积极在自贸港制度下发展面向南海及全球的海产品保税仓储加工交易，为国内外远洋捕捞船队提供免税后勤保障服务，把崖州从中国最南的“盲端”变为内外联络的“枢纽”，建设成为中国最南供应链基地。</w:t>
      </w:r>
    </w:p>
    <w:tbl>
      <w:tblPr>
        <w:tblStyle w:val="19"/>
        <w:tblW w:w="5000" w:type="pct"/>
        <w:tblInd w:w="0" w:type="dxa"/>
        <w:tblBorders>
          <w:top w:val="thinThickSmallGap" w:color="auto" w:sz="2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thinThickSmallGap" w:color="auto" w:sz="2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22" w:type="dxa"/>
            <w:tcBorders>
              <w:top w:val="thinThickSmallGap" w:color="A4A4A4" w:sz="12" w:space="0"/>
              <w:bottom w:val="thickThinSmallGap" w:color="A4A4A4" w:sz="12" w:space="0"/>
            </w:tcBorders>
            <w:vAlign w:val="top"/>
          </w:tcPr>
          <w:p>
            <w:pPr>
              <w:pStyle w:val="31"/>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b/>
                <w:bCs/>
                <w:sz w:val="24"/>
                <w:szCs w:val="24"/>
                <w:lang w:val="en-US" w:eastAsia="zh-CN"/>
              </w:rPr>
            </w:pPr>
            <w:r>
              <w:rPr>
                <w:rFonts w:hint="eastAsia"/>
                <w:b/>
                <w:bCs/>
                <w:sz w:val="24"/>
                <w:szCs w:val="24"/>
                <w:lang w:val="en-US" w:eastAsia="zh-CN"/>
              </w:rPr>
              <w:t>专栏5  案例借鉴：欧洲最大渔港西班牙比戈（Vigo）渔港</w:t>
            </w:r>
          </w:p>
          <w:p>
            <w:pPr>
              <w:pStyle w:val="3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b w:val="0"/>
                <w:bCs w:val="0"/>
                <w:sz w:val="24"/>
                <w:szCs w:val="24"/>
                <w:lang w:val="en-US" w:eastAsia="zh-CN"/>
              </w:rPr>
            </w:pPr>
            <w:r>
              <w:rPr>
                <w:rFonts w:hint="eastAsia"/>
                <w:b w:val="0"/>
                <w:bCs w:val="0"/>
                <w:sz w:val="24"/>
                <w:szCs w:val="24"/>
                <w:lang w:val="en-US" w:eastAsia="zh-CN"/>
              </w:rPr>
              <w:t>西班牙比戈（Vigo）渔港位于西班牙西部、欧洲大陆西南部，是欧洲最大渔港，比戈（Vigo）渔港的发展主要有以下特征：</w:t>
            </w:r>
          </w:p>
          <w:p>
            <w:pPr>
              <w:pStyle w:val="3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val="0"/>
                <w:bCs w:val="0"/>
                <w:sz w:val="24"/>
                <w:szCs w:val="24"/>
                <w:lang w:val="en-US" w:eastAsia="zh-CN"/>
              </w:rPr>
            </w:pPr>
            <w:r>
              <w:rPr>
                <w:rFonts w:hint="eastAsia"/>
                <w:b w:val="0"/>
                <w:bCs w:val="0"/>
                <w:sz w:val="24"/>
                <w:szCs w:val="24"/>
                <w:lang w:val="en-US" w:eastAsia="zh-CN"/>
              </w:rPr>
              <w:t>（1）是欧洲大型远洋捕捞公司基地，这些远洋捕捞船队的作业范围遍布大西洋，是欧盟重要的渔船卸货、维护、补给、海员招聘基地，甚至挪威养殖三文鱼也到这里交易。</w:t>
            </w:r>
          </w:p>
          <w:p>
            <w:pPr>
              <w:pStyle w:val="3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val="0"/>
                <w:bCs w:val="0"/>
                <w:sz w:val="24"/>
                <w:szCs w:val="24"/>
                <w:lang w:val="en-US" w:eastAsia="zh-CN"/>
              </w:rPr>
            </w:pPr>
            <w:r>
              <w:rPr>
                <w:rFonts w:hint="eastAsia"/>
                <w:b w:val="0"/>
                <w:bCs w:val="0"/>
                <w:sz w:val="24"/>
                <w:szCs w:val="24"/>
                <w:lang w:val="en-US" w:eastAsia="zh-CN"/>
              </w:rPr>
              <w:t>（2）渔业产业链丰富，多样化程度高，依托渔港发展起渔业捕捞、养殖、加工、贸易、修船、会展等产业，通过各种鱼类市场、拍卖活动、冷冻设施、罐头加工厂等就地转化分散渔获。在比戈举办的世界渔业展（WFE）是世界上规模最大、影响最广的渔业博览会，并同时举办西班牙国际水产养殖业展（AQA）。</w:t>
            </w:r>
          </w:p>
          <w:p>
            <w:pPr>
              <w:pStyle w:val="3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val="0"/>
                <w:bCs w:val="0"/>
                <w:sz w:val="24"/>
                <w:szCs w:val="24"/>
                <w:lang w:val="en-US" w:eastAsia="zh-CN"/>
              </w:rPr>
            </w:pPr>
            <w:r>
              <w:rPr>
                <w:rFonts w:hint="eastAsia"/>
                <w:b w:val="0"/>
                <w:bCs w:val="0"/>
                <w:sz w:val="24"/>
                <w:szCs w:val="24"/>
                <w:lang w:val="en-US" w:eastAsia="zh-CN"/>
              </w:rPr>
              <w:t>（3）港口及周边区域集聚多重功能，不仅服务远洋捕捞及渔获流通，还具备冷链物流、渔业加工、渔业休闲、远洋捕捞补给、生物多样性保护等功能，具有完善的基础配套设施、供给及服务。</w:t>
            </w:r>
          </w:p>
          <w:p>
            <w:pPr>
              <w:pStyle w:val="3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val="0"/>
                <w:bCs w:val="0"/>
                <w:sz w:val="24"/>
                <w:szCs w:val="24"/>
                <w:lang w:val="en-US" w:eastAsia="zh-CN"/>
              </w:rPr>
            </w:pPr>
            <w:r>
              <w:rPr>
                <w:rFonts w:hint="eastAsia"/>
                <w:b w:val="0"/>
                <w:bCs w:val="0"/>
                <w:sz w:val="24"/>
                <w:szCs w:val="24"/>
                <w:lang w:val="en-US" w:eastAsia="zh-CN"/>
              </w:rPr>
              <w:t>（4）欧盟一体化使比戈（Vigo）渔港自带欧盟区保税属性，吸引欧洲捕捞公司再次汇集，并建设了不同行政主体的捕鱼和海洋研究中心。</w:t>
            </w:r>
          </w:p>
          <w:p>
            <w:pPr>
              <w:pStyle w:val="31"/>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b w:val="0"/>
                <w:bCs w:val="0"/>
                <w:sz w:val="24"/>
                <w:szCs w:val="24"/>
                <w:lang w:val="en-US" w:eastAsia="zh-CN"/>
              </w:rPr>
            </w:pPr>
            <w:r>
              <w:rPr>
                <w:rFonts w:hint="eastAsia"/>
                <w:b w:val="0"/>
                <w:bCs w:val="0"/>
                <w:sz w:val="24"/>
                <w:szCs w:val="24"/>
                <w:lang w:val="en-US" w:eastAsia="zh-CN"/>
              </w:rPr>
              <w:drawing>
                <wp:inline distT="0" distB="0" distL="114300" distR="114300">
                  <wp:extent cx="2564130" cy="1440180"/>
                  <wp:effectExtent l="0" t="0" r="7620" b="7620"/>
                  <wp:docPr id="12" name="图片 12" descr="C:/Users/刘桓/AppData/Local/Temp/picturescale_20200707105503/output_20200707105520.pngoutput_20200707105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刘桓/AppData/Local/Temp/picturescale_20200707105503/output_20200707105520.pngoutput_20200707105520"/>
                          <pic:cNvPicPr>
                            <a:picLocks noChangeAspect="1"/>
                          </pic:cNvPicPr>
                        </pic:nvPicPr>
                        <pic:blipFill>
                          <a:blip r:embed="rId10">
                            <a:lum bright="18000" contrast="12000"/>
                          </a:blip>
                          <a:stretch>
                            <a:fillRect/>
                          </a:stretch>
                        </pic:blipFill>
                        <pic:spPr>
                          <a:xfrm>
                            <a:off x="0" y="0"/>
                            <a:ext cx="2564130" cy="1440180"/>
                          </a:xfrm>
                          <a:prstGeom prst="rect">
                            <a:avLst/>
                          </a:prstGeom>
                        </pic:spPr>
                      </pic:pic>
                    </a:graphicData>
                  </a:graphic>
                </wp:inline>
              </w:drawing>
            </w:r>
            <w:r>
              <w:rPr>
                <w:rFonts w:hint="eastAsia"/>
                <w:b w:val="0"/>
                <w:bCs w:val="0"/>
                <w:sz w:val="24"/>
                <w:szCs w:val="24"/>
                <w:lang w:val="en-US" w:eastAsia="zh-CN"/>
              </w:rPr>
              <w:t xml:space="preserve"> </w:t>
            </w:r>
            <w:r>
              <w:rPr>
                <w:rFonts w:hint="eastAsia"/>
                <w:b w:val="0"/>
                <w:bCs w:val="0"/>
                <w:sz w:val="24"/>
                <w:szCs w:val="24"/>
                <w:lang w:val="en-US" w:eastAsia="zh-CN"/>
              </w:rPr>
              <w:drawing>
                <wp:inline distT="0" distB="0" distL="114300" distR="114300">
                  <wp:extent cx="2556510" cy="1440180"/>
                  <wp:effectExtent l="0" t="0" r="15240" b="7620"/>
                  <wp:docPr id="13" name="图片 13" descr="制图ppt_页面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制图ppt_页面_02"/>
                          <pic:cNvPicPr>
                            <a:picLocks noChangeAspect="1"/>
                          </pic:cNvPicPr>
                        </pic:nvPicPr>
                        <pic:blipFill>
                          <a:blip r:embed="rId11">
                            <a:lum bright="6000" contrast="6000"/>
                          </a:blip>
                          <a:srcRect b="19044"/>
                          <a:stretch>
                            <a:fillRect/>
                          </a:stretch>
                        </pic:blipFill>
                        <pic:spPr>
                          <a:xfrm>
                            <a:off x="0" y="0"/>
                            <a:ext cx="2556510" cy="1440180"/>
                          </a:xfrm>
                          <a:prstGeom prst="rect">
                            <a:avLst/>
                          </a:prstGeom>
                        </pic:spPr>
                      </pic:pic>
                    </a:graphicData>
                  </a:graphic>
                </wp:inline>
              </w:drawing>
            </w:r>
          </w:p>
          <w:p>
            <w:pPr>
              <w:pStyle w:val="31"/>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b w:val="0"/>
                <w:bCs w:val="0"/>
                <w:sz w:val="24"/>
                <w:szCs w:val="24"/>
                <w:lang w:val="en-US" w:eastAsia="zh-CN"/>
              </w:rPr>
            </w:pPr>
            <w:r>
              <w:rPr>
                <w:rFonts w:hint="eastAsia"/>
                <w:b w:val="0"/>
                <w:bCs w:val="0"/>
                <w:sz w:val="24"/>
                <w:szCs w:val="24"/>
                <w:lang w:val="en-US" w:eastAsia="zh-CN"/>
              </w:rPr>
              <w:t>Vigo港城影像图                       Vigo区位图</w:t>
            </w:r>
          </w:p>
          <w:p>
            <w:pPr>
              <w:pStyle w:val="31"/>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b w:val="0"/>
                <w:bCs w:val="0"/>
                <w:sz w:val="24"/>
                <w:szCs w:val="24"/>
                <w:lang w:val="en-US" w:eastAsia="zh-CN"/>
              </w:rPr>
            </w:pPr>
            <w:r>
              <w:rPr>
                <w:rFonts w:hint="eastAsia"/>
                <w:b w:val="0"/>
                <w:bCs w:val="0"/>
                <w:sz w:val="24"/>
                <w:szCs w:val="24"/>
                <w:lang w:val="en-US" w:eastAsia="zh-CN"/>
              </w:rPr>
              <w:drawing>
                <wp:inline distT="0" distB="0" distL="114300" distR="114300">
                  <wp:extent cx="1619885" cy="1009015"/>
                  <wp:effectExtent l="0" t="0" r="18415" b="635"/>
                  <wp:docPr id="15"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 descr="IMG_256"/>
                          <pic:cNvPicPr>
                            <a:picLocks noChangeAspect="1"/>
                          </pic:cNvPicPr>
                        </pic:nvPicPr>
                        <pic:blipFill>
                          <a:blip r:embed="rId12">
                            <a:lum bright="6000"/>
                          </a:blip>
                          <a:srcRect b="6614"/>
                          <a:stretch>
                            <a:fillRect/>
                          </a:stretch>
                        </pic:blipFill>
                        <pic:spPr>
                          <a:xfrm>
                            <a:off x="0" y="0"/>
                            <a:ext cx="1619885" cy="1009015"/>
                          </a:xfrm>
                          <a:prstGeom prst="rect">
                            <a:avLst/>
                          </a:prstGeom>
                          <a:noFill/>
                          <a:ln w="9525">
                            <a:noFill/>
                          </a:ln>
                        </pic:spPr>
                      </pic:pic>
                    </a:graphicData>
                  </a:graphic>
                </wp:inline>
              </w:drawing>
            </w:r>
            <w:r>
              <w:rPr>
                <w:rFonts w:hint="eastAsia"/>
                <w:b w:val="0"/>
                <w:bCs w:val="0"/>
                <w:sz w:val="24"/>
                <w:szCs w:val="24"/>
                <w:lang w:val="en-US" w:eastAsia="zh-CN"/>
              </w:rPr>
              <w:t xml:space="preserve">  </w:t>
            </w:r>
            <w:r>
              <w:rPr>
                <w:rFonts w:hint="eastAsia"/>
                <w:b w:val="0"/>
                <w:bCs w:val="0"/>
                <w:sz w:val="24"/>
                <w:szCs w:val="24"/>
                <w:lang w:val="en-US" w:eastAsia="zh-CN"/>
              </w:rPr>
              <w:drawing>
                <wp:inline distT="0" distB="0" distL="114300" distR="114300">
                  <wp:extent cx="1619885" cy="1009015"/>
                  <wp:effectExtent l="0" t="0" r="18415" b="635"/>
                  <wp:docPr id="16"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3" descr="IMG_256"/>
                          <pic:cNvPicPr>
                            <a:picLocks noChangeAspect="1"/>
                          </pic:cNvPicPr>
                        </pic:nvPicPr>
                        <pic:blipFill>
                          <a:blip r:embed="rId13">
                            <a:lum bright="12000" contrast="12000"/>
                          </a:blip>
                          <a:srcRect b="6614"/>
                          <a:stretch>
                            <a:fillRect/>
                          </a:stretch>
                        </pic:blipFill>
                        <pic:spPr>
                          <a:xfrm>
                            <a:off x="0" y="0"/>
                            <a:ext cx="1619885" cy="1009015"/>
                          </a:xfrm>
                          <a:prstGeom prst="rect">
                            <a:avLst/>
                          </a:prstGeom>
                          <a:noFill/>
                          <a:ln w="9525">
                            <a:noFill/>
                          </a:ln>
                        </pic:spPr>
                      </pic:pic>
                    </a:graphicData>
                  </a:graphic>
                </wp:inline>
              </w:drawing>
            </w:r>
            <w:r>
              <w:rPr>
                <w:rFonts w:hint="eastAsia"/>
                <w:b w:val="0"/>
                <w:bCs w:val="0"/>
                <w:sz w:val="24"/>
                <w:szCs w:val="24"/>
                <w:lang w:val="en-US" w:eastAsia="zh-CN"/>
              </w:rPr>
              <w:t xml:space="preserve">  </w:t>
            </w:r>
            <w:r>
              <w:rPr>
                <w:rFonts w:hint="eastAsia"/>
                <w:b w:val="0"/>
                <w:bCs w:val="0"/>
                <w:sz w:val="24"/>
                <w:szCs w:val="24"/>
                <w:lang w:val="en-US" w:eastAsia="zh-CN"/>
              </w:rPr>
              <w:drawing>
                <wp:inline distT="0" distB="0" distL="114300" distR="114300">
                  <wp:extent cx="1619885" cy="1009015"/>
                  <wp:effectExtent l="0" t="0" r="18415" b="635"/>
                  <wp:docPr id="14"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 descr="IMG_256"/>
                          <pic:cNvPicPr>
                            <a:picLocks noChangeAspect="1"/>
                          </pic:cNvPicPr>
                        </pic:nvPicPr>
                        <pic:blipFill>
                          <a:blip r:embed="rId14">
                            <a:lum bright="12000" contrast="12000"/>
                          </a:blip>
                          <a:srcRect b="6614"/>
                          <a:stretch>
                            <a:fillRect/>
                          </a:stretch>
                        </pic:blipFill>
                        <pic:spPr>
                          <a:xfrm>
                            <a:off x="0" y="0"/>
                            <a:ext cx="1619885" cy="1009015"/>
                          </a:xfrm>
                          <a:prstGeom prst="rect">
                            <a:avLst/>
                          </a:prstGeom>
                          <a:noFill/>
                          <a:ln w="9525">
                            <a:noFill/>
                          </a:ln>
                        </pic:spPr>
                      </pic:pic>
                    </a:graphicData>
                  </a:graphic>
                </wp:inline>
              </w:drawing>
            </w:r>
          </w:p>
          <w:p>
            <w:pPr>
              <w:pStyle w:val="31"/>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b w:val="0"/>
                <w:bCs w:val="0"/>
                <w:sz w:val="24"/>
                <w:szCs w:val="24"/>
                <w:lang w:val="en-US" w:eastAsia="zh-CN"/>
              </w:rPr>
            </w:pPr>
            <w:r>
              <w:rPr>
                <w:rFonts w:hint="eastAsia"/>
                <w:b w:val="0"/>
                <w:bCs w:val="0"/>
                <w:sz w:val="24"/>
                <w:szCs w:val="24"/>
                <w:lang w:val="en-US" w:eastAsia="zh-CN"/>
              </w:rPr>
              <w:t>交易撮合                加工处理                冷链仓储</w:t>
            </w:r>
          </w:p>
        </w:tc>
      </w:tr>
    </w:tbl>
    <w:p>
      <w:pPr>
        <w:pStyle w:val="5"/>
        <w:numPr>
          <w:ilvl w:val="0"/>
          <w:numId w:val="5"/>
        </w:numPr>
        <w:bidi w:val="0"/>
        <w:rPr>
          <w:rFonts w:hint="default"/>
          <w:lang w:val="en-US" w:eastAsia="zh-CN"/>
        </w:rPr>
      </w:pPr>
      <w:bookmarkStart w:id="101" w:name="_Toc28195"/>
      <w:bookmarkStart w:id="102" w:name="_Toc16007"/>
      <w:bookmarkStart w:id="103" w:name="_Toc14587"/>
      <w:bookmarkStart w:id="104" w:name="_Toc31332"/>
      <w:r>
        <w:rPr>
          <w:rFonts w:hint="eastAsia"/>
          <w:lang w:val="en-US" w:eastAsia="zh-CN"/>
        </w:rPr>
        <w:t>现代渔业：南海渔业基地</w:t>
      </w:r>
      <w:bookmarkEnd w:id="101"/>
      <w:bookmarkEnd w:id="102"/>
      <w:bookmarkEnd w:id="103"/>
    </w:p>
    <w:p>
      <w:pPr>
        <w:rPr>
          <w:rFonts w:hint="default"/>
          <w:lang w:val="en-US" w:eastAsia="zh-CN"/>
        </w:rPr>
      </w:pPr>
      <w:r>
        <w:rPr>
          <w:rFonts w:hint="eastAsia" w:ascii="仿宋_GB2312" w:eastAsia="仿宋_GB2312"/>
          <w:lang w:val="en-US" w:eastAsia="zh-CN"/>
        </w:rPr>
        <w:t>南海海域广阔、渔业资源丰富，崖州中心渔港是中国最南、海南最大的中心渔港。崖州渔业要做好“往岸上走、往深海走、往休闲渔业走”三篇文章，岸上发展工厂化养殖，深海发展海洋牧场，远海发展远洋渔业，渔村发展休闲渔业，渔港发展面向东南亚及“一带一路”的海产品保税仓储加工交易服务，把崖州建设成为保障南海、服务全球的国际化海洋渔业基地，成为海南自贸港建设的有益支撑。</w:t>
      </w:r>
    </w:p>
    <w:tbl>
      <w:tblPr>
        <w:tblStyle w:val="19"/>
        <w:tblW w:w="0" w:type="auto"/>
        <w:tblInd w:w="0" w:type="dxa"/>
        <w:tblBorders>
          <w:top w:val="thinThickSmallGap" w:color="A4A4A4" w:sz="12" w:space="0"/>
          <w:left w:val="none" w:color="auto" w:sz="0" w:space="0"/>
          <w:bottom w:val="thickThinSmallGap" w:color="A4A4A4" w:sz="12" w:space="0"/>
          <w:right w:val="none" w:color="auto" w:sz="0" w:space="0"/>
          <w:insideH w:val="thinThickSmallGap" w:color="A4A4A4" w:sz="24" w:space="0"/>
          <w:insideV w:val="thinThickSmallGap" w:color="A4A4A4" w:sz="24" w:space="0"/>
        </w:tblBorders>
        <w:tblLayout w:type="autofit"/>
        <w:tblCellMar>
          <w:top w:w="0" w:type="dxa"/>
          <w:left w:w="108" w:type="dxa"/>
          <w:bottom w:w="0" w:type="dxa"/>
          <w:right w:w="108" w:type="dxa"/>
        </w:tblCellMar>
      </w:tblPr>
      <w:tblGrid>
        <w:gridCol w:w="8522"/>
      </w:tblGrid>
      <w:tr>
        <w:tblPrEx>
          <w:tblBorders>
            <w:top w:val="thinThickSmallGap" w:color="A4A4A4" w:sz="12" w:space="0"/>
            <w:left w:val="none" w:color="auto" w:sz="0" w:space="0"/>
            <w:bottom w:val="thickThinSmallGap" w:color="A4A4A4" w:sz="12" w:space="0"/>
            <w:right w:val="none" w:color="auto" w:sz="0" w:space="0"/>
            <w:insideH w:val="thinThickSmallGap" w:color="A4A4A4" w:sz="24" w:space="0"/>
            <w:insideV w:val="thinThickSmallGap" w:color="A4A4A4" w:sz="24" w:space="0"/>
          </w:tblBorders>
          <w:tblCellMar>
            <w:top w:w="0" w:type="dxa"/>
            <w:left w:w="108" w:type="dxa"/>
            <w:bottom w:w="0" w:type="dxa"/>
            <w:right w:w="108" w:type="dxa"/>
          </w:tblCellMar>
        </w:tblPrEx>
        <w:tc>
          <w:tcPr>
            <w:tcW w:w="8522" w:type="dxa"/>
            <w:tcBorders>
              <w:bottom w:val="thickThinSmallGap" w:color="A4A4A4" w:sz="12" w:space="0"/>
            </w:tcBorders>
          </w:tcPr>
          <w:p>
            <w:pPr>
              <w:pStyle w:val="31"/>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b/>
                <w:bCs/>
                <w:sz w:val="24"/>
                <w:szCs w:val="24"/>
                <w:lang w:val="en-US" w:eastAsia="zh-CN"/>
              </w:rPr>
            </w:pPr>
            <w:r>
              <w:rPr>
                <w:rFonts w:hint="eastAsia"/>
                <w:b/>
                <w:bCs/>
                <w:sz w:val="24"/>
                <w:szCs w:val="24"/>
                <w:lang w:val="en-US" w:eastAsia="zh-CN"/>
              </w:rPr>
              <w:t>专栏6  现代渔业“往岸上走、往深海走、往休闲渔业走”</w:t>
            </w:r>
          </w:p>
          <w:p>
            <w:pPr>
              <w:pStyle w:val="3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b w:val="0"/>
                <w:bCs w:val="0"/>
                <w:sz w:val="24"/>
                <w:szCs w:val="24"/>
                <w:lang w:val="en-US" w:eastAsia="zh-CN"/>
              </w:rPr>
            </w:pPr>
            <w:r>
              <w:rPr>
                <w:rFonts w:hint="eastAsia"/>
                <w:b w:val="0"/>
                <w:bCs w:val="0"/>
                <w:sz w:val="24"/>
                <w:szCs w:val="24"/>
                <w:lang w:val="en-US" w:eastAsia="zh-CN"/>
              </w:rPr>
              <w:t>沈晓明省长在调研近海水产养殖清退整改及渔港规划建设情况时指出，鼓励渔民“往岸上走、往深海走、往休闲渔业走”，发展工厂化养殖、深海网箱养殖和休闲渔业。</w:t>
            </w:r>
          </w:p>
          <w:p>
            <w:pPr>
              <w:pStyle w:val="3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val="0"/>
                <w:bCs w:val="0"/>
                <w:sz w:val="24"/>
                <w:szCs w:val="24"/>
                <w:lang w:val="en-US" w:eastAsia="zh-CN"/>
              </w:rPr>
            </w:pPr>
            <w:r>
              <w:rPr>
                <w:rFonts w:hint="eastAsia"/>
                <w:b w:val="0"/>
                <w:bCs w:val="0"/>
                <w:sz w:val="24"/>
                <w:szCs w:val="24"/>
                <w:lang w:val="en-US" w:eastAsia="zh-CN"/>
              </w:rPr>
              <w:t>（1）“往岸上走”重点在发展陆地和近海工厂化水产养殖。推进池塘标准化建设，扩大网箱养殖和工厂化养殖规模，推进水产养殖应用物联网技术，大幅提升崖州水产养殖规模化、集约化、可控化水平。</w:t>
            </w:r>
          </w:p>
          <w:p>
            <w:pPr>
              <w:pStyle w:val="3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val="0"/>
                <w:bCs w:val="0"/>
                <w:sz w:val="24"/>
                <w:szCs w:val="24"/>
                <w:lang w:val="en-US" w:eastAsia="zh-CN"/>
              </w:rPr>
            </w:pPr>
            <w:r>
              <w:rPr>
                <w:rFonts w:hint="eastAsia"/>
                <w:b w:val="0"/>
                <w:bCs w:val="0"/>
                <w:sz w:val="24"/>
                <w:szCs w:val="24"/>
                <w:lang w:val="en-US" w:eastAsia="zh-CN"/>
              </w:rPr>
              <w:t>（2）“往深海走”重点在发展离岸深海养殖和远洋捕捞。离岸深海养殖以崖州为基地在西中南沙的岛礁潟湖发展深水网箱养殖，推进游钓型、投礁型、底播型、装备型、田园型等多种形式海洋牧场建设；建设以养殖工船为核心的深海大型工业化渔业综合平台，打造生态、环保、高端的水产品牌，积极推进实现养殖产品的生产、加工、包装、运输、销售一体化，推动养殖业由近海向外海拓展。</w:t>
            </w:r>
          </w:p>
          <w:p>
            <w:pPr>
              <w:pStyle w:val="3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val="0"/>
                <w:bCs w:val="0"/>
                <w:sz w:val="28"/>
                <w:szCs w:val="28"/>
                <w:lang w:val="en-US" w:eastAsia="zh-CN"/>
              </w:rPr>
            </w:pPr>
            <w:r>
              <w:rPr>
                <w:rFonts w:hint="eastAsia"/>
                <w:b w:val="0"/>
                <w:bCs w:val="0"/>
                <w:sz w:val="24"/>
                <w:szCs w:val="24"/>
                <w:lang w:val="en-US" w:eastAsia="zh-CN"/>
              </w:rPr>
              <w:t>（3）“往休闲渔业走”重点在与旅游业联动发展各类休闲渔业产业，形成精品休闲渔业旅游路线。引导渔港、养殖基地等渔业设施按特色旅游景观改建改造为休闲渔业基地、休闲渔庄、竞钓赛场等，兼营多元化参与体验型旅游服务项目，延长水产养殖产业链，发展文化娱乐型、都市观赏型、竞技体育型、观光体验型、展示教育型等现代休闲渔业。</w:t>
            </w:r>
          </w:p>
        </w:tc>
      </w:tr>
    </w:tbl>
    <w:p>
      <w:pPr>
        <w:pStyle w:val="5"/>
        <w:bidi w:val="0"/>
        <w:rPr>
          <w:rFonts w:hint="default"/>
          <w:lang w:val="en-US" w:eastAsia="zh-CN"/>
        </w:rPr>
      </w:pPr>
      <w:bookmarkStart w:id="105" w:name="_Toc2061"/>
      <w:bookmarkStart w:id="106" w:name="_Toc5500"/>
      <w:r>
        <w:rPr>
          <w:rFonts w:hint="eastAsia"/>
          <w:lang w:val="en-US" w:eastAsia="zh-CN"/>
        </w:rPr>
        <w:t>——两个新兴</w:t>
      </w:r>
      <w:r>
        <w:rPr>
          <w:rFonts w:hint="default"/>
          <w:lang w:val="en-US" w:eastAsia="zh-CN"/>
        </w:rPr>
        <w:t>产业</w:t>
      </w:r>
      <w:bookmarkEnd w:id="104"/>
      <w:bookmarkEnd w:id="105"/>
      <w:bookmarkEnd w:id="106"/>
    </w:p>
    <w:p>
      <w:pPr>
        <w:pStyle w:val="5"/>
        <w:numPr>
          <w:ilvl w:val="0"/>
          <w:numId w:val="6"/>
        </w:numPr>
        <w:bidi w:val="0"/>
        <w:ind w:left="0" w:leftChars="0" w:firstLine="400" w:firstLineChars="0"/>
        <w:rPr>
          <w:rFonts w:hint="default"/>
          <w:lang w:val="en-US" w:eastAsia="zh-CN"/>
        </w:rPr>
      </w:pPr>
      <w:bookmarkStart w:id="107" w:name="_Toc989"/>
      <w:bookmarkStart w:id="108" w:name="_Toc974"/>
      <w:bookmarkStart w:id="109" w:name="_Toc18298"/>
      <w:r>
        <w:rPr>
          <w:rFonts w:hint="eastAsia"/>
          <w:lang w:val="en-US" w:eastAsia="zh-CN"/>
        </w:rPr>
        <w:t>绿色高端制造业：大三亚绿色制造基地</w:t>
      </w:r>
      <w:bookmarkEnd w:id="107"/>
      <w:bookmarkEnd w:id="108"/>
      <w:bookmarkEnd w:id="109"/>
    </w:p>
    <w:p>
      <w:pPr>
        <w:rPr>
          <w:rFonts w:hint="eastAsia"/>
          <w:lang w:val="en-US" w:eastAsia="zh-CN"/>
        </w:rPr>
      </w:pPr>
      <w:r>
        <w:rPr>
          <w:rFonts w:hint="eastAsia"/>
          <w:lang w:val="en-US" w:eastAsia="zh-CN"/>
        </w:rPr>
        <w:t>制造业是推进产业化、城镇化的强大动力，可以加速人的社会化、现代化。崖州发展制造业有着自贸港政策优势、科技城溢出优势和基础条件优势，在满足生态环保要求前提下积极发展绿色高端制造业，补上制造业这个短板。</w:t>
      </w:r>
    </w:p>
    <w:p>
      <w:pPr>
        <w:rPr>
          <w:rFonts w:hint="eastAsia"/>
          <w:lang w:val="en-US" w:eastAsia="zh-CN"/>
        </w:rPr>
      </w:pPr>
      <w:r>
        <w:rPr>
          <w:rFonts w:hint="eastAsia"/>
          <w:lang w:val="en-US" w:eastAsia="zh-CN"/>
        </w:rPr>
        <w:t>一是重点发展农产品加工、水产品加工，打造成为崖州制造业的两个支柱。二是发挥崖州湾科技城人才、技术、资金、信息等高端要素集聚优势，承接高端制造产业溢出，发展海洋传感器、设施农业传感器、电子消费品制造。三是围绕南山港打造后方服务基地，发展</w:t>
      </w:r>
      <w:r>
        <w:rPr>
          <w:rFonts w:hint="default"/>
          <w:lang w:val="en-US" w:eastAsia="zh-CN"/>
        </w:rPr>
        <w:t>粮食加工、汽车船舶零部件、肉类海鲜分解加工、食品饮料、饲料、宠物食品等临港加工</w:t>
      </w:r>
      <w:r>
        <w:rPr>
          <w:rFonts w:hint="eastAsia"/>
          <w:lang w:val="en-US" w:eastAsia="zh-CN"/>
        </w:rPr>
        <w:t>产业。四是发挥高温高盐高辐射特征，发展酿酒、酵母、发酵调味品制造，以及汽车、高铁、电子设备、海工器材的测试、认证、研发产业。五是积极培育体育运动装备、奢侈品、化妆品、酒店用品、烟酒等中高端消费品制造。</w:t>
      </w:r>
    </w:p>
    <w:tbl>
      <w:tblPr>
        <w:tblStyle w:val="19"/>
        <w:tblW w:w="5000" w:type="pct"/>
        <w:tblInd w:w="0" w:type="dxa"/>
        <w:tblBorders>
          <w:top w:val="thinThickSmallGap" w:color="auto" w:sz="2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thinThickSmallGap" w:color="auto" w:sz="2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22" w:type="dxa"/>
            <w:tcBorders>
              <w:top w:val="thinThickSmallGap" w:color="A4A4A4" w:sz="12" w:space="0"/>
              <w:bottom w:val="thickThinSmallGap" w:color="A4A4A4" w:sz="12" w:space="0"/>
            </w:tcBorders>
            <w:vAlign w:val="top"/>
          </w:tcPr>
          <w:p>
            <w:pPr>
              <w:pStyle w:val="31"/>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b/>
                <w:bCs/>
                <w:sz w:val="24"/>
                <w:szCs w:val="24"/>
                <w:lang w:val="en-US" w:eastAsia="zh-CN"/>
              </w:rPr>
            </w:pPr>
            <w:r>
              <w:rPr>
                <w:rFonts w:hint="eastAsia"/>
                <w:b/>
                <w:bCs/>
                <w:sz w:val="24"/>
                <w:szCs w:val="24"/>
                <w:lang w:val="en-US" w:eastAsia="zh-CN"/>
              </w:rPr>
              <w:t>专栏7  海南在自贸港背景下发展绿色高端制造业的可选方向</w:t>
            </w:r>
          </w:p>
          <w:p>
            <w:pPr>
              <w:pStyle w:val="3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val="0"/>
                <w:bCs w:val="0"/>
                <w:sz w:val="24"/>
                <w:szCs w:val="24"/>
                <w:lang w:val="en-US" w:eastAsia="zh-CN"/>
              </w:rPr>
            </w:pPr>
            <w:r>
              <w:rPr>
                <w:rFonts w:hint="eastAsia"/>
                <w:b w:val="0"/>
                <w:bCs w:val="0"/>
                <w:sz w:val="24"/>
                <w:szCs w:val="24"/>
                <w:lang w:val="en-US" w:eastAsia="zh-CN"/>
              </w:rPr>
              <w:t>（1）“两头在外”的电子产品制造，如半导体芯片、物联网传感器、5G应用设备、穿戴设备、电子消费品、汽车电子、卫星遥感设备、海洋传感器、显示器材、VR设备等。</w:t>
            </w:r>
          </w:p>
          <w:p>
            <w:pPr>
              <w:pStyle w:val="3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val="0"/>
                <w:bCs w:val="0"/>
                <w:sz w:val="24"/>
                <w:szCs w:val="24"/>
                <w:lang w:val="en-US" w:eastAsia="zh-CN"/>
              </w:rPr>
            </w:pPr>
            <w:r>
              <w:rPr>
                <w:rFonts w:hint="eastAsia"/>
                <w:b w:val="0"/>
                <w:bCs w:val="0"/>
                <w:sz w:val="24"/>
                <w:szCs w:val="24"/>
                <w:lang w:val="en-US" w:eastAsia="zh-CN"/>
              </w:rPr>
              <w:t>（2）医药医械制造，如仿制药、保健品、特异食品、医疗器械、医院设备、康复理疗器械、应急物资等。</w:t>
            </w:r>
          </w:p>
          <w:p>
            <w:pPr>
              <w:pStyle w:val="3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val="0"/>
                <w:bCs w:val="0"/>
                <w:sz w:val="24"/>
                <w:szCs w:val="24"/>
                <w:lang w:val="en-US" w:eastAsia="zh-CN"/>
              </w:rPr>
            </w:pPr>
            <w:r>
              <w:rPr>
                <w:rFonts w:hint="eastAsia"/>
                <w:b w:val="0"/>
                <w:bCs w:val="0"/>
                <w:sz w:val="24"/>
                <w:szCs w:val="24"/>
                <w:lang w:val="en-US" w:eastAsia="zh-CN"/>
              </w:rPr>
              <w:t>（3）石化和精细化工，如化学药品、新材料、精细化工、功能材料、工程塑料等。</w:t>
            </w:r>
          </w:p>
          <w:p>
            <w:pPr>
              <w:pStyle w:val="3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val="0"/>
                <w:bCs w:val="0"/>
                <w:sz w:val="24"/>
                <w:szCs w:val="24"/>
                <w:lang w:val="en-US" w:eastAsia="zh-CN"/>
              </w:rPr>
            </w:pPr>
            <w:r>
              <w:rPr>
                <w:rFonts w:hint="eastAsia"/>
                <w:b w:val="0"/>
                <w:bCs w:val="0"/>
                <w:sz w:val="24"/>
                <w:szCs w:val="24"/>
                <w:lang w:val="en-US" w:eastAsia="zh-CN"/>
              </w:rPr>
              <w:t>（4）中高端消费品加工制造，如体育运动器械装备、奢侈品、饰品、钻石、工艺品、化妆品、酒店用品、烟酒等。</w:t>
            </w:r>
          </w:p>
          <w:p>
            <w:pPr>
              <w:pStyle w:val="3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val="0"/>
                <w:bCs w:val="0"/>
                <w:sz w:val="24"/>
                <w:szCs w:val="24"/>
                <w:lang w:val="en-US" w:eastAsia="zh-CN"/>
              </w:rPr>
            </w:pPr>
            <w:r>
              <w:rPr>
                <w:rFonts w:hint="eastAsia"/>
                <w:b w:val="0"/>
                <w:bCs w:val="0"/>
                <w:sz w:val="24"/>
                <w:szCs w:val="24"/>
                <w:lang w:val="en-US" w:eastAsia="zh-CN"/>
              </w:rPr>
              <w:t>（5）“大出大进型”临港加工，如粮食加工、木材加工、装配式建筑、新能源汽车及核心部件、游艇、汽车船舶零部件、肉类海鲜分解加工、食品饮料、饲料、宠物食品等。</w:t>
            </w:r>
          </w:p>
          <w:p>
            <w:pPr>
              <w:pStyle w:val="3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val="0"/>
                <w:bCs w:val="0"/>
                <w:sz w:val="24"/>
                <w:szCs w:val="24"/>
                <w:lang w:val="en-US" w:eastAsia="zh-CN"/>
              </w:rPr>
            </w:pPr>
            <w:r>
              <w:rPr>
                <w:rFonts w:hint="eastAsia"/>
                <w:b w:val="0"/>
                <w:bCs w:val="0"/>
                <w:sz w:val="24"/>
                <w:szCs w:val="24"/>
                <w:lang w:val="en-US" w:eastAsia="zh-CN"/>
              </w:rPr>
              <w:t>（6）利用高温高湿高盐高辐射，发展亲水型新材料、高端纺织、酿酒、酵母、发酵调味品制造，以及汽车、高铁、电子设备、海工器材的测试、认证、研发产业。</w:t>
            </w:r>
          </w:p>
          <w:p>
            <w:pPr>
              <w:pStyle w:val="3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val="0"/>
                <w:bCs w:val="0"/>
                <w:sz w:val="24"/>
                <w:szCs w:val="24"/>
                <w:lang w:val="en-US" w:eastAsia="zh-CN"/>
              </w:rPr>
            </w:pPr>
            <w:r>
              <w:rPr>
                <w:rFonts w:hint="eastAsia"/>
                <w:b w:val="0"/>
                <w:bCs w:val="0"/>
                <w:sz w:val="24"/>
                <w:szCs w:val="24"/>
                <w:lang w:val="en-US" w:eastAsia="zh-CN"/>
              </w:rPr>
              <w:t>（7）本地农产品精深加工，如水果保鲜提质、水产加工、海洋食品、冻干果蔬、果汁饮料、休闲食品等。</w:t>
            </w:r>
          </w:p>
          <w:p>
            <w:pPr>
              <w:pStyle w:val="3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val="0"/>
                <w:bCs w:val="0"/>
                <w:sz w:val="28"/>
                <w:szCs w:val="28"/>
                <w:lang w:val="en-US" w:eastAsia="zh-CN"/>
              </w:rPr>
            </w:pPr>
            <w:r>
              <w:rPr>
                <w:rFonts w:hint="eastAsia"/>
                <w:b w:val="0"/>
                <w:bCs w:val="0"/>
                <w:sz w:val="24"/>
                <w:szCs w:val="24"/>
                <w:lang w:val="en-US" w:eastAsia="zh-CN"/>
              </w:rPr>
              <w:t>（8）保税维修，如飞机维修、船舶维修等。</w:t>
            </w:r>
          </w:p>
        </w:tc>
      </w:tr>
    </w:tbl>
    <w:p>
      <w:pPr>
        <w:pStyle w:val="5"/>
        <w:numPr>
          <w:ilvl w:val="0"/>
          <w:numId w:val="6"/>
        </w:numPr>
        <w:bidi w:val="0"/>
        <w:rPr>
          <w:rFonts w:hint="eastAsia"/>
          <w:lang w:val="en-US" w:eastAsia="zh-CN"/>
        </w:rPr>
      </w:pPr>
      <w:bookmarkStart w:id="110" w:name="_Toc3766"/>
      <w:bookmarkStart w:id="111" w:name="_Toc32134"/>
      <w:bookmarkStart w:id="112" w:name="_Toc19571"/>
      <w:bookmarkStart w:id="113" w:name="_Toc27951"/>
      <w:r>
        <w:rPr>
          <w:rFonts w:hint="eastAsia"/>
          <w:lang w:val="en-US" w:eastAsia="zh-CN"/>
        </w:rPr>
        <w:t>农渔产品加工业：大三亚食品加工基地</w:t>
      </w:r>
      <w:bookmarkEnd w:id="110"/>
      <w:bookmarkEnd w:id="111"/>
      <w:bookmarkEnd w:id="112"/>
    </w:p>
    <w:p>
      <w:pPr>
        <w:rPr>
          <w:rFonts w:hint="eastAsia"/>
          <w:lang w:val="en-US" w:eastAsia="zh-CN"/>
        </w:rPr>
      </w:pPr>
      <w:r>
        <w:rPr>
          <w:rFonts w:hint="eastAsia" w:ascii="仿宋_GB2312" w:eastAsia="仿宋_GB2312"/>
          <w:lang w:val="en-US" w:eastAsia="zh-CN"/>
        </w:rPr>
        <w:t>农渔产品加工是最适宜崖州发展的制造业方向，可以延长农业产业链条，提高农业综合效益，增加农民和地方财政收入。崖州要围绕本地和大三亚优势水果蔬菜开展农产品加工，一是发展热带水果保鲜提质处理技术，二是发展果蔬食品、休闲食品、饮料等传统加工，三是开发功能性健康食品。发展高效绿色的水产品加工业，一是水产品一般初加工，二是发展即食、休闲类食品精深加工，三是开发海洋保健品。</w:t>
      </w:r>
    </w:p>
    <w:p>
      <w:pPr>
        <w:pStyle w:val="4"/>
        <w:bidi w:val="0"/>
        <w:rPr>
          <w:rFonts w:hint="default"/>
          <w:lang w:val="en-US" w:eastAsia="zh-CN"/>
        </w:rPr>
      </w:pPr>
      <w:bookmarkStart w:id="114" w:name="_Toc13457"/>
      <w:bookmarkStart w:id="115" w:name="_Toc4550"/>
      <w:r>
        <w:rPr>
          <w:rFonts w:hint="eastAsia"/>
          <w:lang w:val="en-US" w:eastAsia="zh-CN"/>
        </w:rPr>
        <w:t>三、发展时序</w:t>
      </w:r>
      <w:bookmarkEnd w:id="113"/>
      <w:bookmarkEnd w:id="114"/>
      <w:bookmarkEnd w:id="115"/>
    </w:p>
    <w:p>
      <w:pPr>
        <w:pStyle w:val="5"/>
        <w:numPr>
          <w:ilvl w:val="0"/>
          <w:numId w:val="7"/>
        </w:numPr>
        <w:bidi w:val="0"/>
        <w:rPr>
          <w:rFonts w:hint="eastAsia"/>
          <w:lang w:val="en-US" w:eastAsia="zh-CN"/>
        </w:rPr>
      </w:pPr>
      <w:bookmarkStart w:id="116" w:name="_Toc5314"/>
      <w:bookmarkStart w:id="117" w:name="_Toc8827"/>
      <w:r>
        <w:rPr>
          <w:rFonts w:hint="eastAsia"/>
          <w:lang w:val="en-US" w:eastAsia="zh-CN"/>
        </w:rPr>
        <w:t>近期（2021-2023年）</w:t>
      </w:r>
      <w:bookmarkEnd w:id="116"/>
      <w:bookmarkEnd w:id="117"/>
    </w:p>
    <w:p>
      <w:pPr>
        <w:rPr>
          <w:rFonts w:hint="default"/>
          <w:lang w:val="en-US" w:eastAsia="zh-CN"/>
        </w:rPr>
      </w:pPr>
      <w:r>
        <w:rPr>
          <w:rFonts w:hint="eastAsia"/>
          <w:lang w:val="en-US" w:eastAsia="zh-CN"/>
        </w:rPr>
        <w:t>现在到“十四五”中期，重点围绕自贸港“早期安排、早期收获”，突出做好龙头项目引进落地工作，农业、旅游等传统产业持续优化升级，农业、渔业、文旅、体育旅游、商贸物流、农产品加工等领域项目引入初见成效，一批有影响力、号召力的产业项目陆续进驻崖州，产业发展逐步驶入快车道，为“十四五”完美收官打下良好基础。</w:t>
      </w:r>
    </w:p>
    <w:p>
      <w:pPr>
        <w:pStyle w:val="5"/>
        <w:numPr>
          <w:ilvl w:val="0"/>
          <w:numId w:val="7"/>
        </w:numPr>
        <w:bidi w:val="0"/>
        <w:rPr>
          <w:rFonts w:hint="eastAsia"/>
          <w:lang w:val="en-US" w:eastAsia="zh-CN"/>
        </w:rPr>
      </w:pPr>
      <w:bookmarkStart w:id="118" w:name="_Toc20481"/>
      <w:bookmarkStart w:id="119" w:name="_Toc21228"/>
      <w:r>
        <w:rPr>
          <w:rFonts w:hint="eastAsia"/>
          <w:lang w:val="en-US" w:eastAsia="zh-CN"/>
        </w:rPr>
        <w:t>中期（2023-2025年）</w:t>
      </w:r>
      <w:bookmarkEnd w:id="118"/>
      <w:bookmarkEnd w:id="119"/>
    </w:p>
    <w:p>
      <w:pPr>
        <w:rPr>
          <w:rFonts w:hint="default"/>
          <w:lang w:val="en-US" w:eastAsia="zh-CN"/>
        </w:rPr>
      </w:pPr>
      <w:r>
        <w:rPr>
          <w:rFonts w:hint="eastAsia"/>
          <w:lang w:val="en-US" w:eastAsia="zh-CN"/>
        </w:rPr>
        <w:t>2023年到2025年“十四五”收官，重点围绕产业链和产业集群招商，全力构建完善的现代产业体系，持续引入文化旅游、主题乐园、研学亲子、体育旅游、现代农渔业、休闲农渔业、农产业加工等领域项目，积极培育绿色高端制造业项目，保持较高的产业投资强度，主题乐园、现代商贸重大项目纷纷落地，高质量发展的产业结构初步显现。</w:t>
      </w:r>
    </w:p>
    <w:p>
      <w:pPr>
        <w:pStyle w:val="5"/>
        <w:numPr>
          <w:ilvl w:val="0"/>
          <w:numId w:val="7"/>
        </w:numPr>
        <w:bidi w:val="0"/>
        <w:rPr>
          <w:rFonts w:hint="eastAsia"/>
          <w:lang w:val="en-US" w:eastAsia="zh-CN"/>
        </w:rPr>
      </w:pPr>
      <w:bookmarkStart w:id="120" w:name="_Toc31007"/>
      <w:bookmarkStart w:id="121" w:name="_Toc23172"/>
      <w:r>
        <w:rPr>
          <w:rFonts w:hint="eastAsia"/>
          <w:lang w:val="en-US" w:eastAsia="zh-CN"/>
        </w:rPr>
        <w:t>长期（2026-2035年）</w:t>
      </w:r>
      <w:bookmarkEnd w:id="120"/>
      <w:bookmarkEnd w:id="121"/>
    </w:p>
    <w:p>
      <w:pPr>
        <w:rPr>
          <w:rFonts w:hint="default"/>
          <w:lang w:val="en-US" w:eastAsia="zh-CN"/>
        </w:rPr>
      </w:pPr>
      <w:r>
        <w:rPr>
          <w:rFonts w:hint="eastAsia"/>
          <w:lang w:val="en-US" w:eastAsia="zh-CN"/>
        </w:rPr>
        <w:t>2026年到2035年是自贸港建设重要阶段，重点围绕自贸港建设要求，全力打造开放型经济体系，“两主导+两优势+两新兴”的产业体系基本建成，有力支撑崖州“一区一极一典范”的战略定位，崖州在自贸港建设中贡献重要且独特的力量。</w:t>
      </w:r>
    </w:p>
    <w:p>
      <w:pPr>
        <w:pStyle w:val="3"/>
        <w:bidi w:val="0"/>
        <w:rPr>
          <w:rFonts w:hint="eastAsia"/>
          <w:lang w:val="en-US" w:eastAsia="zh-CN"/>
        </w:rPr>
      </w:pPr>
      <w:bookmarkStart w:id="122" w:name="_Toc22315"/>
      <w:bookmarkStart w:id="123" w:name="_Toc613"/>
      <w:bookmarkStart w:id="124" w:name="_Toc14464"/>
      <w:r>
        <w:rPr>
          <w:rFonts w:hint="eastAsia"/>
          <w:lang w:val="en-US" w:eastAsia="zh-CN"/>
        </w:rPr>
        <w:t>第三节  发展目标</w:t>
      </w:r>
      <w:bookmarkEnd w:id="122"/>
      <w:bookmarkEnd w:id="123"/>
      <w:bookmarkEnd w:id="124"/>
    </w:p>
    <w:p>
      <w:pPr>
        <w:rPr>
          <w:rFonts w:hint="default"/>
          <w:highlight w:val="none"/>
          <w:lang w:val="en-US" w:eastAsia="zh-CN"/>
        </w:rPr>
      </w:pPr>
      <w:r>
        <w:rPr>
          <w:rFonts w:hint="eastAsia"/>
          <w:highlight w:val="none"/>
          <w:lang w:val="en-US" w:eastAsia="zh-CN"/>
        </w:rPr>
        <w:t>到2025年，全区GDP达到130亿元，较2020年（66.3亿）翻一番，实际GDP年均增速达到10%，与全省增速一致。其中，第一产业GDP为30亿、第二产业GDP为15亿、第三产业GDP为85亿。</w:t>
      </w:r>
    </w:p>
    <w:p>
      <w:pPr>
        <w:rPr>
          <w:rFonts w:hint="default"/>
          <w:highlight w:val="none"/>
          <w:lang w:val="en-US" w:eastAsia="zh-CN"/>
        </w:rPr>
      </w:pPr>
      <w:r>
        <w:rPr>
          <w:rFonts w:hint="eastAsia"/>
          <w:highlight w:val="none"/>
          <w:lang w:val="en-US" w:eastAsia="zh-CN"/>
        </w:rPr>
        <w:t>到2035年，全区GDP达到370亿元，2026-2035年实际GDP年均增速8%左右、名义GDP增速11%左右。其中，第一产业GDP为60亿、第二产业GDP为60亿、第三产业GDP为250亿。</w:t>
      </w:r>
    </w:p>
    <w:p>
      <w:pPr>
        <w:bidi w:val="0"/>
        <w:spacing w:line="240" w:lineRule="auto"/>
        <w:ind w:firstLine="0" w:firstLineChars="0"/>
        <w:jc w:val="center"/>
        <w:rPr>
          <w:rFonts w:hint="eastAsia" w:ascii="楷体" w:hAnsi="楷体" w:eastAsia="楷体" w:cs="楷体"/>
          <w:b w:val="0"/>
          <w:bCs w:val="0"/>
          <w:sz w:val="28"/>
          <w:szCs w:val="28"/>
          <w:lang w:val="en-US" w:eastAsia="zh-CN"/>
        </w:rPr>
      </w:pPr>
      <w:r>
        <w:rPr>
          <w:rFonts w:hint="eastAsia" w:ascii="楷体" w:hAnsi="楷体" w:eastAsia="楷体" w:cs="楷体"/>
          <w:b w:val="0"/>
          <w:bCs w:val="0"/>
          <w:sz w:val="28"/>
          <w:szCs w:val="28"/>
          <w:lang w:val="en-US" w:eastAsia="zh-CN"/>
        </w:rPr>
        <w:t>表7  崖州区三大产业产值2025年和2035年测算表</w:t>
      </w:r>
    </w:p>
    <w:tbl>
      <w:tblPr>
        <w:tblStyle w:val="18"/>
        <w:tblW w:w="5000" w:type="pct"/>
        <w:tblInd w:w="0" w:type="dxa"/>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85"/>
        <w:gridCol w:w="630"/>
        <w:gridCol w:w="1163"/>
        <w:gridCol w:w="5376"/>
        <w:gridCol w:w="968"/>
      </w:tblGrid>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tblHeader/>
        </w:trPr>
        <w:tc>
          <w:tcPr>
            <w:tcW w:w="1015" w:type="dxa"/>
            <w:gridSpan w:val="2"/>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bCs/>
                <w:i w:val="0"/>
                <w:iCs w:val="0"/>
                <w:color w:val="000000"/>
                <w:kern w:val="2"/>
                <w:sz w:val="21"/>
                <w:szCs w:val="21"/>
                <w:u w:val="none"/>
                <w:lang w:val="en-US" w:eastAsia="zh-CN" w:bidi="ar"/>
              </w:rPr>
            </w:pPr>
            <w:r>
              <w:rPr>
                <w:rFonts w:hint="eastAsia" w:ascii="楷体" w:hAnsi="楷体" w:eastAsia="楷体" w:cs="楷体"/>
                <w:b/>
                <w:bCs/>
                <w:i w:val="0"/>
                <w:color w:val="000000"/>
                <w:kern w:val="2"/>
                <w:sz w:val="21"/>
                <w:szCs w:val="21"/>
                <w:u w:val="none"/>
                <w:lang w:val="en-US" w:eastAsia="zh-CN" w:bidi="ar"/>
              </w:rPr>
              <w:t>产业</w:t>
            </w:r>
          </w:p>
        </w:tc>
        <w:tc>
          <w:tcPr>
            <w:tcW w:w="1163" w:type="dxa"/>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bCs/>
                <w:i w:val="0"/>
                <w:iCs w:val="0"/>
                <w:color w:val="000000"/>
                <w:kern w:val="2"/>
                <w:sz w:val="21"/>
                <w:szCs w:val="21"/>
                <w:u w:val="none"/>
                <w:lang w:val="en-US" w:eastAsia="zh-CN" w:bidi="ar"/>
              </w:rPr>
            </w:pPr>
            <w:r>
              <w:rPr>
                <w:rFonts w:hint="eastAsia" w:ascii="楷体" w:hAnsi="楷体" w:eastAsia="楷体" w:cs="楷体"/>
                <w:b/>
                <w:bCs/>
                <w:i w:val="0"/>
                <w:iCs w:val="0"/>
                <w:color w:val="000000"/>
                <w:kern w:val="2"/>
                <w:sz w:val="21"/>
                <w:szCs w:val="21"/>
                <w:u w:val="none"/>
                <w:lang w:val="en-US" w:eastAsia="zh-CN" w:bidi="ar"/>
              </w:rPr>
              <w:t>细分方向</w:t>
            </w:r>
          </w:p>
        </w:tc>
        <w:tc>
          <w:tcPr>
            <w:tcW w:w="5376" w:type="dxa"/>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bCs/>
                <w:i w:val="0"/>
                <w:iCs w:val="0"/>
                <w:color w:val="000000"/>
                <w:kern w:val="2"/>
                <w:sz w:val="21"/>
                <w:szCs w:val="21"/>
                <w:u w:val="none"/>
                <w:lang w:val="en-US" w:eastAsia="zh-CN" w:bidi="ar"/>
              </w:rPr>
            </w:pPr>
            <w:r>
              <w:rPr>
                <w:rFonts w:hint="eastAsia" w:ascii="楷体" w:hAnsi="楷体" w:eastAsia="楷体" w:cs="楷体"/>
                <w:b/>
                <w:bCs/>
                <w:i w:val="0"/>
                <w:iCs w:val="0"/>
                <w:color w:val="000000"/>
                <w:kern w:val="2"/>
                <w:sz w:val="21"/>
                <w:szCs w:val="21"/>
                <w:u w:val="none"/>
                <w:lang w:val="en-US" w:eastAsia="zh-CN" w:bidi="ar"/>
              </w:rPr>
              <w:t>测算说明</w:t>
            </w:r>
          </w:p>
        </w:tc>
        <w:tc>
          <w:tcPr>
            <w:tcW w:w="968" w:type="dxa"/>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bCs/>
                <w:i w:val="0"/>
                <w:iCs w:val="0"/>
                <w:color w:val="000000"/>
                <w:kern w:val="2"/>
                <w:sz w:val="21"/>
                <w:szCs w:val="21"/>
                <w:u w:val="none"/>
                <w:lang w:val="en-US" w:eastAsia="zh-CN" w:bidi="ar"/>
              </w:rPr>
            </w:pPr>
            <w:r>
              <w:rPr>
                <w:rFonts w:hint="eastAsia" w:ascii="楷体" w:hAnsi="楷体" w:eastAsia="楷体" w:cs="楷体"/>
                <w:b/>
                <w:bCs/>
                <w:i w:val="0"/>
                <w:iCs w:val="0"/>
                <w:color w:val="000000"/>
                <w:kern w:val="2"/>
                <w:sz w:val="21"/>
                <w:szCs w:val="21"/>
                <w:u w:val="none"/>
                <w:lang w:val="en-US" w:eastAsia="zh-CN" w:bidi="ar"/>
              </w:rPr>
              <w:t>结论</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1015" w:type="dxa"/>
            <w:gridSpan w:val="2"/>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黑体" w:hAnsi="黑体" w:eastAsia="黑体" w:cs="黑体"/>
                <w:b w:val="0"/>
                <w:bCs w:val="0"/>
                <w:i w:val="0"/>
                <w:color w:val="000000"/>
                <w:kern w:val="2"/>
                <w:sz w:val="18"/>
                <w:szCs w:val="18"/>
                <w:u w:val="none"/>
                <w:lang w:val="en-US" w:eastAsia="zh-CN" w:bidi="ar"/>
              </w:rPr>
            </w:pPr>
            <w:r>
              <w:rPr>
                <w:rFonts w:hint="eastAsia" w:ascii="黑体" w:hAnsi="黑体" w:eastAsia="黑体" w:cs="黑体"/>
                <w:b w:val="0"/>
                <w:bCs w:val="0"/>
                <w:i w:val="0"/>
                <w:color w:val="000000"/>
                <w:kern w:val="2"/>
                <w:sz w:val="18"/>
                <w:szCs w:val="18"/>
                <w:u w:val="none"/>
                <w:lang w:val="en-US" w:eastAsia="zh-CN" w:bidi="ar"/>
              </w:rPr>
              <w:t>最</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黑体" w:hAnsi="黑体" w:eastAsia="黑体" w:cs="黑体"/>
                <w:b w:val="0"/>
                <w:bCs w:val="0"/>
                <w:i w:val="0"/>
                <w:color w:val="000000"/>
                <w:kern w:val="2"/>
                <w:sz w:val="18"/>
                <w:szCs w:val="18"/>
                <w:u w:val="none"/>
                <w:lang w:val="en-US" w:eastAsia="zh-CN" w:bidi="ar"/>
              </w:rPr>
            </w:pPr>
            <w:r>
              <w:rPr>
                <w:rFonts w:hint="eastAsia" w:ascii="黑体" w:hAnsi="黑体" w:eastAsia="黑体" w:cs="黑体"/>
                <w:b w:val="0"/>
                <w:bCs w:val="0"/>
                <w:i w:val="0"/>
                <w:color w:val="000000"/>
                <w:kern w:val="2"/>
                <w:sz w:val="18"/>
                <w:szCs w:val="18"/>
                <w:u w:val="none"/>
                <w:lang w:val="en-US" w:eastAsia="zh-CN" w:bidi="ar"/>
              </w:rPr>
              <w:t>终</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黑体" w:hAnsi="黑体" w:eastAsia="黑体" w:cs="黑体"/>
                <w:b w:val="0"/>
                <w:bCs w:val="0"/>
                <w:i w:val="0"/>
                <w:color w:val="000000"/>
                <w:kern w:val="2"/>
                <w:sz w:val="18"/>
                <w:szCs w:val="18"/>
                <w:u w:val="none"/>
                <w:lang w:val="en-US" w:eastAsia="zh-CN" w:bidi="ar"/>
              </w:rPr>
            </w:pPr>
            <w:r>
              <w:rPr>
                <w:rFonts w:hint="eastAsia" w:ascii="黑体" w:hAnsi="黑体" w:eastAsia="黑体" w:cs="黑体"/>
                <w:b w:val="0"/>
                <w:bCs w:val="0"/>
                <w:i w:val="0"/>
                <w:color w:val="000000"/>
                <w:kern w:val="2"/>
                <w:sz w:val="18"/>
                <w:szCs w:val="18"/>
                <w:u w:val="none"/>
                <w:lang w:val="en-US" w:eastAsia="zh-CN" w:bidi="ar"/>
              </w:rPr>
              <w:t>总</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黑体" w:hAnsi="黑体" w:eastAsia="黑体" w:cs="黑体"/>
                <w:b w:val="0"/>
                <w:bCs w:val="0"/>
                <w:i w:val="0"/>
                <w:color w:val="000000"/>
                <w:kern w:val="2"/>
                <w:sz w:val="18"/>
                <w:szCs w:val="18"/>
                <w:u w:val="none"/>
                <w:lang w:val="en-US" w:eastAsia="zh-CN" w:bidi="ar"/>
              </w:rPr>
            </w:pPr>
            <w:r>
              <w:rPr>
                <w:rFonts w:hint="eastAsia" w:ascii="黑体" w:hAnsi="黑体" w:eastAsia="黑体" w:cs="黑体"/>
                <w:b w:val="0"/>
                <w:bCs w:val="0"/>
                <w:i w:val="0"/>
                <w:color w:val="000000"/>
                <w:kern w:val="2"/>
                <w:sz w:val="18"/>
                <w:szCs w:val="18"/>
                <w:u w:val="none"/>
                <w:lang w:val="en-US" w:eastAsia="zh-CN" w:bidi="ar"/>
              </w:rPr>
              <w:t>结</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黑体" w:hAnsi="黑体" w:eastAsia="黑体" w:cs="黑体"/>
                <w:b w:val="0"/>
                <w:bCs w:val="0"/>
                <w:i w:val="0"/>
                <w:color w:val="000000"/>
                <w:kern w:val="2"/>
                <w:sz w:val="18"/>
                <w:szCs w:val="18"/>
                <w:u w:val="none"/>
                <w:lang w:val="en-US" w:eastAsia="zh-CN" w:bidi="ar"/>
              </w:rPr>
            </w:pPr>
            <w:r>
              <w:rPr>
                <w:rFonts w:hint="eastAsia" w:ascii="黑体" w:hAnsi="黑体" w:eastAsia="黑体" w:cs="黑体"/>
                <w:b w:val="0"/>
                <w:bCs w:val="0"/>
                <w:i w:val="0"/>
                <w:color w:val="000000"/>
                <w:kern w:val="2"/>
                <w:sz w:val="18"/>
                <w:szCs w:val="18"/>
                <w:u w:val="none"/>
                <w:lang w:val="en-US" w:eastAsia="zh-CN" w:bidi="ar"/>
              </w:rPr>
              <w:t>论</w:t>
            </w:r>
          </w:p>
        </w:tc>
        <w:tc>
          <w:tcPr>
            <w:tcW w:w="1163" w:type="dxa"/>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2019-2020</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现状基础</w:t>
            </w:r>
          </w:p>
        </w:tc>
        <w:tc>
          <w:tcPr>
            <w:tcW w:w="5376" w:type="dxa"/>
            <w:vAlign w:val="top"/>
          </w:tcPr>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黑体" w:hAnsi="黑体" w:eastAsia="黑体" w:cs="黑体"/>
                <w:b w:val="0"/>
                <w:bCs w:val="0"/>
                <w:i w:val="0"/>
                <w:iCs w:val="0"/>
                <w:color w:val="000000"/>
                <w:kern w:val="2"/>
                <w:sz w:val="18"/>
                <w:szCs w:val="18"/>
                <w:u w:val="none"/>
                <w:lang w:val="en-US" w:eastAsia="zh-CN" w:bidi="ar"/>
              </w:rPr>
              <w:t>2</w:t>
            </w:r>
            <w:r>
              <w:rPr>
                <w:rFonts w:hint="eastAsia" w:ascii="楷体" w:hAnsi="楷体" w:eastAsia="楷体" w:cs="楷体"/>
                <w:b w:val="0"/>
                <w:bCs w:val="0"/>
                <w:i w:val="0"/>
                <w:iCs w:val="0"/>
                <w:color w:val="000000"/>
                <w:kern w:val="2"/>
                <w:sz w:val="18"/>
                <w:szCs w:val="18"/>
                <w:u w:val="none"/>
                <w:lang w:val="en-US" w:eastAsia="zh-CN" w:bidi="ar"/>
              </w:rPr>
              <w:t>019年：全区GDP为64.3亿，建区到2019年年均增速9.1%</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黑体" w:hAnsi="黑体" w:eastAsia="黑体" w:cs="黑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2020年：全区GDP为66.3亿，建区到2020年年均增速7.9%</w:t>
            </w:r>
          </w:p>
        </w:tc>
        <w:tc>
          <w:tcPr>
            <w:tcW w:w="968" w:type="dxa"/>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2020年</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黑体" w:hAnsi="黑体" w:eastAsia="黑体" w:cs="黑体"/>
                <w:b w:val="0"/>
                <w:bCs w:val="0"/>
                <w:i w:val="0"/>
                <w:iCs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66.3亿</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1015" w:type="dxa"/>
            <w:gridSpan w:val="2"/>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黑体" w:hAnsi="黑体" w:eastAsia="黑体" w:cs="黑体"/>
                <w:b w:val="0"/>
                <w:bCs w:val="0"/>
                <w:i w:val="0"/>
                <w:color w:val="000000"/>
                <w:kern w:val="2"/>
                <w:sz w:val="18"/>
                <w:szCs w:val="18"/>
                <w:u w:val="none"/>
                <w:lang w:val="en-US" w:eastAsia="zh-CN" w:bidi="ar"/>
              </w:rPr>
            </w:pPr>
          </w:p>
        </w:tc>
        <w:tc>
          <w:tcPr>
            <w:tcW w:w="1163" w:type="dxa"/>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2025年</w:t>
            </w:r>
          </w:p>
        </w:tc>
        <w:tc>
          <w:tcPr>
            <w:tcW w:w="5376" w:type="dxa"/>
            <w:vAlign w:val="top"/>
          </w:tcPr>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低值：97亿，按建区以来到GDP年均增速7.9%预测</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高值：169亿，各产业门类测算合计得到的结果，年均增速20%</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黑体" w:hAnsi="黑体" w:eastAsia="黑体" w:cs="黑体"/>
                <w:b w:val="0"/>
                <w:bCs w:val="0"/>
                <w:i w:val="0"/>
                <w:iCs w:val="0"/>
                <w:color w:val="000000"/>
                <w:kern w:val="2"/>
                <w:sz w:val="18"/>
                <w:szCs w:val="18"/>
                <w:u w:val="none"/>
                <w:lang w:val="en-US" w:eastAsia="zh-CN" w:bidi="ar"/>
              </w:rPr>
            </w:pPr>
            <w:r>
              <w:rPr>
                <w:rFonts w:hint="eastAsia" w:ascii="黑体" w:hAnsi="黑体" w:eastAsia="黑体" w:cs="黑体"/>
                <w:b w:val="0"/>
                <w:bCs w:val="0"/>
                <w:i w:val="0"/>
                <w:iCs w:val="0"/>
                <w:color w:val="000000"/>
                <w:kern w:val="2"/>
                <w:sz w:val="18"/>
                <w:szCs w:val="18"/>
                <w:u w:val="none"/>
                <w:lang w:val="en-US" w:eastAsia="zh-CN" w:bidi="ar"/>
              </w:rPr>
              <w:t>结论：</w:t>
            </w:r>
            <w:r>
              <w:rPr>
                <w:rFonts w:hint="eastAsia" w:ascii="楷体" w:hAnsi="楷体" w:eastAsia="楷体" w:cs="楷体"/>
                <w:b w:val="0"/>
                <w:bCs w:val="0"/>
                <w:i w:val="0"/>
                <w:iCs w:val="0"/>
                <w:color w:val="000000"/>
                <w:kern w:val="2"/>
                <w:sz w:val="18"/>
                <w:szCs w:val="18"/>
                <w:u w:val="none"/>
                <w:lang w:val="en-US" w:eastAsia="zh-CN" w:bidi="ar"/>
              </w:rPr>
              <w:t>参考全省目标，</w:t>
            </w:r>
            <w:r>
              <w:rPr>
                <w:rFonts w:hint="eastAsia" w:ascii="黑体" w:hAnsi="黑体" w:eastAsia="黑体" w:cs="黑体"/>
                <w:b w:val="0"/>
                <w:bCs w:val="0"/>
                <w:i w:val="0"/>
                <w:iCs w:val="0"/>
                <w:color w:val="000000"/>
                <w:kern w:val="2"/>
                <w:sz w:val="18"/>
                <w:szCs w:val="18"/>
                <w:u w:val="none"/>
                <w:lang w:val="en-US" w:eastAsia="zh-CN" w:bidi="ar"/>
              </w:rPr>
              <w:t>2025年在2020年基础上实现翻番，“十四五”实际GDP年均增速10%（名义12-13%），GDP达到130亿</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黑体" w:hAnsi="黑体" w:eastAsia="黑体" w:cs="黑体"/>
                <w:b w:val="0"/>
                <w:bCs w:val="0"/>
                <w:i w:val="0"/>
                <w:iCs w:val="0"/>
                <w:color w:val="000000"/>
                <w:kern w:val="2"/>
                <w:sz w:val="18"/>
                <w:szCs w:val="18"/>
                <w:u w:val="none"/>
                <w:lang w:val="en-US" w:eastAsia="zh-CN" w:bidi="ar"/>
              </w:rPr>
            </w:pPr>
            <w:r>
              <w:rPr>
                <w:rFonts w:hint="eastAsia" w:ascii="黑体" w:hAnsi="黑体" w:eastAsia="黑体" w:cs="黑体"/>
                <w:b w:val="0"/>
                <w:bCs w:val="0"/>
                <w:i w:val="0"/>
                <w:iCs w:val="0"/>
                <w:color w:val="000000"/>
                <w:kern w:val="2"/>
                <w:sz w:val="18"/>
                <w:szCs w:val="18"/>
                <w:u w:val="none"/>
                <w:lang w:val="en-US" w:eastAsia="zh-CN" w:bidi="ar"/>
              </w:rPr>
              <w:t>对三次产业产值进行修正</w:t>
            </w:r>
            <w:r>
              <w:rPr>
                <w:rFonts w:hint="eastAsia" w:ascii="楷体" w:hAnsi="楷体" w:eastAsia="楷体" w:cs="楷体"/>
                <w:b w:val="0"/>
                <w:bCs w:val="0"/>
                <w:i w:val="0"/>
                <w:iCs w:val="0"/>
                <w:color w:val="000000"/>
                <w:kern w:val="2"/>
                <w:sz w:val="18"/>
                <w:szCs w:val="18"/>
                <w:u w:val="none"/>
                <w:lang w:val="en-US" w:eastAsia="zh-CN" w:bidi="ar"/>
              </w:rPr>
              <w:t>（以同比例修正为基准、根据产业项目情况适当微调）</w:t>
            </w:r>
            <w:r>
              <w:rPr>
                <w:rFonts w:hint="eastAsia" w:ascii="黑体" w:hAnsi="黑体" w:eastAsia="黑体" w:cs="黑体"/>
                <w:b w:val="0"/>
                <w:bCs w:val="0"/>
                <w:i w:val="0"/>
                <w:iCs w:val="0"/>
                <w:color w:val="000000"/>
                <w:kern w:val="2"/>
                <w:sz w:val="18"/>
                <w:szCs w:val="18"/>
                <w:u w:val="none"/>
                <w:lang w:val="en-US" w:eastAsia="zh-CN" w:bidi="ar"/>
              </w:rPr>
              <w:t>，第一产业为30亿、第二产业为15亿、第三产业为85亿，三产结构为23∶12∶65</w:t>
            </w:r>
          </w:p>
        </w:tc>
        <w:tc>
          <w:tcPr>
            <w:tcW w:w="968" w:type="dxa"/>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黑体" w:hAnsi="黑体" w:eastAsia="黑体" w:cs="黑体"/>
                <w:b w:val="0"/>
                <w:bCs w:val="0"/>
                <w:i w:val="0"/>
                <w:iCs w:val="0"/>
                <w:color w:val="000000"/>
                <w:kern w:val="2"/>
                <w:sz w:val="18"/>
                <w:szCs w:val="18"/>
                <w:u w:val="none"/>
                <w:lang w:val="en-US" w:eastAsia="zh-CN" w:bidi="ar"/>
              </w:rPr>
            </w:pPr>
            <w:r>
              <w:rPr>
                <w:rFonts w:hint="eastAsia" w:ascii="黑体" w:hAnsi="黑体" w:eastAsia="黑体" w:cs="黑体"/>
                <w:b w:val="0"/>
                <w:bCs w:val="0"/>
                <w:i w:val="0"/>
                <w:iCs w:val="0"/>
                <w:color w:val="000000"/>
                <w:kern w:val="2"/>
                <w:sz w:val="18"/>
                <w:szCs w:val="18"/>
                <w:u w:val="none"/>
                <w:lang w:val="en-US" w:eastAsia="zh-CN" w:bidi="ar"/>
              </w:rPr>
              <w:t>130亿</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1015" w:type="dxa"/>
            <w:gridSpan w:val="2"/>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黑体" w:hAnsi="黑体" w:eastAsia="黑体" w:cs="黑体"/>
                <w:b w:val="0"/>
                <w:bCs w:val="0"/>
                <w:i w:val="0"/>
                <w:color w:val="000000"/>
                <w:kern w:val="2"/>
                <w:sz w:val="18"/>
                <w:szCs w:val="18"/>
                <w:u w:val="none"/>
                <w:lang w:val="en-US" w:eastAsia="zh-CN" w:bidi="ar"/>
              </w:rPr>
            </w:pPr>
          </w:p>
        </w:tc>
        <w:tc>
          <w:tcPr>
            <w:tcW w:w="1163" w:type="dxa"/>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2035年</w:t>
            </w:r>
          </w:p>
        </w:tc>
        <w:tc>
          <w:tcPr>
            <w:tcW w:w="5376" w:type="dxa"/>
            <w:vAlign w:val="top"/>
          </w:tcPr>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低值：281亿，在2025年130亿基础上，按2026-2035年名义GDP年均增速8%预测</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高值：568亿，在各产业门类分别测算的基础上合计得到的结果，2025-2035年名义GDP年均增速13%</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黑体" w:hAnsi="黑体" w:eastAsia="黑体" w:cs="黑体"/>
                <w:b w:val="0"/>
                <w:bCs w:val="0"/>
                <w:i w:val="0"/>
                <w:iCs w:val="0"/>
                <w:color w:val="000000"/>
                <w:kern w:val="2"/>
                <w:sz w:val="18"/>
                <w:szCs w:val="18"/>
                <w:u w:val="none"/>
                <w:lang w:val="en-US" w:eastAsia="zh-CN" w:bidi="ar"/>
              </w:rPr>
            </w:pPr>
            <w:r>
              <w:rPr>
                <w:rFonts w:hint="eastAsia" w:ascii="黑体" w:hAnsi="黑体" w:eastAsia="黑体" w:cs="黑体"/>
                <w:b w:val="0"/>
                <w:bCs w:val="0"/>
                <w:i w:val="0"/>
                <w:iCs w:val="0"/>
                <w:color w:val="000000"/>
                <w:kern w:val="2"/>
                <w:sz w:val="18"/>
                <w:szCs w:val="18"/>
                <w:u w:val="none"/>
                <w:lang w:val="en-US" w:eastAsia="zh-CN" w:bidi="ar"/>
              </w:rPr>
              <w:t>结论：</w:t>
            </w:r>
            <w:r>
              <w:rPr>
                <w:rFonts w:hint="eastAsia" w:ascii="楷体" w:hAnsi="楷体" w:eastAsia="楷体" w:cs="楷体"/>
                <w:b w:val="0"/>
                <w:bCs w:val="0"/>
                <w:i w:val="0"/>
                <w:iCs w:val="0"/>
                <w:color w:val="000000"/>
                <w:kern w:val="2"/>
                <w:sz w:val="18"/>
                <w:szCs w:val="18"/>
                <w:u w:val="none"/>
                <w:lang w:val="en-US" w:eastAsia="zh-CN" w:bidi="ar"/>
              </w:rPr>
              <w:t>考虑到新开发区域GDP通常由高速逐年向中高速转换，且发展基础基数不断提高壮大，2025年之后GDP的增速有所下降，</w:t>
            </w:r>
            <w:r>
              <w:rPr>
                <w:rFonts w:hint="eastAsia" w:ascii="黑体" w:hAnsi="黑体" w:eastAsia="黑体" w:cs="黑体"/>
                <w:b w:val="0"/>
                <w:bCs w:val="0"/>
                <w:i w:val="0"/>
                <w:iCs w:val="0"/>
                <w:color w:val="000000"/>
                <w:kern w:val="2"/>
                <w:sz w:val="18"/>
                <w:szCs w:val="18"/>
                <w:u w:val="none"/>
                <w:lang w:val="en-US" w:eastAsia="zh-CN" w:bidi="ar"/>
              </w:rPr>
              <w:t>取低值和高值名义GDP的平均增速11%（实际GDP为8%左右），测算2035年GDP达到370亿</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黑体" w:hAnsi="黑体" w:eastAsia="黑体" w:cs="黑体"/>
                <w:b w:val="0"/>
                <w:bCs w:val="0"/>
                <w:i w:val="0"/>
                <w:iCs w:val="0"/>
                <w:color w:val="000000"/>
                <w:kern w:val="2"/>
                <w:sz w:val="18"/>
                <w:szCs w:val="18"/>
                <w:u w:val="none"/>
                <w:lang w:val="en-US" w:eastAsia="zh-CN" w:bidi="ar"/>
              </w:rPr>
            </w:pPr>
            <w:r>
              <w:rPr>
                <w:rFonts w:hint="eastAsia" w:ascii="黑体" w:hAnsi="黑体" w:eastAsia="黑体" w:cs="黑体"/>
                <w:b w:val="0"/>
                <w:bCs w:val="0"/>
                <w:i w:val="0"/>
                <w:iCs w:val="0"/>
                <w:color w:val="000000"/>
                <w:kern w:val="2"/>
                <w:sz w:val="18"/>
                <w:szCs w:val="18"/>
                <w:u w:val="none"/>
                <w:lang w:val="en-US" w:eastAsia="zh-CN" w:bidi="ar"/>
              </w:rPr>
              <w:t>对三次产业产值进行修正</w:t>
            </w:r>
            <w:r>
              <w:rPr>
                <w:rFonts w:hint="eastAsia" w:ascii="楷体" w:hAnsi="楷体" w:eastAsia="楷体" w:cs="楷体"/>
                <w:b w:val="0"/>
                <w:bCs w:val="0"/>
                <w:i w:val="0"/>
                <w:iCs w:val="0"/>
                <w:color w:val="000000"/>
                <w:kern w:val="2"/>
                <w:sz w:val="18"/>
                <w:szCs w:val="18"/>
                <w:u w:val="none"/>
                <w:lang w:val="en-US" w:eastAsia="zh-CN" w:bidi="ar"/>
              </w:rPr>
              <w:t>（以同比例修正为基准、根据产业项目情况适当微调）</w:t>
            </w:r>
            <w:r>
              <w:rPr>
                <w:rFonts w:hint="eastAsia" w:ascii="黑体" w:hAnsi="黑体" w:eastAsia="黑体" w:cs="黑体"/>
                <w:b w:val="0"/>
                <w:bCs w:val="0"/>
                <w:i w:val="0"/>
                <w:iCs w:val="0"/>
                <w:color w:val="000000"/>
                <w:kern w:val="2"/>
                <w:sz w:val="18"/>
                <w:szCs w:val="18"/>
                <w:u w:val="none"/>
                <w:lang w:val="en-US" w:eastAsia="zh-CN" w:bidi="ar"/>
              </w:rPr>
              <w:t>，第一产业为60亿、第二产业为60亿、第三产业为250亿，三产结构为16∶16∶68</w:t>
            </w:r>
          </w:p>
        </w:tc>
        <w:tc>
          <w:tcPr>
            <w:tcW w:w="968" w:type="dxa"/>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黑体" w:hAnsi="黑体" w:eastAsia="黑体" w:cs="黑体"/>
                <w:b w:val="0"/>
                <w:bCs w:val="0"/>
                <w:i w:val="0"/>
                <w:iCs w:val="0"/>
                <w:color w:val="000000"/>
                <w:kern w:val="2"/>
                <w:sz w:val="18"/>
                <w:szCs w:val="18"/>
                <w:u w:val="none"/>
                <w:lang w:val="en-US" w:eastAsia="zh-CN" w:bidi="ar"/>
              </w:rPr>
            </w:pPr>
            <w:r>
              <w:rPr>
                <w:rFonts w:hint="eastAsia" w:ascii="黑体" w:hAnsi="黑体" w:eastAsia="黑体" w:cs="黑体"/>
                <w:b w:val="0"/>
                <w:bCs w:val="0"/>
                <w:i w:val="0"/>
                <w:iCs w:val="0"/>
                <w:color w:val="000000"/>
                <w:kern w:val="2"/>
                <w:sz w:val="18"/>
                <w:szCs w:val="18"/>
                <w:u w:val="none"/>
                <w:lang w:val="en-US" w:eastAsia="zh-CN" w:bidi="ar"/>
              </w:rPr>
              <w:t>370亿</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385"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第一产业</w:t>
            </w:r>
          </w:p>
        </w:tc>
        <w:tc>
          <w:tcPr>
            <w:tcW w:w="630"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default" w:ascii="楷体" w:hAnsi="楷体" w:eastAsia="楷体" w:cs="楷体"/>
                <w:b w:val="0"/>
                <w:bCs w:val="0"/>
                <w:i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增速预测法：</w:t>
            </w:r>
          </w:p>
        </w:tc>
        <w:tc>
          <w:tcPr>
            <w:tcW w:w="1163" w:type="dxa"/>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both"/>
              <w:textAlignment w:val="auto"/>
              <w:rPr>
                <w:rFonts w:hint="eastAsia" w:ascii="楷体" w:hAnsi="楷体" w:eastAsia="楷体" w:cs="楷体"/>
                <w:b w:val="0"/>
                <w:bCs w:val="0"/>
                <w:i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2019-2020</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both"/>
              <w:textAlignment w:val="auto"/>
              <w:rPr>
                <w:rFonts w:hint="eastAsia" w:ascii="楷体" w:hAnsi="楷体" w:eastAsia="楷体" w:cs="楷体"/>
                <w:b w:val="0"/>
                <w:bCs w:val="0"/>
                <w:i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现状基础</w:t>
            </w:r>
          </w:p>
        </w:tc>
        <w:tc>
          <w:tcPr>
            <w:tcW w:w="5376" w:type="dxa"/>
            <w:vAlign w:val="top"/>
          </w:tcPr>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2019年一产GDP为20.6亿，建区到2019年年均增速3.9%</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2020年一产GDP为21.2亿，建区到2020年年均增速3.7%</w:t>
            </w:r>
          </w:p>
        </w:tc>
        <w:tc>
          <w:tcPr>
            <w:tcW w:w="968" w:type="dxa"/>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2020年</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21.2亿</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385"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val="0"/>
                <w:bCs w:val="0"/>
                <w:i w:val="0"/>
                <w:iCs w:val="0"/>
                <w:color w:val="000000"/>
                <w:kern w:val="2"/>
                <w:sz w:val="18"/>
                <w:szCs w:val="18"/>
                <w:u w:val="none"/>
                <w:lang w:val="en-US" w:eastAsia="zh-CN" w:bidi="ar"/>
              </w:rPr>
            </w:pPr>
          </w:p>
        </w:tc>
        <w:tc>
          <w:tcPr>
            <w:tcW w:w="630"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val="0"/>
                <w:bCs w:val="0"/>
                <w:i w:val="0"/>
                <w:color w:val="000000"/>
                <w:kern w:val="2"/>
                <w:sz w:val="18"/>
                <w:szCs w:val="18"/>
                <w:u w:val="none"/>
                <w:lang w:val="en-US" w:eastAsia="zh-CN" w:bidi="ar"/>
              </w:rPr>
            </w:pPr>
          </w:p>
        </w:tc>
        <w:tc>
          <w:tcPr>
            <w:tcW w:w="1163" w:type="dxa"/>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both"/>
              <w:textAlignment w:val="auto"/>
              <w:rPr>
                <w:rFonts w:hint="eastAsia" w:ascii="楷体" w:hAnsi="楷体" w:eastAsia="楷体" w:cs="楷体"/>
                <w:b w:val="0"/>
                <w:bCs w:val="0"/>
                <w:i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2025年</w:t>
            </w:r>
          </w:p>
        </w:tc>
        <w:tc>
          <w:tcPr>
            <w:tcW w:w="5376" w:type="dxa"/>
            <w:vAlign w:val="top"/>
          </w:tcPr>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低值：按建区以来年均增速3.7%，2025年为25亿</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中值：按新增贡献3%测算，年均增速6.7%，2025年为30亿</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高值：按新增贡献5%测算，年均增速8.7%，2025年为32亿</w:t>
            </w:r>
          </w:p>
        </w:tc>
        <w:tc>
          <w:tcPr>
            <w:tcW w:w="968" w:type="dxa"/>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GDP中值</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30亿</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385"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val="0"/>
                <w:bCs w:val="0"/>
                <w:i w:val="0"/>
                <w:iCs w:val="0"/>
                <w:color w:val="000000"/>
                <w:kern w:val="2"/>
                <w:sz w:val="18"/>
                <w:szCs w:val="18"/>
                <w:u w:val="none"/>
                <w:lang w:val="en-US" w:eastAsia="zh-CN" w:bidi="ar"/>
              </w:rPr>
            </w:pPr>
          </w:p>
        </w:tc>
        <w:tc>
          <w:tcPr>
            <w:tcW w:w="630"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val="0"/>
                <w:bCs w:val="0"/>
                <w:i w:val="0"/>
                <w:color w:val="000000"/>
                <w:kern w:val="2"/>
                <w:sz w:val="18"/>
                <w:szCs w:val="18"/>
                <w:u w:val="none"/>
                <w:lang w:val="en-US" w:eastAsia="zh-CN" w:bidi="ar"/>
              </w:rPr>
            </w:pPr>
          </w:p>
        </w:tc>
        <w:tc>
          <w:tcPr>
            <w:tcW w:w="1163" w:type="dxa"/>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both"/>
              <w:textAlignment w:val="auto"/>
              <w:rPr>
                <w:rFonts w:hint="eastAsia" w:ascii="楷体" w:hAnsi="楷体" w:eastAsia="楷体" w:cs="楷体"/>
                <w:b w:val="0"/>
                <w:bCs w:val="0"/>
                <w:i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2035年</w:t>
            </w:r>
          </w:p>
        </w:tc>
        <w:tc>
          <w:tcPr>
            <w:tcW w:w="5376" w:type="dxa"/>
            <w:vAlign w:val="top"/>
          </w:tcPr>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低值：按建区以来GDP年均增速3.7%，2035年为36亿</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中值：按2025年之前6.7%、之后8.4%测算，2035年为67亿</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高值：按2025年之前8.9%、之后10.9%测算，2035年为96亿</w:t>
            </w:r>
          </w:p>
        </w:tc>
        <w:tc>
          <w:tcPr>
            <w:tcW w:w="968" w:type="dxa"/>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GDP中值</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67亿</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385"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val="0"/>
                <w:bCs w:val="0"/>
                <w:i w:val="0"/>
                <w:iCs w:val="0"/>
                <w:color w:val="000000"/>
                <w:kern w:val="2"/>
                <w:sz w:val="18"/>
                <w:szCs w:val="18"/>
                <w:u w:val="none"/>
                <w:lang w:val="en-US" w:eastAsia="zh-CN" w:bidi="ar"/>
              </w:rPr>
            </w:pPr>
          </w:p>
        </w:tc>
        <w:tc>
          <w:tcPr>
            <w:tcW w:w="630"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val="0"/>
                <w:bCs w:val="0"/>
                <w:i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结构预测法：</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农业</w:t>
            </w:r>
          </w:p>
        </w:tc>
        <w:tc>
          <w:tcPr>
            <w:tcW w:w="1163" w:type="dxa"/>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20" w:lineRule="exact"/>
              <w:ind w:left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冬季瓜菜</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20" w:lineRule="exact"/>
              <w:ind w:left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热带水果</w:t>
            </w:r>
          </w:p>
        </w:tc>
        <w:tc>
          <w:tcPr>
            <w:tcW w:w="5376" w:type="dxa"/>
            <w:vAlign w:val="top"/>
          </w:tcPr>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全区待耕地较少，瓜菜水果规模稳定，通过增加土地面积提产的空间不大</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受土地租金制约，农业规模化、设施化、现代化提产空间有限，估计对增速贡献1-2%</w:t>
            </w:r>
          </w:p>
        </w:tc>
        <w:tc>
          <w:tcPr>
            <w:tcW w:w="968"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增速贡献</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2-4%</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385"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sz w:val="18"/>
                <w:szCs w:val="18"/>
              </w:rPr>
            </w:pPr>
          </w:p>
        </w:tc>
        <w:tc>
          <w:tcPr>
            <w:tcW w:w="630"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sz w:val="18"/>
                <w:szCs w:val="18"/>
              </w:rPr>
            </w:pPr>
          </w:p>
        </w:tc>
        <w:tc>
          <w:tcPr>
            <w:tcW w:w="1163" w:type="dxa"/>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20" w:lineRule="exact"/>
              <w:ind w:left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南繁育种及服务</w:t>
            </w:r>
          </w:p>
        </w:tc>
        <w:tc>
          <w:tcPr>
            <w:tcW w:w="5376" w:type="dxa"/>
            <w:vAlign w:val="top"/>
          </w:tcPr>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南繁田洋种植规模稳定，科技城提振发展质量、提高种植附加值，估计对增速贡献1-2%</w:t>
            </w:r>
          </w:p>
        </w:tc>
        <w:tc>
          <w:tcPr>
            <w:tcW w:w="968"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left="227" w:leftChars="0" w:hanging="227" w:firstLineChars="0"/>
              <w:jc w:val="right"/>
              <w:textAlignment w:val="auto"/>
              <w:rPr>
                <w:rFonts w:hint="eastAsia" w:ascii="楷体" w:hAnsi="楷体" w:eastAsia="楷体" w:cs="楷体"/>
                <w:b w:val="0"/>
                <w:bCs w:val="0"/>
                <w:i w:val="0"/>
                <w:iCs w:val="0"/>
                <w:color w:val="000000"/>
                <w:kern w:val="2"/>
                <w:sz w:val="18"/>
                <w:szCs w:val="18"/>
                <w:u w:val="none"/>
                <w:lang w:val="en-US" w:eastAsia="zh-CN" w:bidi="ar"/>
              </w:rPr>
            </w:pP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24" w:hRule="atLeast"/>
        </w:trPr>
        <w:tc>
          <w:tcPr>
            <w:tcW w:w="385"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val="0"/>
                <w:bCs w:val="0"/>
                <w:i w:val="0"/>
                <w:iCs w:val="0"/>
                <w:color w:val="000000"/>
                <w:kern w:val="2"/>
                <w:sz w:val="18"/>
                <w:szCs w:val="18"/>
                <w:u w:val="none"/>
                <w:lang w:val="en-US" w:eastAsia="zh-CN" w:bidi="ar"/>
              </w:rPr>
            </w:pPr>
          </w:p>
        </w:tc>
        <w:tc>
          <w:tcPr>
            <w:tcW w:w="630"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val="0"/>
                <w:bCs w:val="0"/>
                <w:i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结构预测法：</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渔业</w:t>
            </w:r>
          </w:p>
        </w:tc>
        <w:tc>
          <w:tcPr>
            <w:tcW w:w="1163" w:type="dxa"/>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20" w:lineRule="exact"/>
              <w:ind w:left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岸上养殖</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20" w:lineRule="exact"/>
              <w:ind w:left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深海养殖</w:t>
            </w:r>
          </w:p>
        </w:tc>
        <w:tc>
          <w:tcPr>
            <w:tcW w:w="5376" w:type="dxa"/>
            <w:vAlign w:val="top"/>
          </w:tcPr>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2022年前清理2430亩鱼虾塘，总面积减少1/3，3年内渔业产出预计持续下滑，3年后得益工厂化和深海养殖提振得到恢复</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到2025年先损后补，整体维持现状不变，对农业增速没有贡献</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2025-2035年对农业增速贡献按2%测算</w:t>
            </w:r>
          </w:p>
        </w:tc>
        <w:tc>
          <w:tcPr>
            <w:tcW w:w="968"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增速贡献</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2025前：0%</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2025后：2%</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385"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sz w:val="18"/>
                <w:szCs w:val="18"/>
              </w:rPr>
            </w:pPr>
          </w:p>
        </w:tc>
        <w:tc>
          <w:tcPr>
            <w:tcW w:w="630"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sz w:val="18"/>
                <w:szCs w:val="18"/>
              </w:rPr>
            </w:pPr>
          </w:p>
        </w:tc>
        <w:tc>
          <w:tcPr>
            <w:tcW w:w="1163" w:type="dxa"/>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20" w:lineRule="exact"/>
              <w:ind w:left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水产捕捞</w:t>
            </w:r>
          </w:p>
        </w:tc>
        <w:tc>
          <w:tcPr>
            <w:tcW w:w="5376" w:type="dxa"/>
            <w:vAlign w:val="top"/>
          </w:tcPr>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水产捕捞（海洋+淡水）体量小，对农业总体增速影响不显著</w:t>
            </w:r>
          </w:p>
        </w:tc>
        <w:tc>
          <w:tcPr>
            <w:tcW w:w="968"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left="227" w:leftChars="0" w:hanging="227" w:firstLineChars="0"/>
              <w:jc w:val="right"/>
              <w:textAlignment w:val="auto"/>
              <w:rPr>
                <w:rFonts w:hint="eastAsia" w:ascii="楷体" w:hAnsi="楷体" w:eastAsia="楷体" w:cs="楷体"/>
                <w:b w:val="0"/>
                <w:bCs w:val="0"/>
                <w:i w:val="0"/>
                <w:iCs w:val="0"/>
                <w:color w:val="000000"/>
                <w:kern w:val="2"/>
                <w:sz w:val="18"/>
                <w:szCs w:val="18"/>
                <w:u w:val="none"/>
                <w:lang w:val="en-US" w:eastAsia="zh-CN" w:bidi="ar"/>
              </w:rPr>
            </w:pP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385"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p>
        </w:tc>
        <w:tc>
          <w:tcPr>
            <w:tcW w:w="630"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p>
        </w:tc>
        <w:tc>
          <w:tcPr>
            <w:tcW w:w="1163" w:type="dxa"/>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20" w:lineRule="exact"/>
              <w:ind w:left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渔港经济</w:t>
            </w:r>
          </w:p>
        </w:tc>
        <w:tc>
          <w:tcPr>
            <w:tcW w:w="5376" w:type="dxa"/>
            <w:vAlign w:val="top"/>
          </w:tcPr>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渔港经济增量主要为商贸物流、水产加工等，在相应部分测算</w:t>
            </w:r>
          </w:p>
        </w:tc>
        <w:tc>
          <w:tcPr>
            <w:tcW w:w="968"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left="227" w:leftChars="0" w:hanging="227" w:firstLineChars="0"/>
              <w:jc w:val="right"/>
              <w:textAlignment w:val="auto"/>
              <w:rPr>
                <w:rFonts w:hint="eastAsia" w:ascii="楷体" w:hAnsi="楷体" w:eastAsia="楷体" w:cs="楷体"/>
                <w:b w:val="0"/>
                <w:bCs w:val="0"/>
                <w:i w:val="0"/>
                <w:iCs w:val="0"/>
                <w:color w:val="000000"/>
                <w:kern w:val="2"/>
                <w:sz w:val="18"/>
                <w:szCs w:val="18"/>
                <w:u w:val="none"/>
                <w:lang w:val="en-US" w:eastAsia="zh-CN" w:bidi="ar"/>
              </w:rPr>
            </w:pP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385"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val="0"/>
                <w:bCs w:val="0"/>
                <w:i w:val="0"/>
                <w:iCs w:val="0"/>
                <w:color w:val="000000"/>
                <w:kern w:val="2"/>
                <w:sz w:val="18"/>
                <w:szCs w:val="18"/>
                <w:u w:val="none"/>
                <w:lang w:val="en-US" w:eastAsia="zh-CN" w:bidi="ar"/>
              </w:rPr>
            </w:pPr>
          </w:p>
        </w:tc>
        <w:tc>
          <w:tcPr>
            <w:tcW w:w="630" w:type="dxa"/>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结构预测法：</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val="0"/>
                <w:bCs w:val="0"/>
                <w:i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养殖</w:t>
            </w:r>
          </w:p>
        </w:tc>
        <w:tc>
          <w:tcPr>
            <w:tcW w:w="1163" w:type="dxa"/>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20" w:lineRule="exact"/>
              <w:ind w:left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畜牧养殖</w:t>
            </w:r>
          </w:p>
        </w:tc>
        <w:tc>
          <w:tcPr>
            <w:tcW w:w="5376" w:type="dxa"/>
            <w:vAlign w:val="top"/>
          </w:tcPr>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畜牧养殖投入新增项目效益较为显著，估计对增速贡献0.5-1%</w:t>
            </w:r>
          </w:p>
        </w:tc>
        <w:tc>
          <w:tcPr>
            <w:tcW w:w="968" w:type="dxa"/>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增速贡献</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0.5-1%</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385"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第二产业</w:t>
            </w:r>
          </w:p>
        </w:tc>
        <w:tc>
          <w:tcPr>
            <w:tcW w:w="630"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增速预测法：</w:t>
            </w:r>
          </w:p>
        </w:tc>
        <w:tc>
          <w:tcPr>
            <w:tcW w:w="1163" w:type="dxa"/>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20" w:lineRule="exact"/>
              <w:ind w:left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2019-2020</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20" w:lineRule="exact"/>
              <w:ind w:left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现状基础</w:t>
            </w:r>
          </w:p>
        </w:tc>
        <w:tc>
          <w:tcPr>
            <w:tcW w:w="5376" w:type="dxa"/>
            <w:vAlign w:val="top"/>
          </w:tcPr>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2019年：二产GDP为7.5亿，建区到2019年年均下降10.1%，二产GDP中，工业1.0亿（占13%）、建筑业6.5亿（占87%）</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2020年：二产GDP为10.6亿，建区到2020年年均下降1.6%，其中建筑业回复较快，占二产大部分份额</w:t>
            </w:r>
          </w:p>
        </w:tc>
        <w:tc>
          <w:tcPr>
            <w:tcW w:w="968" w:type="dxa"/>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2020年</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10.6亿</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385"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val="0"/>
                <w:bCs w:val="0"/>
                <w:i w:val="0"/>
                <w:iCs w:val="0"/>
                <w:color w:val="000000"/>
                <w:kern w:val="2"/>
                <w:sz w:val="18"/>
                <w:szCs w:val="18"/>
                <w:u w:val="none"/>
                <w:lang w:val="en-US" w:eastAsia="zh-CN" w:bidi="ar"/>
              </w:rPr>
            </w:pPr>
          </w:p>
        </w:tc>
        <w:tc>
          <w:tcPr>
            <w:tcW w:w="630"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val="0"/>
                <w:bCs w:val="0"/>
                <w:i w:val="0"/>
                <w:iCs w:val="0"/>
                <w:color w:val="000000"/>
                <w:kern w:val="2"/>
                <w:sz w:val="18"/>
                <w:szCs w:val="18"/>
                <w:u w:val="none"/>
                <w:lang w:val="en-US" w:eastAsia="zh-CN" w:bidi="ar"/>
              </w:rPr>
            </w:pPr>
          </w:p>
        </w:tc>
        <w:tc>
          <w:tcPr>
            <w:tcW w:w="1163" w:type="dxa"/>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20" w:lineRule="exact"/>
              <w:ind w:left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2025年</w:t>
            </w:r>
          </w:p>
        </w:tc>
        <w:tc>
          <w:tcPr>
            <w:tcW w:w="5376" w:type="dxa"/>
            <w:vAlign w:val="top"/>
          </w:tcPr>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低值：按照实际GDP不变、名义GDP增速3%，2025年为12亿</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中值：实际GDP增速由负转正保持低速增长，名义GDP增速达到7%，2025年为15亿（工业5亿、建筑业9亿）</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高值：增速接近全区GDP平均增速，名义GDP增速达到10%，2025年为17亿</w:t>
            </w:r>
          </w:p>
        </w:tc>
        <w:tc>
          <w:tcPr>
            <w:tcW w:w="968" w:type="dxa"/>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GDP中值</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15亿</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385"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val="0"/>
                <w:bCs w:val="0"/>
                <w:i w:val="0"/>
                <w:iCs w:val="0"/>
                <w:color w:val="000000"/>
                <w:kern w:val="2"/>
                <w:sz w:val="18"/>
                <w:szCs w:val="18"/>
                <w:u w:val="none"/>
                <w:lang w:val="en-US" w:eastAsia="zh-CN" w:bidi="ar"/>
              </w:rPr>
            </w:pPr>
          </w:p>
        </w:tc>
        <w:tc>
          <w:tcPr>
            <w:tcW w:w="630"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val="0"/>
                <w:bCs w:val="0"/>
                <w:i w:val="0"/>
                <w:iCs w:val="0"/>
                <w:color w:val="000000"/>
                <w:kern w:val="2"/>
                <w:sz w:val="18"/>
                <w:szCs w:val="18"/>
                <w:u w:val="none"/>
                <w:lang w:val="en-US" w:eastAsia="zh-CN" w:bidi="ar"/>
              </w:rPr>
            </w:pPr>
          </w:p>
        </w:tc>
        <w:tc>
          <w:tcPr>
            <w:tcW w:w="1163" w:type="dxa"/>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20" w:lineRule="exact"/>
              <w:ind w:left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2035年</w:t>
            </w:r>
          </w:p>
        </w:tc>
        <w:tc>
          <w:tcPr>
            <w:tcW w:w="5376" w:type="dxa"/>
            <w:vAlign w:val="top"/>
          </w:tcPr>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低值：在2025年基础上按名义GDP增速5%，2035年为25亿</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中值：在2025年基础上按名义GDP增速10%，2035年为40亿</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高值：在2025年基础上按名义GDP增速13%，2035年为50亿</w:t>
            </w:r>
          </w:p>
        </w:tc>
        <w:tc>
          <w:tcPr>
            <w:tcW w:w="968" w:type="dxa"/>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default" w:ascii="楷体" w:hAnsi="楷体" w:eastAsia="楷体" w:cs="楷体"/>
                <w:b w:val="0"/>
                <w:bCs w:val="0"/>
                <w:i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GDP中值</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40亿</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385"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val="0"/>
                <w:bCs w:val="0"/>
                <w:i w:val="0"/>
                <w:iCs w:val="0"/>
                <w:color w:val="000000"/>
                <w:kern w:val="2"/>
                <w:sz w:val="18"/>
                <w:szCs w:val="18"/>
                <w:u w:val="none"/>
                <w:lang w:val="en-US" w:eastAsia="zh-CN" w:bidi="ar"/>
              </w:rPr>
            </w:pPr>
          </w:p>
        </w:tc>
        <w:tc>
          <w:tcPr>
            <w:tcW w:w="630"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结构预测法：</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农渔产品加工</w:t>
            </w:r>
          </w:p>
        </w:tc>
        <w:tc>
          <w:tcPr>
            <w:tcW w:w="1163" w:type="dxa"/>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20" w:lineRule="exact"/>
              <w:ind w:left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农产品加工</w:t>
            </w:r>
          </w:p>
        </w:tc>
        <w:tc>
          <w:tcPr>
            <w:tcW w:w="5376" w:type="dxa"/>
            <w:vAlign w:val="top"/>
          </w:tcPr>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2025年：预计5%农产品（1.5万吨）进入本地加工环节，创造工业产值2.4亿、贡献增加值（GDP）0.8亿</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2035年：预计20%农产品（6万吨）进入本地加工环节，创造工业产值13亿、贡献增加值（GDP）4亿</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20" w:lineRule="exact"/>
              <w:ind w:left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（注：已考虑CPI增长因素，测算依据过程详见第四章第二节）</w:t>
            </w:r>
          </w:p>
        </w:tc>
        <w:tc>
          <w:tcPr>
            <w:tcW w:w="968" w:type="dxa"/>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GDP贡献</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2025年：</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0.8亿</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2035年：</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4亿</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385"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val="0"/>
                <w:bCs w:val="0"/>
                <w:i w:val="0"/>
                <w:iCs w:val="0"/>
                <w:color w:val="000000"/>
                <w:kern w:val="2"/>
                <w:sz w:val="18"/>
                <w:szCs w:val="18"/>
                <w:u w:val="none"/>
                <w:lang w:val="en-US" w:eastAsia="zh-CN" w:bidi="ar"/>
              </w:rPr>
            </w:pPr>
          </w:p>
        </w:tc>
        <w:tc>
          <w:tcPr>
            <w:tcW w:w="630"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val="0"/>
                <w:bCs w:val="0"/>
                <w:i w:val="0"/>
                <w:iCs w:val="0"/>
                <w:color w:val="000000"/>
                <w:kern w:val="2"/>
                <w:sz w:val="18"/>
                <w:szCs w:val="18"/>
                <w:u w:val="none"/>
                <w:lang w:val="en-US" w:eastAsia="zh-CN" w:bidi="ar"/>
              </w:rPr>
            </w:pPr>
          </w:p>
        </w:tc>
        <w:tc>
          <w:tcPr>
            <w:tcW w:w="1163" w:type="dxa"/>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20" w:lineRule="exact"/>
              <w:ind w:left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水产品加工</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20" w:lineRule="exact"/>
              <w:ind w:left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功能性产品</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20" w:lineRule="exact"/>
              <w:ind w:left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宠物饲料</w:t>
            </w:r>
          </w:p>
        </w:tc>
        <w:tc>
          <w:tcPr>
            <w:tcW w:w="5376" w:type="dxa"/>
            <w:vAlign w:val="top"/>
          </w:tcPr>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2025年：预计中心渔港后方加工用地达到500亩，创造工业产值12亿、贡献增加值（GDP）4亿</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2025年：预计中心渔港后方加工用地达到2000亩，创造工业产值64亿、贡献增加值（GDP）21亿</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20" w:lineRule="exact"/>
              <w:ind w:left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（注：已考虑CPI增长因素）</w:t>
            </w:r>
          </w:p>
        </w:tc>
        <w:tc>
          <w:tcPr>
            <w:tcW w:w="968" w:type="dxa"/>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GDP贡献</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2025年：</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4亿</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2035年：</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21亿</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385"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val="0"/>
                <w:bCs w:val="0"/>
                <w:i w:val="0"/>
                <w:iCs w:val="0"/>
                <w:color w:val="000000"/>
                <w:kern w:val="2"/>
                <w:sz w:val="18"/>
                <w:szCs w:val="18"/>
                <w:u w:val="none"/>
                <w:lang w:val="en-US" w:eastAsia="zh-CN" w:bidi="ar"/>
              </w:rPr>
            </w:pPr>
          </w:p>
        </w:tc>
        <w:tc>
          <w:tcPr>
            <w:tcW w:w="630" w:type="dxa"/>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结构预测法：</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绿色高端制造</w:t>
            </w:r>
          </w:p>
        </w:tc>
        <w:tc>
          <w:tcPr>
            <w:tcW w:w="1163" w:type="dxa"/>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20" w:lineRule="exact"/>
              <w:ind w:left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电子制造</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20" w:lineRule="exact"/>
              <w:ind w:left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三高产业</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20" w:lineRule="exact"/>
              <w:ind w:left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消费品制造</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20" w:lineRule="exact"/>
              <w:ind w:left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临港加工</w:t>
            </w:r>
          </w:p>
        </w:tc>
        <w:tc>
          <w:tcPr>
            <w:tcW w:w="5376" w:type="dxa"/>
            <w:vAlign w:val="top"/>
          </w:tcPr>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2025年：以项目谋划引入为主，产业项目逐渐起步，初始体量较小，创造工业产值0.5亿、贡献增加值（GDP）0.2亿</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2035年：预计有10家左右代表性企业进入，创造工业产值10-50亿、贡献增加值（GDP）3-15亿</w:t>
            </w:r>
          </w:p>
        </w:tc>
        <w:tc>
          <w:tcPr>
            <w:tcW w:w="968" w:type="dxa"/>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GDP贡献</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2025年：</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0.2亿</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2035年：</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3-15亿</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385"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val="0"/>
                <w:bCs w:val="0"/>
                <w:i w:val="0"/>
                <w:iCs w:val="0"/>
                <w:color w:val="000000"/>
                <w:kern w:val="2"/>
                <w:sz w:val="18"/>
                <w:szCs w:val="18"/>
                <w:u w:val="none"/>
                <w:lang w:val="en-US" w:eastAsia="zh-CN" w:bidi="ar"/>
              </w:rPr>
            </w:pPr>
          </w:p>
        </w:tc>
        <w:tc>
          <w:tcPr>
            <w:tcW w:w="1793" w:type="dxa"/>
            <w:gridSpan w:val="2"/>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20" w:lineRule="exact"/>
              <w:ind w:left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结构预测法：</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20" w:lineRule="exact"/>
              <w:ind w:left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建筑业</w:t>
            </w:r>
          </w:p>
        </w:tc>
        <w:tc>
          <w:tcPr>
            <w:tcW w:w="5376" w:type="dxa"/>
            <w:vAlign w:val="top"/>
          </w:tcPr>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2019年：建筑业GDP为6.5亿，崖州区、科技城处于快速建设阶段，固投将保持一定强度，参考三亚近5年建筑业GDP年均增速（5.6%）适当调整</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2025年：（低值）按三亚增速（5.6%）为9亿；（高值）增速上浮25%（7%）为10亿</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2035年：（低值）按三亚增速（5.6%）为15.5亿；（高值）增速上浮25%（7%）为19亿</w:t>
            </w:r>
          </w:p>
        </w:tc>
        <w:tc>
          <w:tcPr>
            <w:tcW w:w="968" w:type="dxa"/>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GDP贡献</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2025年：</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9-10亿</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2035年：</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15.5-19亿</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385"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第三产业</w:t>
            </w:r>
          </w:p>
        </w:tc>
        <w:tc>
          <w:tcPr>
            <w:tcW w:w="630"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黑体" w:hAnsi="黑体" w:eastAsia="黑体" w:cs="黑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增速预测法：</w:t>
            </w:r>
          </w:p>
        </w:tc>
        <w:tc>
          <w:tcPr>
            <w:tcW w:w="1163" w:type="dxa"/>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20" w:lineRule="exact"/>
              <w:ind w:left="0" w:leftChars="0" w:firstLine="0"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2019-2020</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20" w:lineRule="exact"/>
              <w:ind w:left="0" w:leftChars="0" w:firstLine="0"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现状基础</w:t>
            </w:r>
          </w:p>
        </w:tc>
        <w:tc>
          <w:tcPr>
            <w:tcW w:w="5376" w:type="dxa"/>
            <w:vAlign w:val="top"/>
          </w:tcPr>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2019年：三产GDP为36.2亿，建区到2019年年均增速22.3%，游客接待量109万人次，三产GDP中其他服务业15.4亿（占43%）、房地产业12.6亿（占35%）、住宿餐饮1.6亿、批零1.8亿、仓储物流0.8亿</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2020年：三产GDP为34.5亿，到2020年年均增速16.3%</w:t>
            </w:r>
          </w:p>
        </w:tc>
        <w:tc>
          <w:tcPr>
            <w:tcW w:w="968" w:type="dxa"/>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2020年</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34.5亿</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385"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val="0"/>
                <w:bCs w:val="0"/>
                <w:i w:val="0"/>
                <w:iCs w:val="0"/>
                <w:color w:val="000000"/>
                <w:kern w:val="2"/>
                <w:sz w:val="18"/>
                <w:szCs w:val="18"/>
                <w:u w:val="none"/>
                <w:lang w:val="en-US" w:eastAsia="zh-CN" w:bidi="ar"/>
              </w:rPr>
            </w:pPr>
          </w:p>
        </w:tc>
        <w:tc>
          <w:tcPr>
            <w:tcW w:w="630"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黑体" w:hAnsi="黑体" w:eastAsia="黑体" w:cs="黑体"/>
                <w:b w:val="0"/>
                <w:bCs w:val="0"/>
                <w:i w:val="0"/>
                <w:iCs w:val="0"/>
                <w:color w:val="000000"/>
                <w:kern w:val="2"/>
                <w:sz w:val="18"/>
                <w:szCs w:val="18"/>
                <w:u w:val="none"/>
                <w:lang w:val="en-US" w:eastAsia="zh-CN" w:bidi="ar"/>
              </w:rPr>
            </w:pPr>
          </w:p>
        </w:tc>
        <w:tc>
          <w:tcPr>
            <w:tcW w:w="1163" w:type="dxa"/>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20" w:lineRule="exact"/>
              <w:ind w:left="0" w:leftChars="0" w:firstLine="0"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2025年</w:t>
            </w:r>
          </w:p>
        </w:tc>
        <w:tc>
          <w:tcPr>
            <w:tcW w:w="5376" w:type="dxa"/>
            <w:vAlign w:val="top"/>
          </w:tcPr>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低值：按照建区到2020年三产GDP名义增速年均16.3%，2025年为73亿</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中值：按照建区到2019年三产GDP名义增速年均22.3%，2025年为94亿</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高值：按照GDP名义增速25%，2025年为105亿</w:t>
            </w:r>
          </w:p>
        </w:tc>
        <w:tc>
          <w:tcPr>
            <w:tcW w:w="968" w:type="dxa"/>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GDP中值</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94亿</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385"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val="0"/>
                <w:bCs w:val="0"/>
                <w:i w:val="0"/>
                <w:iCs w:val="0"/>
                <w:color w:val="000000"/>
                <w:kern w:val="2"/>
                <w:sz w:val="18"/>
                <w:szCs w:val="18"/>
                <w:u w:val="none"/>
                <w:lang w:val="en-US" w:eastAsia="zh-CN" w:bidi="ar"/>
              </w:rPr>
            </w:pPr>
          </w:p>
        </w:tc>
        <w:tc>
          <w:tcPr>
            <w:tcW w:w="630"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黑体" w:hAnsi="黑体" w:eastAsia="黑体" w:cs="黑体"/>
                <w:b w:val="0"/>
                <w:bCs w:val="0"/>
                <w:i w:val="0"/>
                <w:iCs w:val="0"/>
                <w:color w:val="000000"/>
                <w:kern w:val="2"/>
                <w:sz w:val="18"/>
                <w:szCs w:val="18"/>
                <w:u w:val="none"/>
                <w:lang w:val="en-US" w:eastAsia="zh-CN" w:bidi="ar"/>
              </w:rPr>
            </w:pPr>
          </w:p>
        </w:tc>
        <w:tc>
          <w:tcPr>
            <w:tcW w:w="1163" w:type="dxa"/>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20" w:lineRule="exact"/>
              <w:ind w:left="0" w:leftChars="0" w:firstLine="0"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2035年</w:t>
            </w:r>
          </w:p>
        </w:tc>
        <w:tc>
          <w:tcPr>
            <w:tcW w:w="5376" w:type="dxa"/>
            <w:vAlign w:val="top"/>
          </w:tcPr>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低值：在2025年基础上按名义GDP增速10%，2035年为244亿</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中值：在2025年基础上按名义GDP增速12%，2035年为290亿</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高值：在2025年基础上按名义GDP增速15%，2035年为380亿</w:t>
            </w:r>
          </w:p>
        </w:tc>
        <w:tc>
          <w:tcPr>
            <w:tcW w:w="968" w:type="dxa"/>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GDP中值</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default" w:ascii="楷体" w:hAnsi="楷体" w:eastAsia="楷体" w:cs="楷体"/>
                <w:b w:val="0"/>
                <w:bCs w:val="0"/>
                <w:i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290亿</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385"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val="0"/>
                <w:bCs w:val="0"/>
                <w:i w:val="0"/>
                <w:iCs w:val="0"/>
                <w:color w:val="000000"/>
                <w:kern w:val="2"/>
                <w:sz w:val="18"/>
                <w:szCs w:val="18"/>
                <w:u w:val="none"/>
                <w:lang w:val="en-US" w:eastAsia="zh-CN" w:bidi="ar"/>
              </w:rPr>
            </w:pPr>
          </w:p>
        </w:tc>
        <w:tc>
          <w:tcPr>
            <w:tcW w:w="630" w:type="dxa"/>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结构预测法：</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旅游业</w:t>
            </w:r>
          </w:p>
        </w:tc>
        <w:tc>
          <w:tcPr>
            <w:tcW w:w="1163" w:type="dxa"/>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20" w:lineRule="exact"/>
              <w:ind w:left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主题乐园</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20" w:lineRule="exact"/>
              <w:ind w:leftChars="0"/>
              <w:jc w:val="both"/>
              <w:textAlignment w:val="auto"/>
              <w:rPr>
                <w:rFonts w:hint="default"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文旅宗旅</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20" w:lineRule="exact"/>
              <w:ind w:left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亲子研学</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20" w:lineRule="exact"/>
              <w:ind w:left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运动体验</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20" w:lineRule="exact"/>
              <w:ind w:left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休闲农渔业</w:t>
            </w:r>
          </w:p>
        </w:tc>
        <w:tc>
          <w:tcPr>
            <w:tcW w:w="5376" w:type="dxa"/>
            <w:vAlign w:val="top"/>
          </w:tcPr>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2019年：全区接待游客109万人次，占全市4.5%（全市2396万），集中在南山和大小洞天景区，过夜比例低，客单消费低</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2025年：主题乐园旅游区建成投入运营，全区客流量达500万人次，占全市10%（全市预计4860万），显著带动文旅、宗教、运动、研学、农旅等旅游业态发展。按客均消费1000元保守预计，形成50亿旅游收入、贡献增加值（GDP）15亿</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2035年：全区接待游客10年实现翻番达到1000万人次，客均消费1500元，形成150亿旅游收入、贡献增加值（GDP）45亿</w:t>
            </w:r>
          </w:p>
        </w:tc>
        <w:tc>
          <w:tcPr>
            <w:tcW w:w="968" w:type="dxa"/>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default" w:ascii="楷体" w:hAnsi="楷体" w:eastAsia="楷体" w:cs="楷体"/>
                <w:b w:val="0"/>
                <w:bCs w:val="0"/>
                <w:i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GDP贡献</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2025年：</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15亿</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2035年：</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45亿</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385"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val="0"/>
                <w:bCs w:val="0"/>
                <w:i w:val="0"/>
                <w:iCs w:val="0"/>
                <w:color w:val="000000"/>
                <w:kern w:val="2"/>
                <w:sz w:val="18"/>
                <w:szCs w:val="18"/>
                <w:u w:val="none"/>
                <w:lang w:val="en-US" w:eastAsia="zh-CN" w:bidi="ar"/>
              </w:rPr>
            </w:pPr>
          </w:p>
        </w:tc>
        <w:tc>
          <w:tcPr>
            <w:tcW w:w="630"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结构预测法：</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default"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商贸物流消费</w:t>
            </w:r>
          </w:p>
        </w:tc>
        <w:tc>
          <w:tcPr>
            <w:tcW w:w="1163" w:type="dxa"/>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20" w:lineRule="exact"/>
              <w:ind w:left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生活服务业</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20" w:lineRule="exact"/>
              <w:ind w:left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（居民一般消费）</w:t>
            </w:r>
          </w:p>
        </w:tc>
        <w:tc>
          <w:tcPr>
            <w:tcW w:w="5376" w:type="dxa"/>
            <w:vAlign w:val="top"/>
          </w:tcPr>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2019年：全区人均可支配收入2.7万，人口10.5万，参考全国居民平均收入支出比例，居民总消费能力约20亿，贡献增加值（GDP）6亿</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参考建区来GDP年均增速（取整9%），测算人均可支配收入</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2025年：全区人均可支配收入4.5万，人口14.7万人，居民总消费能力约46亿，贡献增加值（GDP）14亿</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2035年：全区人均可支配收入10万，人口25.6万人，居民总消费能力约179亿，贡献增加值（GDP）54亿</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20" w:lineRule="exact"/>
              <w:ind w:left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（注：人口数据依据《三亚崖州湾科技城总体规划（2018-2035）》）</w:t>
            </w:r>
          </w:p>
        </w:tc>
        <w:tc>
          <w:tcPr>
            <w:tcW w:w="968"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GDP贡献</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2025年：</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31.8亿</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2035年：</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125.2亿</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385"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val="0"/>
                <w:bCs w:val="0"/>
                <w:i w:val="0"/>
                <w:iCs w:val="0"/>
                <w:color w:val="000000"/>
                <w:kern w:val="2"/>
                <w:sz w:val="18"/>
                <w:szCs w:val="18"/>
                <w:u w:val="none"/>
                <w:lang w:val="en-US" w:eastAsia="zh-CN" w:bidi="ar"/>
              </w:rPr>
            </w:pPr>
          </w:p>
        </w:tc>
        <w:tc>
          <w:tcPr>
            <w:tcW w:w="630"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val="0"/>
                <w:bCs w:val="0"/>
                <w:i w:val="0"/>
                <w:iCs w:val="0"/>
                <w:color w:val="000000"/>
                <w:kern w:val="2"/>
                <w:sz w:val="18"/>
                <w:szCs w:val="18"/>
                <w:u w:val="none"/>
                <w:lang w:val="en-US" w:eastAsia="zh-CN" w:bidi="ar"/>
              </w:rPr>
            </w:pPr>
          </w:p>
        </w:tc>
        <w:tc>
          <w:tcPr>
            <w:tcW w:w="1163" w:type="dxa"/>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20" w:lineRule="exact"/>
              <w:ind w:leftChars="0"/>
              <w:jc w:val="both"/>
              <w:textAlignment w:val="auto"/>
              <w:rPr>
                <w:rFonts w:hint="default"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农产品商贸物流电商</w:t>
            </w:r>
          </w:p>
        </w:tc>
        <w:tc>
          <w:tcPr>
            <w:tcW w:w="5376" w:type="dxa"/>
            <w:vAlign w:val="top"/>
          </w:tcPr>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2019年：现状2.6亿，主要为农产品交易，其中批零1.8亿、仓储物流0.8亿</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2025年：新建果蔬批发市场加速农产品商贸物流业发展，按照6年翻1番目标（年均增速12.2%），到2025年贡献增加值（GDP）5.2亿</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2035年：按照10年翻2番（4倍）的目标，到2035年贡献增加值（GDP）20.8亿</w:t>
            </w:r>
          </w:p>
        </w:tc>
        <w:tc>
          <w:tcPr>
            <w:tcW w:w="968"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000000"/>
                <w:kern w:val="2"/>
                <w:sz w:val="18"/>
                <w:szCs w:val="18"/>
                <w:u w:val="none"/>
                <w:lang w:val="en-US" w:eastAsia="zh-CN" w:bidi="ar"/>
              </w:rPr>
            </w:pP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385"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val="0"/>
                <w:bCs w:val="0"/>
                <w:i w:val="0"/>
                <w:iCs w:val="0"/>
                <w:color w:val="000000"/>
                <w:kern w:val="2"/>
                <w:sz w:val="18"/>
                <w:szCs w:val="18"/>
                <w:u w:val="none"/>
                <w:lang w:val="en-US" w:eastAsia="zh-CN" w:bidi="ar"/>
              </w:rPr>
            </w:pPr>
          </w:p>
        </w:tc>
        <w:tc>
          <w:tcPr>
            <w:tcW w:w="630"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val="0"/>
                <w:bCs w:val="0"/>
                <w:i w:val="0"/>
                <w:iCs w:val="0"/>
                <w:color w:val="000000"/>
                <w:kern w:val="2"/>
                <w:sz w:val="18"/>
                <w:szCs w:val="18"/>
                <w:u w:val="none"/>
                <w:lang w:val="en-US" w:eastAsia="zh-CN" w:bidi="ar"/>
              </w:rPr>
            </w:pPr>
          </w:p>
        </w:tc>
        <w:tc>
          <w:tcPr>
            <w:tcW w:w="1163" w:type="dxa"/>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20" w:lineRule="exact"/>
              <w:ind w:left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水产品商贸物流电商</w:t>
            </w:r>
          </w:p>
        </w:tc>
        <w:tc>
          <w:tcPr>
            <w:tcW w:w="5376" w:type="dxa"/>
            <w:vAlign w:val="top"/>
          </w:tcPr>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2025年：预计水产品有重大提升，仅考虑中心渔港京东集团每年200万吨水产品交易项目，可形成每年1000亿电商平台交易额，其中100亿仓储物流费用，为崖州贡献增加值（GDP）10亿</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2035年：结合自贸港重大利好和崖州中心渔港优越区位，按照10年翻2番（4倍）的目标，可形成4000亿电商平台交易额，估算为崖州贡献增加值（GDP）40亿</w:t>
            </w:r>
          </w:p>
        </w:tc>
        <w:tc>
          <w:tcPr>
            <w:tcW w:w="968"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000000"/>
                <w:kern w:val="2"/>
                <w:sz w:val="18"/>
                <w:szCs w:val="18"/>
                <w:u w:val="none"/>
                <w:lang w:val="en-US" w:eastAsia="zh-CN" w:bidi="ar"/>
              </w:rPr>
            </w:pP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385"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val="0"/>
                <w:bCs w:val="0"/>
                <w:i w:val="0"/>
                <w:iCs w:val="0"/>
                <w:color w:val="000000"/>
                <w:kern w:val="2"/>
                <w:sz w:val="18"/>
                <w:szCs w:val="18"/>
                <w:u w:val="none"/>
                <w:lang w:val="en-US" w:eastAsia="zh-CN" w:bidi="ar"/>
              </w:rPr>
            </w:pPr>
          </w:p>
        </w:tc>
        <w:tc>
          <w:tcPr>
            <w:tcW w:w="630"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val="0"/>
                <w:bCs w:val="0"/>
                <w:i w:val="0"/>
                <w:iCs w:val="0"/>
                <w:color w:val="000000"/>
                <w:kern w:val="2"/>
                <w:sz w:val="18"/>
                <w:szCs w:val="18"/>
                <w:u w:val="none"/>
                <w:lang w:val="en-US" w:eastAsia="zh-CN" w:bidi="ar"/>
              </w:rPr>
            </w:pPr>
          </w:p>
        </w:tc>
        <w:tc>
          <w:tcPr>
            <w:tcW w:w="1163" w:type="dxa"/>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20" w:lineRule="exact"/>
              <w:ind w:leftChars="0"/>
              <w:jc w:val="both"/>
              <w:textAlignment w:val="auto"/>
              <w:rPr>
                <w:rFonts w:hint="default"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农林牧渔服务业</w:t>
            </w:r>
          </w:p>
        </w:tc>
        <w:tc>
          <w:tcPr>
            <w:tcW w:w="5376" w:type="dxa"/>
            <w:vAlign w:val="top"/>
          </w:tcPr>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2019年：现状GDP为1.3亿</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2025年：南繁科技城加速全区农林牧渔服务业发展，按照6年翻1番目标（年均增速12.2%），到2025年贡献增加值（GDP）2.6亿</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2035年：按照10年翻2番（4倍）的目标，到2035年贡献增加值（GDP）10.4亿</w:t>
            </w:r>
          </w:p>
        </w:tc>
        <w:tc>
          <w:tcPr>
            <w:tcW w:w="968"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000000"/>
                <w:kern w:val="2"/>
                <w:sz w:val="18"/>
                <w:szCs w:val="18"/>
                <w:u w:val="none"/>
                <w:lang w:val="en-US" w:eastAsia="zh-CN" w:bidi="ar"/>
              </w:rPr>
            </w:pP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385"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p>
        </w:tc>
        <w:tc>
          <w:tcPr>
            <w:tcW w:w="630"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val="0"/>
                <w:bCs w:val="0"/>
                <w:i w:val="0"/>
                <w:iCs w:val="0"/>
                <w:color w:val="000000"/>
                <w:kern w:val="2"/>
                <w:sz w:val="18"/>
                <w:szCs w:val="18"/>
                <w:u w:val="none"/>
                <w:lang w:val="en-US" w:eastAsia="zh-CN" w:bidi="ar"/>
              </w:rPr>
            </w:pPr>
          </w:p>
        </w:tc>
        <w:tc>
          <w:tcPr>
            <w:tcW w:w="1163" w:type="dxa"/>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20" w:lineRule="exact"/>
              <w:ind w:left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免税购物</w:t>
            </w:r>
          </w:p>
        </w:tc>
        <w:tc>
          <w:tcPr>
            <w:tcW w:w="5376" w:type="dxa"/>
            <w:vAlign w:val="top"/>
          </w:tcPr>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在旅游业客均消费中一并考虑</w:t>
            </w:r>
          </w:p>
        </w:tc>
        <w:tc>
          <w:tcPr>
            <w:tcW w:w="968"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000000"/>
                <w:kern w:val="2"/>
                <w:sz w:val="18"/>
                <w:szCs w:val="18"/>
                <w:u w:val="none"/>
                <w:lang w:val="en-US" w:eastAsia="zh-CN" w:bidi="ar"/>
              </w:rPr>
            </w:pP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385"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p>
        </w:tc>
        <w:tc>
          <w:tcPr>
            <w:tcW w:w="1793" w:type="dxa"/>
            <w:gridSpan w:val="2"/>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20" w:lineRule="exact"/>
              <w:ind w:left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结构预测法：</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20" w:lineRule="exact"/>
              <w:ind w:left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房地产业</w:t>
            </w:r>
          </w:p>
        </w:tc>
        <w:tc>
          <w:tcPr>
            <w:tcW w:w="5376" w:type="dxa"/>
            <w:vAlign w:val="top"/>
          </w:tcPr>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2019年房地产业GDP为12.6亿，崖州区、科技城处于快速发展阶段（利好因素），海南房地产调控政策较为紧密（利空因素），预计崖州房地产未来发展速度与全区实体经济GDP增速一致</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参考建区来GDP年均增速（取整9%），测算房地产发展规模</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2025年：21亿</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2035年：50亿</w:t>
            </w:r>
          </w:p>
        </w:tc>
        <w:tc>
          <w:tcPr>
            <w:tcW w:w="968" w:type="dxa"/>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GDP贡献</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2025年：</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21亿</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2035年：</w:t>
            </w:r>
          </w:p>
          <w:p>
            <w:pPr>
              <w:keepNext w:val="0"/>
              <w:keepLines w:val="0"/>
              <w:pageBreakBefore w:val="0"/>
              <w:widowControl/>
              <w:suppressLineNumbers w:val="0"/>
              <w:kinsoku/>
              <w:wordWrap/>
              <w:overflowPunct/>
              <w:topLinePunct w:val="0"/>
              <w:autoSpaceDE/>
              <w:autoSpaceDN/>
              <w:bidi w:val="0"/>
              <w:adjustRightInd/>
              <w:snapToGrid/>
              <w:spacing w:line="220" w:lineRule="exact"/>
              <w:ind w:left="0" w:leftChars="0" w:right="0" w:rightChars="0" w:firstLine="0" w:firstLineChars="0"/>
              <w:jc w:val="right"/>
              <w:textAlignment w:val="auto"/>
              <w:rPr>
                <w:rFonts w:hint="eastAsia" w:ascii="楷体" w:hAnsi="楷体" w:eastAsia="楷体" w:cs="楷体"/>
                <w:b w:val="0"/>
                <w:bCs w:val="0"/>
                <w:i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50亿</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385"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both"/>
              <w:textAlignment w:val="auto"/>
              <w:rPr>
                <w:rFonts w:hint="default" w:ascii="楷体" w:hAnsi="楷体" w:eastAsia="楷体" w:cs="楷体"/>
                <w:b w:val="0"/>
                <w:bCs w:val="0"/>
                <w:i w:val="0"/>
                <w:iCs w:val="0"/>
                <w:color w:val="000000"/>
                <w:kern w:val="2"/>
                <w:sz w:val="18"/>
                <w:szCs w:val="18"/>
                <w:u w:val="none"/>
                <w:lang w:val="en-US" w:eastAsia="zh-CN" w:bidi="ar"/>
              </w:rPr>
            </w:pPr>
          </w:p>
        </w:tc>
        <w:tc>
          <w:tcPr>
            <w:tcW w:w="630"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default"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崖州湾科技城贡献</w:t>
            </w:r>
          </w:p>
        </w:tc>
        <w:tc>
          <w:tcPr>
            <w:tcW w:w="1163" w:type="dxa"/>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20" w:lineRule="exact"/>
              <w:ind w:left="0" w:leftChars="0" w:firstLine="0"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深海科技产业及科教研发产业</w:t>
            </w:r>
          </w:p>
        </w:tc>
        <w:tc>
          <w:tcPr>
            <w:tcW w:w="5376" w:type="dxa"/>
            <w:vAlign w:val="top"/>
          </w:tcPr>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2020年：实现产值40亿元、地区生产总值（GDP）10亿元</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2025年：实现产值99亿元、地区生产总值（GDP）24亿元</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2035年：实现产值600亿元、地区生产总值（GDP）140亿元</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20" w:lineRule="exact"/>
              <w:ind w:left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（注：2020年、2035年数据依据《三亚崖州湾科技城总体规划（2018-2035）》，2025年数据根据平均增速测算）</w:t>
            </w:r>
          </w:p>
        </w:tc>
        <w:tc>
          <w:tcPr>
            <w:tcW w:w="968" w:type="dxa"/>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GDP贡献</w:t>
            </w:r>
          </w:p>
          <w:p>
            <w:pPr>
              <w:keepNext w:val="0"/>
              <w:keepLines w:val="0"/>
              <w:pageBreakBefore w:val="0"/>
              <w:widowControl/>
              <w:suppressLineNumbers w:val="0"/>
              <w:kinsoku/>
              <w:wordWrap w:val="0"/>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2025年：</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24亿</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2035年：</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default" w:ascii="楷体" w:hAnsi="楷体" w:eastAsia="楷体" w:cs="楷体"/>
                <w:b w:val="0"/>
                <w:bCs w:val="0"/>
                <w:i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140亿</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385"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p>
        </w:tc>
        <w:tc>
          <w:tcPr>
            <w:tcW w:w="630" w:type="dxa"/>
            <w:vMerge w:val="continue"/>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20" w:lineRule="exact"/>
              <w:ind w:leftChars="0"/>
              <w:jc w:val="both"/>
              <w:textAlignment w:val="auto"/>
              <w:rPr>
                <w:rFonts w:hint="eastAsia" w:ascii="楷体" w:hAnsi="楷体" w:eastAsia="楷体" w:cs="楷体"/>
                <w:b w:val="0"/>
                <w:bCs w:val="0"/>
                <w:i w:val="0"/>
                <w:iCs w:val="0"/>
                <w:color w:val="000000"/>
                <w:kern w:val="2"/>
                <w:sz w:val="18"/>
                <w:szCs w:val="18"/>
                <w:u w:val="none"/>
                <w:lang w:val="en-US" w:eastAsia="zh-CN" w:bidi="ar"/>
              </w:rPr>
            </w:pPr>
          </w:p>
        </w:tc>
        <w:tc>
          <w:tcPr>
            <w:tcW w:w="1163" w:type="dxa"/>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20" w:lineRule="exact"/>
              <w:ind w:left="0" w:leftChars="0" w:firstLine="0"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南繁科技产业</w:t>
            </w:r>
          </w:p>
        </w:tc>
        <w:tc>
          <w:tcPr>
            <w:tcW w:w="5376" w:type="dxa"/>
            <w:vAlign w:val="top"/>
          </w:tcPr>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2020年：实现产值60亿元、地区生产总值（GDP）20亿元</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2025年：实现产值113亿元、地区生产总值（GDP）33亿元</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2035年：实现产值400亿元、地区生产总值（GDP）90亿元</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20" w:lineRule="exact"/>
              <w:ind w:left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（注：2020年、2035年数据依据《三亚崖州湾科技城总体规划（2018-2035）》，2025年数据根据平均增速测算）</w:t>
            </w:r>
          </w:p>
        </w:tc>
        <w:tc>
          <w:tcPr>
            <w:tcW w:w="968" w:type="dxa"/>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GDP贡献</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2025年：</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33亿</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2035年：</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90亿</w:t>
            </w:r>
          </w:p>
        </w:tc>
      </w:tr>
    </w:tbl>
    <w:p>
      <w:pPr>
        <w:rPr>
          <w:rFonts w:hint="eastAsia"/>
          <w:lang w:val="en-US" w:eastAsia="zh-CN"/>
        </w:rPr>
      </w:pPr>
      <w:bookmarkStart w:id="125" w:name="_Toc23536"/>
      <w:r>
        <w:rPr>
          <w:rFonts w:hint="eastAsia"/>
          <w:lang w:val="en-US" w:eastAsia="zh-CN"/>
        </w:rPr>
        <w:br w:type="page"/>
      </w:r>
    </w:p>
    <w:p>
      <w:pPr>
        <w:pStyle w:val="3"/>
        <w:bidi w:val="0"/>
        <w:rPr>
          <w:rFonts w:hint="eastAsia"/>
          <w:lang w:val="en-US" w:eastAsia="zh-CN"/>
        </w:rPr>
      </w:pPr>
      <w:bookmarkStart w:id="126" w:name="_Toc19366"/>
      <w:bookmarkStart w:id="127" w:name="_Toc22993"/>
      <w:r>
        <w:rPr>
          <w:rFonts w:hint="eastAsia"/>
          <w:lang w:val="en-US" w:eastAsia="zh-CN"/>
        </w:rPr>
        <w:t>第四节  产业空间结构</w:t>
      </w:r>
      <w:bookmarkEnd w:id="125"/>
      <w:bookmarkEnd w:id="126"/>
      <w:bookmarkEnd w:id="127"/>
    </w:p>
    <w:p>
      <w:pPr>
        <w:pStyle w:val="4"/>
        <w:bidi w:val="0"/>
        <w:rPr>
          <w:rFonts w:hint="default"/>
          <w:lang w:val="en-US" w:eastAsia="zh-CN"/>
        </w:rPr>
      </w:pPr>
      <w:bookmarkStart w:id="128" w:name="_Toc30356"/>
      <w:bookmarkStart w:id="129" w:name="_Toc16510"/>
      <w:bookmarkStart w:id="130" w:name="_Toc29031"/>
      <w:r>
        <w:rPr>
          <w:rFonts w:hint="eastAsia"/>
          <w:lang w:val="en-US" w:eastAsia="zh-CN"/>
        </w:rPr>
        <w:t>一、两带六组团</w:t>
      </w:r>
      <w:bookmarkEnd w:id="128"/>
      <w:bookmarkEnd w:id="129"/>
      <w:bookmarkEnd w:id="130"/>
    </w:p>
    <w:p>
      <w:pPr>
        <w:rPr>
          <w:rFonts w:hint="eastAsia" w:ascii="仿宋_GB2312" w:eastAsia="仿宋_GB2312"/>
          <w:lang w:val="en-US" w:eastAsia="zh-CN"/>
        </w:rPr>
      </w:pPr>
      <w:r>
        <w:rPr>
          <w:rFonts w:hint="eastAsia"/>
          <w:lang w:val="en-US" w:eastAsia="zh-CN"/>
        </w:rPr>
        <w:t>按照城乡一体、陆海统筹、整体推进、协调发展的原则，构建</w:t>
      </w:r>
      <w:r>
        <w:rPr>
          <w:rFonts w:hint="eastAsia" w:ascii="仿宋_GB2312" w:eastAsia="仿宋_GB2312"/>
          <w:lang w:val="en-US" w:eastAsia="zh-CN"/>
        </w:rPr>
        <w:t>崖州区“两带</w:t>
      </w:r>
      <w:r>
        <w:rPr>
          <w:rFonts w:hint="eastAsia"/>
          <w:lang w:val="en-US" w:eastAsia="zh-CN"/>
        </w:rPr>
        <w:t>六</w:t>
      </w:r>
      <w:r>
        <w:rPr>
          <w:rFonts w:hint="eastAsia" w:ascii="仿宋_GB2312" w:eastAsia="仿宋_GB2312"/>
          <w:lang w:val="en-US" w:eastAsia="zh-CN"/>
        </w:rPr>
        <w:t>组团”</w:t>
      </w:r>
      <w:r>
        <w:rPr>
          <w:rFonts w:hint="eastAsia"/>
          <w:lang w:val="en-US" w:eastAsia="zh-CN"/>
        </w:rPr>
        <w:t>产业空间结构</w:t>
      </w:r>
      <w:r>
        <w:rPr>
          <w:rFonts w:hint="eastAsia" w:ascii="仿宋_GB2312" w:eastAsia="仿宋_GB2312"/>
          <w:lang w:val="en-US" w:eastAsia="zh-CN"/>
        </w:rPr>
        <w:t>。</w:t>
      </w:r>
    </w:p>
    <w:p>
      <w:pPr>
        <w:rPr>
          <w:rFonts w:hint="default" w:ascii="仿宋_GB2312" w:eastAsia="仿宋_GB2312"/>
          <w:lang w:val="en-US" w:eastAsia="zh-CN"/>
        </w:rPr>
      </w:pPr>
      <w:r>
        <w:rPr>
          <w:rFonts w:hint="eastAsia"/>
          <w:lang w:val="en-US" w:eastAsia="zh-CN"/>
        </w:rPr>
        <w:t>“两带”指宁远河文旅产业带和滨海复合产业带，是崖州区产业发展水平较高、要素较为集中、未来重点发展的两条带状区域。宁远河文旅产业带重点发展文化旅游、生态观光、休闲农业、城市现代服务业等，并串联起沿河周边的南繁育种、冬季瓜菜、特色养殖。滨海复合产业带重点发展南繁、深海、科教、渔港经济、现代渔业、主题乐园（公园）、沙滩运动旅游体验、南山旅游等，是一条发展空间充足、潜力十分巨大的经济带。</w:t>
      </w:r>
    </w:p>
    <w:p>
      <w:pPr>
        <w:rPr>
          <w:rFonts w:hint="eastAsia"/>
          <w:lang w:val="en-US" w:eastAsia="zh-CN"/>
        </w:rPr>
      </w:pPr>
      <w:r>
        <w:rPr>
          <w:rFonts w:hint="eastAsia" w:ascii="仿宋_GB2312" w:eastAsia="仿宋_GB2312"/>
          <w:lang w:val="en-US" w:eastAsia="zh-CN"/>
        </w:rPr>
        <w:t>“</w:t>
      </w:r>
      <w:r>
        <w:rPr>
          <w:rFonts w:hint="eastAsia"/>
          <w:lang w:val="en-US" w:eastAsia="zh-CN"/>
        </w:rPr>
        <w:t>六</w:t>
      </w:r>
      <w:r>
        <w:rPr>
          <w:rFonts w:hint="eastAsia" w:ascii="仿宋_GB2312" w:eastAsia="仿宋_GB2312"/>
          <w:lang w:val="en-US" w:eastAsia="zh-CN"/>
        </w:rPr>
        <w:t>组团”</w:t>
      </w:r>
      <w:r>
        <w:rPr>
          <w:rFonts w:hint="eastAsia"/>
          <w:lang w:val="en-US" w:eastAsia="zh-CN"/>
        </w:rPr>
        <w:t>因地制宜地把全区划分为六个发展条件相似、发展方向一致、空间相对集中、优势互为补充的产业组团，包括主城</w:t>
      </w:r>
      <w:r>
        <w:rPr>
          <w:rFonts w:hint="eastAsia" w:ascii="仿宋_GB2312" w:eastAsia="仿宋_GB2312"/>
          <w:lang w:val="en-US" w:eastAsia="zh-CN"/>
        </w:rPr>
        <w:t>组团</w:t>
      </w:r>
      <w:r>
        <w:rPr>
          <w:rFonts w:hint="eastAsia"/>
          <w:lang w:val="en-US" w:eastAsia="zh-CN"/>
        </w:rPr>
        <w:t>、南山组团、南滨组团、滨海组团、中部组团、北部组团。</w:t>
      </w:r>
    </w:p>
    <w:p>
      <w:pPr>
        <w:pStyle w:val="4"/>
        <w:numPr>
          <w:ilvl w:val="0"/>
          <w:numId w:val="0"/>
        </w:numPr>
        <w:bidi w:val="0"/>
        <w:ind w:leftChars="200"/>
        <w:rPr>
          <w:rFonts w:hint="default"/>
          <w:lang w:val="en-US" w:eastAsia="zh-CN"/>
        </w:rPr>
      </w:pPr>
      <w:bookmarkStart w:id="131" w:name="_Toc30539"/>
      <w:bookmarkStart w:id="132" w:name="_Toc16863"/>
      <w:bookmarkStart w:id="133" w:name="_Toc32743"/>
      <w:r>
        <w:rPr>
          <w:rFonts w:hint="eastAsia"/>
          <w:lang w:val="en-US" w:eastAsia="zh-CN"/>
        </w:rPr>
        <w:t>二、组团产业发展指引</w:t>
      </w:r>
      <w:bookmarkEnd w:id="131"/>
      <w:bookmarkEnd w:id="132"/>
      <w:bookmarkEnd w:id="133"/>
    </w:p>
    <w:p>
      <w:pPr>
        <w:bidi w:val="0"/>
        <w:rPr>
          <w:rFonts w:hint="eastAsia"/>
          <w:lang w:val="en-US" w:eastAsia="zh-CN"/>
        </w:rPr>
      </w:pPr>
      <w:r>
        <w:rPr>
          <w:rFonts w:hint="eastAsia" w:ascii="仿宋_GB2312" w:eastAsia="仿宋_GB2312"/>
          <w:lang w:val="en-US" w:eastAsia="zh-CN"/>
        </w:rPr>
        <w:t>对六个组团发展基础条件和资源潜力开展定性评价，结合评价结果和重大产业项目布局，对各组团实施产业发展指引，提出重点发展和选择发展的产业方向。</w:t>
      </w:r>
    </w:p>
    <w:p>
      <w:pPr>
        <w:ind w:left="0" w:leftChars="0" w:firstLine="0" w:firstLineChars="0"/>
        <w:jc w:val="center"/>
        <w:rPr>
          <w:rFonts w:hint="eastAsia"/>
          <w:lang w:val="en-US" w:eastAsia="zh-CN"/>
        </w:rPr>
      </w:pPr>
      <w:r>
        <w:rPr>
          <w:rFonts w:hint="eastAsia"/>
          <w:lang w:val="en-US" w:eastAsia="zh-CN"/>
        </w:rPr>
        <w:drawing>
          <wp:inline distT="0" distB="0" distL="114300" distR="114300">
            <wp:extent cx="5268595" cy="3327400"/>
            <wp:effectExtent l="0" t="0" r="8255" b="6350"/>
            <wp:docPr id="11" name="图片 11" descr="制图ppt_页面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制图ppt_页面_11"/>
                    <pic:cNvPicPr>
                      <a:picLocks noChangeAspect="1"/>
                    </pic:cNvPicPr>
                  </pic:nvPicPr>
                  <pic:blipFill>
                    <a:blip r:embed="rId15"/>
                    <a:srcRect t="4535" b="4760"/>
                    <a:stretch>
                      <a:fillRect/>
                    </a:stretch>
                  </pic:blipFill>
                  <pic:spPr>
                    <a:xfrm>
                      <a:off x="0" y="0"/>
                      <a:ext cx="5268595" cy="3327400"/>
                    </a:xfrm>
                    <a:prstGeom prst="rect">
                      <a:avLst/>
                    </a:prstGeom>
                  </pic:spPr>
                </pic:pic>
              </a:graphicData>
            </a:graphic>
          </wp:inline>
        </w:drawing>
      </w:r>
    </w:p>
    <w:p>
      <w:pPr>
        <w:ind w:left="0" w:leftChars="0" w:firstLine="0" w:firstLineChars="0"/>
        <w:jc w:val="center"/>
        <w:rPr>
          <w:rFonts w:hint="eastAsia" w:ascii="楷体" w:hAnsi="楷体" w:eastAsia="楷体" w:cs="楷体"/>
          <w:b w:val="0"/>
          <w:bCs w:val="0"/>
          <w:sz w:val="28"/>
          <w:szCs w:val="28"/>
          <w:lang w:val="en-US" w:eastAsia="zh-CN"/>
        </w:rPr>
      </w:pPr>
      <w:r>
        <w:rPr>
          <w:rFonts w:hint="eastAsia" w:ascii="楷体" w:hAnsi="楷体" w:eastAsia="楷体" w:cs="楷体"/>
          <w:b w:val="0"/>
          <w:bCs w:val="0"/>
          <w:sz w:val="28"/>
          <w:szCs w:val="28"/>
          <w:lang w:val="en-US" w:eastAsia="zh-CN"/>
        </w:rPr>
        <w:t>图1  崖州区“两</w:t>
      </w:r>
      <w:r>
        <w:rPr>
          <w:rFonts w:hint="eastAsia" w:ascii="楷体" w:hAnsi="楷体" w:eastAsia="楷体" w:cs="楷体"/>
          <w:b w:val="0"/>
          <w:bCs w:val="0"/>
          <w:sz w:val="28"/>
          <w:szCs w:val="28"/>
          <w:highlight w:val="none"/>
          <w:lang w:val="en-US" w:eastAsia="zh-CN"/>
        </w:rPr>
        <w:t>带六组团</w:t>
      </w:r>
      <w:r>
        <w:rPr>
          <w:rFonts w:hint="eastAsia" w:ascii="楷体" w:hAnsi="楷体" w:eastAsia="楷体" w:cs="楷体"/>
          <w:b w:val="0"/>
          <w:bCs w:val="0"/>
          <w:sz w:val="28"/>
          <w:szCs w:val="28"/>
          <w:lang w:val="en-US" w:eastAsia="zh-CN"/>
        </w:rPr>
        <w:t>”产业空间结构</w:t>
      </w:r>
    </w:p>
    <w:p>
      <w:pPr>
        <w:bidi w:val="0"/>
        <w:spacing w:line="240" w:lineRule="auto"/>
        <w:ind w:firstLine="0" w:firstLineChars="0"/>
        <w:jc w:val="center"/>
        <w:rPr>
          <w:rFonts w:hint="eastAsia" w:ascii="楷体" w:hAnsi="楷体" w:eastAsia="楷体" w:cs="楷体"/>
          <w:b w:val="0"/>
          <w:bCs w:val="0"/>
          <w:sz w:val="28"/>
          <w:szCs w:val="28"/>
          <w:lang w:val="en-US" w:eastAsia="zh-CN"/>
        </w:rPr>
      </w:pPr>
      <w:r>
        <w:rPr>
          <w:rFonts w:hint="eastAsia" w:ascii="楷体" w:hAnsi="楷体" w:eastAsia="楷体" w:cs="楷体"/>
          <w:b w:val="0"/>
          <w:bCs w:val="0"/>
          <w:sz w:val="28"/>
          <w:szCs w:val="28"/>
          <w:lang w:val="en-US" w:eastAsia="zh-CN"/>
        </w:rPr>
        <w:t>表8  六个组团产业发展条件评价和发展指引</w:t>
      </w:r>
    </w:p>
    <w:tbl>
      <w:tblPr>
        <w:tblStyle w:val="18"/>
        <w:tblW w:w="5000" w:type="pct"/>
        <w:tblInd w:w="0" w:type="dxa"/>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9"/>
        <w:gridCol w:w="1564"/>
        <w:gridCol w:w="1564"/>
        <w:gridCol w:w="1564"/>
        <w:gridCol w:w="1564"/>
        <w:gridCol w:w="1567"/>
      </w:tblGrid>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blHeader/>
        </w:trPr>
        <w:tc>
          <w:tcPr>
            <w:tcW w:w="699"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组团</w:t>
            </w:r>
          </w:p>
        </w:tc>
        <w:tc>
          <w:tcPr>
            <w:tcW w:w="4692" w:type="dxa"/>
            <w:gridSpan w:val="3"/>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发展条件评价</w:t>
            </w:r>
          </w:p>
        </w:tc>
        <w:tc>
          <w:tcPr>
            <w:tcW w:w="3131" w:type="dxa"/>
            <w:gridSpan w:val="2"/>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产业发展指引</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blHeader/>
        </w:trPr>
        <w:tc>
          <w:tcPr>
            <w:tcW w:w="699"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56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农业渔业</w:t>
            </w:r>
          </w:p>
        </w:tc>
        <w:tc>
          <w:tcPr>
            <w:tcW w:w="156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文体旅游</w:t>
            </w:r>
          </w:p>
        </w:tc>
        <w:tc>
          <w:tcPr>
            <w:tcW w:w="156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商贸物流</w:t>
            </w:r>
          </w:p>
        </w:tc>
        <w:tc>
          <w:tcPr>
            <w:tcW w:w="156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重点发展</w:t>
            </w:r>
          </w:p>
        </w:tc>
        <w:tc>
          <w:tcPr>
            <w:tcW w:w="156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选择发展</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699"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主城组团</w:t>
            </w:r>
          </w:p>
        </w:tc>
        <w:tc>
          <w:tcPr>
            <w:tcW w:w="156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良好★★★：</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南繁科技城、中心渔港、南繁基地</w:t>
            </w:r>
          </w:p>
        </w:tc>
        <w:tc>
          <w:tcPr>
            <w:tcW w:w="156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良好★★★：</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崖州古城、文化古迹、南繁和深海科技馆，中心渔港休闲渔业</w:t>
            </w:r>
          </w:p>
        </w:tc>
        <w:tc>
          <w:tcPr>
            <w:tcW w:w="156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良好★★★：</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传统生活服务和生产服务中心</w:t>
            </w:r>
          </w:p>
        </w:tc>
        <w:tc>
          <w:tcPr>
            <w:tcW w:w="156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南繁、深海、科教、历史文化游、科普研学游、水产交易、水产加工、休闲渔业</w:t>
            </w:r>
          </w:p>
        </w:tc>
        <w:tc>
          <w:tcPr>
            <w:tcW w:w="1567"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设施农业、主题乐园、休闲农业、南繁育种</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699"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南山组团</w:t>
            </w:r>
          </w:p>
        </w:tc>
        <w:tc>
          <w:tcPr>
            <w:tcW w:w="156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一般★☆☆：</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山林为主，农田面积小</w:t>
            </w:r>
          </w:p>
        </w:tc>
        <w:tc>
          <w:tcPr>
            <w:tcW w:w="156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良好★★★：</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南山和大小洞天旅游区</w:t>
            </w:r>
          </w:p>
        </w:tc>
        <w:tc>
          <w:tcPr>
            <w:tcW w:w="156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一般★☆☆：</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商贸以服务景区为主</w:t>
            </w:r>
          </w:p>
        </w:tc>
        <w:tc>
          <w:tcPr>
            <w:tcW w:w="156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宗教文化观光、佛禅体验、养心度假</w:t>
            </w:r>
          </w:p>
        </w:tc>
        <w:tc>
          <w:tcPr>
            <w:tcW w:w="1567"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休闲农业、设施农业</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699"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南滨组团</w:t>
            </w:r>
          </w:p>
        </w:tc>
        <w:tc>
          <w:tcPr>
            <w:tcW w:w="156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良好★★★：</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果园和农田面积大、水土结合好、传统育种基地</w:t>
            </w:r>
          </w:p>
        </w:tc>
        <w:tc>
          <w:tcPr>
            <w:tcW w:w="156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较好★★☆：</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休闲农业资源条件较好</w:t>
            </w:r>
          </w:p>
        </w:tc>
        <w:tc>
          <w:tcPr>
            <w:tcW w:w="156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一般★☆☆：</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商贸以服务农村农业为主</w:t>
            </w:r>
          </w:p>
        </w:tc>
        <w:tc>
          <w:tcPr>
            <w:tcW w:w="156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南繁育种、设施农业、热带水果、冬季瓜菜、休闲农业、田洋农庄</w:t>
            </w:r>
          </w:p>
        </w:tc>
        <w:tc>
          <w:tcPr>
            <w:tcW w:w="1567"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养生度假、农业观光科普</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699"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滨海组团</w:t>
            </w:r>
          </w:p>
        </w:tc>
        <w:tc>
          <w:tcPr>
            <w:tcW w:w="156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良好★★★：</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农田广阔、水土结合好，种植养殖基础好</w:t>
            </w:r>
          </w:p>
        </w:tc>
        <w:tc>
          <w:tcPr>
            <w:tcW w:w="156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较好★★☆：</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岸线丰富、红色旅游和农业旅游资源较多，空间较充足</w:t>
            </w:r>
          </w:p>
        </w:tc>
        <w:tc>
          <w:tcPr>
            <w:tcW w:w="156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一般★☆☆：</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商贸以服务农村农业为主</w:t>
            </w:r>
          </w:p>
        </w:tc>
        <w:tc>
          <w:tcPr>
            <w:tcW w:w="156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设施农业、冬季瓜菜、水产养殖、牲畜养殖、主题乐园、体育运动游、红色旅游</w:t>
            </w:r>
          </w:p>
        </w:tc>
        <w:tc>
          <w:tcPr>
            <w:tcW w:w="1567"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休闲农业、休闲渔业、现代商贸、水果种植</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699"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中部组团</w:t>
            </w:r>
          </w:p>
        </w:tc>
        <w:tc>
          <w:tcPr>
            <w:tcW w:w="156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良好★★★：</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农田山地结合地带，种植养殖基础好</w:t>
            </w:r>
          </w:p>
        </w:tc>
        <w:tc>
          <w:tcPr>
            <w:tcW w:w="156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一般★☆☆：</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传统农业区域，文旅和农旅资源分散</w:t>
            </w:r>
          </w:p>
        </w:tc>
        <w:tc>
          <w:tcPr>
            <w:tcW w:w="156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良好★★★：</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新果蔬交易市场</w:t>
            </w:r>
          </w:p>
        </w:tc>
        <w:tc>
          <w:tcPr>
            <w:tcW w:w="156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农产品商贸、电商物流、特色民宿、农产品加工、设施农业、冬季瓜菜、南繁育种</w:t>
            </w:r>
          </w:p>
        </w:tc>
        <w:tc>
          <w:tcPr>
            <w:tcW w:w="1567"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特色养殖、休闲农业、文化旅游、温泉养生、热带水果</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699"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北部组团</w:t>
            </w:r>
          </w:p>
        </w:tc>
        <w:tc>
          <w:tcPr>
            <w:tcW w:w="156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良好★★★：</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default" w:ascii="楷体" w:hAnsi="楷体" w:eastAsia="楷体" w:cs="楷体"/>
                <w:b w:val="0"/>
                <w:bCs w:val="0"/>
                <w:i w:val="0"/>
                <w:iCs w:val="0"/>
                <w:color w:val="000000"/>
                <w:kern w:val="2"/>
                <w:sz w:val="24"/>
                <w:szCs w:val="24"/>
                <w:u w:val="none"/>
                <w:lang w:val="en-US" w:eastAsia="zh-CN" w:bidi="ar"/>
              </w:rPr>
              <w:t>坡地山林结合地带，种养殖基础好，水域丰富</w:t>
            </w:r>
          </w:p>
        </w:tc>
        <w:tc>
          <w:tcPr>
            <w:tcW w:w="156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较好★★☆：</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抱古区域休闲农业资源条件较好</w:t>
            </w:r>
          </w:p>
        </w:tc>
        <w:tc>
          <w:tcPr>
            <w:tcW w:w="156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一般★☆☆：</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default" w:ascii="楷体" w:hAnsi="楷体" w:eastAsia="楷体" w:cs="楷体"/>
                <w:b w:val="0"/>
                <w:bCs w:val="0"/>
                <w:i w:val="0"/>
                <w:iCs w:val="0"/>
                <w:color w:val="000000"/>
                <w:kern w:val="2"/>
                <w:sz w:val="24"/>
                <w:szCs w:val="24"/>
                <w:u w:val="none"/>
                <w:lang w:val="en-US" w:eastAsia="zh-CN" w:bidi="ar"/>
              </w:rPr>
              <w:t>商贸以服务农村农业为主</w:t>
            </w:r>
          </w:p>
        </w:tc>
        <w:tc>
          <w:tcPr>
            <w:tcW w:w="156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设施农业、特色种养殖、水果瓜菜、农业旅游、休闲农业、共享农庄</w:t>
            </w:r>
          </w:p>
        </w:tc>
        <w:tc>
          <w:tcPr>
            <w:tcW w:w="1567"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养生度假、林地经济、非遗体验</w:t>
            </w:r>
          </w:p>
        </w:tc>
      </w:tr>
    </w:tbl>
    <w:p>
      <w:pPr>
        <w:pStyle w:val="3"/>
        <w:bidi w:val="0"/>
        <w:rPr>
          <w:rFonts w:hint="default"/>
          <w:lang w:val="en-US" w:eastAsia="zh-CN"/>
        </w:rPr>
      </w:pPr>
      <w:bookmarkStart w:id="134" w:name="_Toc11599"/>
      <w:bookmarkStart w:id="135" w:name="_Toc11859"/>
      <w:bookmarkStart w:id="136" w:name="_Toc11022"/>
      <w:r>
        <w:rPr>
          <w:rFonts w:hint="eastAsia"/>
          <w:lang w:val="en-US" w:eastAsia="zh-CN"/>
        </w:rPr>
        <w:t>第五节  产城融合发展</w:t>
      </w:r>
      <w:bookmarkEnd w:id="134"/>
      <w:bookmarkEnd w:id="135"/>
      <w:bookmarkEnd w:id="136"/>
    </w:p>
    <w:p>
      <w:pPr>
        <w:pStyle w:val="4"/>
        <w:numPr>
          <w:ilvl w:val="0"/>
          <w:numId w:val="9"/>
        </w:numPr>
        <w:bidi w:val="0"/>
        <w:rPr>
          <w:rFonts w:hint="default"/>
          <w:lang w:val="en-US" w:eastAsia="zh-CN"/>
        </w:rPr>
      </w:pPr>
      <w:bookmarkStart w:id="137" w:name="_Toc21795"/>
      <w:bookmarkStart w:id="138" w:name="_Toc25380"/>
      <w:bookmarkStart w:id="139" w:name="_Toc25576"/>
      <w:r>
        <w:rPr>
          <w:rFonts w:hint="eastAsia"/>
          <w:lang w:val="en-US" w:eastAsia="zh-CN"/>
        </w:rPr>
        <w:t>承接科技城研发成果就近溢出就地转化</w:t>
      </w:r>
      <w:bookmarkEnd w:id="137"/>
      <w:bookmarkEnd w:id="138"/>
      <w:bookmarkEnd w:id="139"/>
    </w:p>
    <w:p>
      <w:pPr>
        <w:rPr>
          <w:rFonts w:hint="default"/>
          <w:lang w:val="en-US" w:eastAsia="zh-CN"/>
        </w:rPr>
      </w:pPr>
      <w:r>
        <w:rPr>
          <w:rFonts w:hint="eastAsia"/>
          <w:lang w:val="en-US" w:eastAsia="zh-CN"/>
        </w:rPr>
        <w:t>建立崖州湾科技城与崖州区之间的产学研用协作机制，崖州区积极做好现代农业、现代渔业、特色养殖业基础设施配套工作，积极承接南繁科技城的先进成果向崖州区就近溢出，实现就地转化，在科技城与崖州区之间建立起紧密的创新链、产业链、价值链联系，把崖州区打造成为科技成果转化的先行区、示范区。</w:t>
      </w:r>
    </w:p>
    <w:p>
      <w:pPr>
        <w:bidi w:val="0"/>
        <w:spacing w:line="240" w:lineRule="auto"/>
        <w:ind w:firstLine="0" w:firstLineChars="0"/>
        <w:jc w:val="center"/>
        <w:rPr>
          <w:rFonts w:hint="eastAsia" w:ascii="楷体" w:hAnsi="楷体" w:eastAsia="楷体" w:cs="楷体"/>
          <w:b w:val="0"/>
          <w:bCs w:val="0"/>
          <w:sz w:val="28"/>
          <w:szCs w:val="28"/>
          <w:lang w:val="en-US" w:eastAsia="zh-CN"/>
        </w:rPr>
      </w:pPr>
      <w:r>
        <w:rPr>
          <w:rFonts w:hint="eastAsia" w:ascii="楷体" w:hAnsi="楷体" w:eastAsia="楷体" w:cs="楷体"/>
          <w:b w:val="0"/>
          <w:bCs w:val="0"/>
          <w:sz w:val="28"/>
          <w:szCs w:val="28"/>
          <w:lang w:val="en-US" w:eastAsia="zh-CN"/>
        </w:rPr>
        <w:t>表9  崖州区延伸崖州湾科技城的创新链、产业链</w:t>
      </w:r>
    </w:p>
    <w:tbl>
      <w:tblPr>
        <w:tblStyle w:val="18"/>
        <w:tblW w:w="5000" w:type="pct"/>
        <w:jc w:val="center"/>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031"/>
        <w:gridCol w:w="5491"/>
      </w:tblGrid>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blHeader/>
          <w:jc w:val="center"/>
        </w:trPr>
        <w:tc>
          <w:tcPr>
            <w:tcW w:w="303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bCs/>
                <w:i w:val="0"/>
                <w:color w:val="000000"/>
                <w:kern w:val="2"/>
                <w:sz w:val="24"/>
                <w:szCs w:val="24"/>
                <w:u w:val="none"/>
                <w:lang w:val="en-US" w:eastAsia="zh-CN" w:bidi="ar"/>
              </w:rPr>
            </w:pPr>
            <w:r>
              <w:rPr>
                <w:rFonts w:hint="eastAsia" w:ascii="楷体" w:hAnsi="楷体" w:eastAsia="楷体" w:cs="楷体"/>
                <w:b/>
                <w:bCs/>
                <w:i w:val="0"/>
                <w:color w:val="000000"/>
                <w:kern w:val="2"/>
                <w:sz w:val="24"/>
                <w:szCs w:val="24"/>
                <w:u w:val="none"/>
                <w:lang w:val="en-US" w:eastAsia="zh-CN" w:bidi="ar"/>
              </w:rPr>
              <w:t>崖州湾科技城发展方向</w:t>
            </w:r>
          </w:p>
        </w:tc>
        <w:tc>
          <w:tcPr>
            <w:tcW w:w="549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bCs/>
                <w:i w:val="0"/>
                <w:color w:val="000000"/>
                <w:kern w:val="2"/>
                <w:sz w:val="24"/>
                <w:szCs w:val="24"/>
                <w:u w:val="none"/>
                <w:lang w:val="en-US" w:eastAsia="zh-CN" w:bidi="ar"/>
              </w:rPr>
            </w:pPr>
            <w:r>
              <w:rPr>
                <w:rFonts w:hint="eastAsia" w:ascii="楷体" w:hAnsi="楷体" w:eastAsia="楷体" w:cs="楷体"/>
                <w:b/>
                <w:bCs/>
                <w:i w:val="0"/>
                <w:color w:val="000000"/>
                <w:kern w:val="2"/>
                <w:sz w:val="24"/>
                <w:szCs w:val="24"/>
                <w:u w:val="none"/>
                <w:lang w:val="en-US" w:eastAsia="zh-CN" w:bidi="ar"/>
              </w:rPr>
              <w:t>崖州区主动融合方向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031" w:type="dxa"/>
            <w:vAlign w:val="top"/>
          </w:tcPr>
          <w:p>
            <w:pPr>
              <w:keepNext w:val="0"/>
              <w:keepLines w:val="0"/>
              <w:pageBreakBefore w:val="0"/>
              <w:widowControl/>
              <w:numPr>
                <w:ilvl w:val="0"/>
                <w:numId w:val="10"/>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围绕南繁科研、种业科技和热带农科三大领域打造“南繁硅谷”。</w:t>
            </w:r>
          </w:p>
        </w:tc>
        <w:tc>
          <w:tcPr>
            <w:tcW w:w="5491" w:type="dxa"/>
            <w:vAlign w:val="top"/>
          </w:tcPr>
          <w:p>
            <w:pPr>
              <w:keepNext w:val="0"/>
              <w:keepLines w:val="0"/>
              <w:pageBreakBefore w:val="0"/>
              <w:widowControl/>
              <w:numPr>
                <w:ilvl w:val="0"/>
                <w:numId w:val="11"/>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楷体" w:hAnsi="楷体" w:eastAsia="楷体" w:cs="楷体"/>
                <w:b w:val="0"/>
                <w:bCs w:val="0"/>
                <w:i w:val="0"/>
                <w:color w:val="000000"/>
                <w:kern w:val="2"/>
                <w:sz w:val="24"/>
                <w:szCs w:val="24"/>
                <w:u w:val="none"/>
                <w:lang w:val="en-US" w:eastAsia="zh-CN" w:bidi="ar"/>
              </w:rPr>
            </w:pPr>
            <w:r>
              <w:rPr>
                <w:rFonts w:hint="default" w:ascii="楷体" w:hAnsi="楷体" w:eastAsia="楷体" w:cs="楷体"/>
                <w:b w:val="0"/>
                <w:bCs w:val="0"/>
                <w:i w:val="0"/>
                <w:color w:val="000000"/>
                <w:kern w:val="2"/>
                <w:sz w:val="24"/>
                <w:szCs w:val="24"/>
                <w:u w:val="none"/>
                <w:lang w:val="en-US" w:eastAsia="zh-CN" w:bidi="ar"/>
              </w:rPr>
              <w:t>依托南繁科研、科技推广平台开展耐热耐湿蔬菜品种调研、筛选、示范推广工作，承接</w:t>
            </w:r>
            <w:r>
              <w:rPr>
                <w:rFonts w:hint="eastAsia" w:ascii="楷体" w:hAnsi="楷体" w:eastAsia="楷体" w:cs="楷体"/>
                <w:b w:val="0"/>
                <w:bCs w:val="0"/>
                <w:i w:val="0"/>
                <w:color w:val="000000"/>
                <w:kern w:val="2"/>
                <w:sz w:val="24"/>
                <w:szCs w:val="24"/>
                <w:u w:val="none"/>
                <w:lang w:val="en-US" w:eastAsia="zh-CN" w:bidi="ar"/>
              </w:rPr>
              <w:t>水果</w:t>
            </w:r>
            <w:r>
              <w:rPr>
                <w:rFonts w:hint="default" w:ascii="楷体" w:hAnsi="楷体" w:eastAsia="楷体" w:cs="楷体"/>
                <w:b w:val="0"/>
                <w:bCs w:val="0"/>
                <w:i w:val="0"/>
                <w:color w:val="000000"/>
                <w:kern w:val="2"/>
                <w:sz w:val="24"/>
                <w:szCs w:val="24"/>
                <w:u w:val="none"/>
                <w:lang w:val="en-US" w:eastAsia="zh-CN" w:bidi="ar"/>
              </w:rPr>
              <w:t>瓜菜新品种在崖州落地生根，加快新品种示范推广。</w:t>
            </w:r>
          </w:p>
          <w:p>
            <w:pPr>
              <w:keepNext w:val="0"/>
              <w:keepLines w:val="0"/>
              <w:pageBreakBefore w:val="0"/>
              <w:widowControl/>
              <w:numPr>
                <w:ilvl w:val="0"/>
                <w:numId w:val="11"/>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依托科技推广平台开展</w:t>
            </w:r>
            <w:r>
              <w:rPr>
                <w:rFonts w:hint="default" w:ascii="楷体" w:hAnsi="楷体" w:eastAsia="楷体" w:cs="楷体"/>
                <w:b w:val="0"/>
                <w:bCs w:val="0"/>
                <w:i w:val="0"/>
                <w:color w:val="000000"/>
                <w:kern w:val="2"/>
                <w:sz w:val="24"/>
                <w:szCs w:val="24"/>
                <w:u w:val="none"/>
                <w:lang w:val="en-US" w:eastAsia="zh-CN" w:bidi="ar"/>
              </w:rPr>
              <w:t>植物保护</w:t>
            </w:r>
            <w:r>
              <w:rPr>
                <w:rFonts w:hint="eastAsia" w:ascii="楷体" w:hAnsi="楷体" w:eastAsia="楷体" w:cs="楷体"/>
                <w:b w:val="0"/>
                <w:bCs w:val="0"/>
                <w:i w:val="0"/>
                <w:color w:val="000000"/>
                <w:kern w:val="2"/>
                <w:sz w:val="24"/>
                <w:szCs w:val="24"/>
                <w:u w:val="none"/>
                <w:lang w:val="en-US" w:eastAsia="zh-CN" w:bidi="ar"/>
              </w:rPr>
              <w:t>、</w:t>
            </w:r>
            <w:r>
              <w:rPr>
                <w:rFonts w:hint="default" w:ascii="楷体" w:hAnsi="楷体" w:eastAsia="楷体" w:cs="楷体"/>
                <w:b w:val="0"/>
                <w:bCs w:val="0"/>
                <w:i w:val="0"/>
                <w:color w:val="000000"/>
                <w:kern w:val="2"/>
                <w:sz w:val="24"/>
                <w:szCs w:val="24"/>
                <w:u w:val="none"/>
                <w:lang w:val="en-US" w:eastAsia="zh-CN" w:bidi="ar"/>
              </w:rPr>
              <w:t>病虫害综合防治</w:t>
            </w:r>
            <w:r>
              <w:rPr>
                <w:rFonts w:hint="eastAsia" w:ascii="楷体" w:hAnsi="楷体" w:eastAsia="楷体" w:cs="楷体"/>
                <w:b w:val="0"/>
                <w:bCs w:val="0"/>
                <w:i w:val="0"/>
                <w:color w:val="000000"/>
                <w:kern w:val="2"/>
                <w:sz w:val="24"/>
                <w:szCs w:val="24"/>
                <w:u w:val="none"/>
                <w:lang w:val="en-US" w:eastAsia="zh-CN" w:bidi="ar"/>
              </w:rPr>
              <w:t>等农业</w:t>
            </w:r>
            <w:r>
              <w:rPr>
                <w:rFonts w:hint="default" w:ascii="楷体" w:hAnsi="楷体" w:eastAsia="楷体" w:cs="楷体"/>
                <w:b w:val="0"/>
                <w:bCs w:val="0"/>
                <w:i w:val="0"/>
                <w:color w:val="000000"/>
                <w:kern w:val="2"/>
                <w:sz w:val="24"/>
                <w:szCs w:val="24"/>
                <w:u w:val="none"/>
                <w:lang w:val="en-US" w:eastAsia="zh-CN" w:bidi="ar"/>
              </w:rPr>
              <w:t>新技术推广</w:t>
            </w:r>
            <w:r>
              <w:rPr>
                <w:rFonts w:hint="eastAsia" w:ascii="楷体" w:hAnsi="楷体" w:eastAsia="楷体" w:cs="楷体"/>
                <w:b w:val="0"/>
                <w:bCs w:val="0"/>
                <w:i w:val="0"/>
                <w:color w:val="000000"/>
                <w:kern w:val="2"/>
                <w:sz w:val="24"/>
                <w:szCs w:val="24"/>
                <w:u w:val="none"/>
                <w:lang w:val="en-US" w:eastAsia="zh-CN" w:bidi="ar"/>
              </w:rPr>
              <w:t>。</w:t>
            </w:r>
          </w:p>
          <w:p>
            <w:pPr>
              <w:keepNext w:val="0"/>
              <w:keepLines w:val="0"/>
              <w:pageBreakBefore w:val="0"/>
              <w:widowControl/>
              <w:numPr>
                <w:ilvl w:val="0"/>
                <w:numId w:val="11"/>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楷体" w:hAnsi="楷体" w:eastAsia="楷体" w:cs="楷体"/>
                <w:b w:val="0"/>
                <w:bCs w:val="0"/>
                <w:i w:val="0"/>
                <w:color w:val="000000"/>
                <w:kern w:val="2"/>
                <w:sz w:val="24"/>
                <w:szCs w:val="24"/>
                <w:u w:val="none"/>
                <w:lang w:val="en-US" w:eastAsia="zh-CN" w:bidi="ar"/>
              </w:rPr>
            </w:pPr>
            <w:r>
              <w:rPr>
                <w:rFonts w:hint="default" w:ascii="楷体" w:hAnsi="楷体" w:eastAsia="楷体" w:cs="楷体"/>
                <w:b w:val="0"/>
                <w:bCs w:val="0"/>
                <w:i w:val="0"/>
                <w:color w:val="000000"/>
                <w:kern w:val="2"/>
                <w:sz w:val="24"/>
                <w:szCs w:val="24"/>
                <w:u w:val="none"/>
                <w:lang w:val="en-US" w:eastAsia="zh-CN" w:bidi="ar"/>
              </w:rPr>
              <w:t>支持科研机构建立瓜菜水果农业试验示范基地，集成、熟化农业新技术，形成标准化的操作技术规范，推进热带农业科技成果产业化</w:t>
            </w:r>
            <w:r>
              <w:rPr>
                <w:rFonts w:hint="eastAsia" w:ascii="楷体" w:hAnsi="楷体" w:eastAsia="楷体" w:cs="楷体"/>
                <w:b w:val="0"/>
                <w:bCs w:val="0"/>
                <w:i w:val="0"/>
                <w:color w:val="000000"/>
                <w:kern w:val="2"/>
                <w:sz w:val="24"/>
                <w:szCs w:val="24"/>
                <w:u w:val="none"/>
                <w:lang w:val="en-US" w:eastAsia="zh-CN" w:bidi="ar"/>
              </w:rPr>
              <w:t>。</w:t>
            </w:r>
          </w:p>
          <w:p>
            <w:pPr>
              <w:keepNext w:val="0"/>
              <w:keepLines w:val="0"/>
              <w:pageBreakBefore w:val="0"/>
              <w:widowControl/>
              <w:numPr>
                <w:ilvl w:val="0"/>
                <w:numId w:val="11"/>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楷体" w:hAnsi="楷体" w:eastAsia="楷体" w:cs="楷体"/>
                <w:b w:val="0"/>
                <w:bCs w:val="0"/>
                <w:i w:val="0"/>
                <w:color w:val="000000"/>
                <w:kern w:val="2"/>
                <w:sz w:val="24"/>
                <w:szCs w:val="24"/>
                <w:u w:val="none"/>
                <w:lang w:val="en-US" w:eastAsia="zh-CN" w:bidi="ar"/>
              </w:rPr>
            </w:pPr>
            <w:r>
              <w:rPr>
                <w:rFonts w:hint="default" w:ascii="楷体" w:hAnsi="楷体" w:eastAsia="楷体" w:cs="楷体"/>
                <w:b w:val="0"/>
                <w:bCs w:val="0"/>
                <w:i w:val="0"/>
                <w:color w:val="000000"/>
                <w:kern w:val="2"/>
                <w:sz w:val="24"/>
                <w:szCs w:val="24"/>
                <w:u w:val="none"/>
                <w:lang w:val="en-US" w:eastAsia="zh-CN" w:bidi="ar"/>
              </w:rPr>
              <w:t>鼓励科研机构参与建立健全芒果、豇豆、蜜瓜、莲雾等农产品地方标准体系，推广一批简明易懂的关键技术操作规程</w:t>
            </w:r>
            <w:r>
              <w:rPr>
                <w:rFonts w:hint="eastAsia" w:ascii="楷体" w:hAnsi="楷体" w:eastAsia="楷体" w:cs="楷体"/>
                <w:b w:val="0"/>
                <w:bCs w:val="0"/>
                <w:i w:val="0"/>
                <w:color w:val="000000"/>
                <w:kern w:val="2"/>
                <w:sz w:val="24"/>
                <w:szCs w:val="24"/>
                <w:u w:val="none"/>
                <w:lang w:val="en-US" w:eastAsia="zh-CN" w:bidi="ar"/>
              </w:rPr>
              <w:t>。</w:t>
            </w:r>
          </w:p>
          <w:p>
            <w:pPr>
              <w:keepNext w:val="0"/>
              <w:keepLines w:val="0"/>
              <w:pageBreakBefore w:val="0"/>
              <w:widowControl/>
              <w:numPr>
                <w:ilvl w:val="0"/>
                <w:numId w:val="11"/>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发展</w:t>
            </w:r>
            <w:r>
              <w:rPr>
                <w:rFonts w:hint="default" w:ascii="楷体" w:hAnsi="楷体" w:eastAsia="楷体" w:cs="楷体"/>
                <w:b w:val="0"/>
                <w:bCs w:val="0"/>
                <w:i w:val="0"/>
                <w:color w:val="000000"/>
                <w:kern w:val="2"/>
                <w:sz w:val="24"/>
                <w:szCs w:val="24"/>
                <w:u w:val="none"/>
                <w:lang w:val="en-US" w:eastAsia="zh-CN" w:bidi="ar"/>
              </w:rPr>
              <w:t>种子加工、仓储、物流</w:t>
            </w:r>
            <w:r>
              <w:rPr>
                <w:rFonts w:hint="eastAsia" w:ascii="楷体" w:hAnsi="楷体" w:eastAsia="楷体" w:cs="楷体"/>
                <w:b w:val="0"/>
                <w:bCs w:val="0"/>
                <w:i w:val="0"/>
                <w:color w:val="000000"/>
                <w:kern w:val="2"/>
                <w:sz w:val="24"/>
                <w:szCs w:val="24"/>
                <w:u w:val="none"/>
                <w:lang w:val="en-US" w:eastAsia="zh-CN" w:bidi="ar"/>
              </w:rPr>
              <w:t>环节</w:t>
            </w:r>
            <w:r>
              <w:rPr>
                <w:rFonts w:hint="default" w:ascii="楷体" w:hAnsi="楷体" w:eastAsia="楷体" w:cs="楷体"/>
                <w:b w:val="0"/>
                <w:bCs w:val="0"/>
                <w:i w:val="0"/>
                <w:color w:val="000000"/>
                <w:kern w:val="2"/>
                <w:sz w:val="24"/>
                <w:szCs w:val="24"/>
                <w:u w:val="none"/>
                <w:lang w:val="en-US" w:eastAsia="zh-CN" w:bidi="ar"/>
              </w:rPr>
              <w:t>，为商品种子生产提供</w:t>
            </w:r>
            <w:r>
              <w:rPr>
                <w:rFonts w:hint="eastAsia" w:ascii="楷体" w:hAnsi="楷体" w:eastAsia="楷体" w:cs="楷体"/>
                <w:b w:val="0"/>
                <w:bCs w:val="0"/>
                <w:i w:val="0"/>
                <w:color w:val="000000"/>
                <w:kern w:val="2"/>
                <w:sz w:val="24"/>
                <w:szCs w:val="24"/>
                <w:u w:val="none"/>
                <w:lang w:val="en-US" w:eastAsia="zh-CN" w:bidi="ar"/>
              </w:rPr>
              <w:t>更多</w:t>
            </w:r>
            <w:r>
              <w:rPr>
                <w:rFonts w:hint="default" w:ascii="楷体" w:hAnsi="楷体" w:eastAsia="楷体" w:cs="楷体"/>
                <w:b w:val="0"/>
                <w:bCs w:val="0"/>
                <w:i w:val="0"/>
                <w:color w:val="000000"/>
                <w:kern w:val="2"/>
                <w:sz w:val="24"/>
                <w:szCs w:val="24"/>
                <w:u w:val="none"/>
                <w:lang w:val="en-US" w:eastAsia="zh-CN" w:bidi="ar"/>
              </w:rPr>
              <w:t>本地化服务</w:t>
            </w:r>
            <w:r>
              <w:rPr>
                <w:rFonts w:hint="eastAsia" w:ascii="楷体" w:hAnsi="楷体" w:eastAsia="楷体" w:cs="楷体"/>
                <w:b w:val="0"/>
                <w:bCs w:val="0"/>
                <w:i w:val="0"/>
                <w:color w:val="000000"/>
                <w:kern w:val="2"/>
                <w:sz w:val="24"/>
                <w:szCs w:val="24"/>
                <w:u w:val="none"/>
                <w:lang w:val="en-US" w:eastAsia="zh-CN" w:bidi="ar"/>
              </w:rPr>
              <w:t>。</w:t>
            </w:r>
          </w:p>
          <w:p>
            <w:pPr>
              <w:keepNext w:val="0"/>
              <w:keepLines w:val="0"/>
              <w:pageBreakBefore w:val="0"/>
              <w:widowControl/>
              <w:numPr>
                <w:ilvl w:val="0"/>
                <w:numId w:val="11"/>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楷体" w:hAnsi="楷体" w:eastAsia="楷体" w:cs="楷体"/>
                <w:b w:val="0"/>
                <w:bCs w:val="0"/>
                <w:i w:val="0"/>
                <w:color w:val="000000"/>
                <w:kern w:val="2"/>
                <w:sz w:val="24"/>
                <w:szCs w:val="24"/>
                <w:u w:val="none"/>
                <w:lang w:val="en-US" w:eastAsia="zh-CN" w:bidi="ar"/>
              </w:rPr>
            </w:pPr>
            <w:r>
              <w:rPr>
                <w:rFonts w:hint="default" w:ascii="楷体" w:hAnsi="楷体" w:eastAsia="楷体" w:cs="楷体"/>
                <w:b w:val="0"/>
                <w:bCs w:val="0"/>
                <w:i w:val="0"/>
                <w:color w:val="000000"/>
                <w:kern w:val="2"/>
                <w:sz w:val="24"/>
                <w:szCs w:val="24"/>
                <w:u w:val="none"/>
                <w:lang w:val="en-US" w:eastAsia="zh-CN" w:bidi="ar"/>
              </w:rPr>
              <w:t>鼓励制种企业吸引合作社、家庭农场以土地使用权折价入股制种企业，分享种子增值收益。</w:t>
            </w:r>
          </w:p>
          <w:p>
            <w:pPr>
              <w:keepNext w:val="0"/>
              <w:keepLines w:val="0"/>
              <w:pageBreakBefore w:val="0"/>
              <w:widowControl/>
              <w:numPr>
                <w:ilvl w:val="0"/>
                <w:numId w:val="11"/>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发展壮大农业科研农田试验、种业成果中试、新奇特农产品种植、智慧设施农业、农业科普教育等创新链中下游。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031" w:type="dxa"/>
            <w:vAlign w:val="top"/>
          </w:tcPr>
          <w:p>
            <w:pPr>
              <w:keepNext w:val="0"/>
              <w:keepLines w:val="0"/>
              <w:pageBreakBefore w:val="0"/>
              <w:widowControl/>
              <w:numPr>
                <w:ilvl w:val="0"/>
                <w:numId w:val="10"/>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打造“水产种业硅谷”，开展海洋生物引育、海洋生物科研功能，建设全球种质资源研究利用中心。</w:t>
            </w:r>
          </w:p>
        </w:tc>
        <w:tc>
          <w:tcPr>
            <w:tcW w:w="5491" w:type="dxa"/>
            <w:vAlign w:val="top"/>
          </w:tcPr>
          <w:p>
            <w:pPr>
              <w:keepNext w:val="0"/>
              <w:keepLines w:val="0"/>
              <w:pageBreakBefore w:val="0"/>
              <w:widowControl/>
              <w:numPr>
                <w:ilvl w:val="0"/>
                <w:numId w:val="11"/>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借助技术优势，发展水产工厂化养殖、近岸生态化养殖、深海科技养殖，做好养殖新技术的示范应用。</w:t>
            </w:r>
          </w:p>
          <w:p>
            <w:pPr>
              <w:keepNext w:val="0"/>
              <w:keepLines w:val="0"/>
              <w:pageBreakBefore w:val="0"/>
              <w:widowControl/>
              <w:numPr>
                <w:ilvl w:val="0"/>
                <w:numId w:val="11"/>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做好水产成果转化，发展水产新品种养殖，热带观赏鱼类养殖。</w:t>
            </w:r>
          </w:p>
          <w:p>
            <w:pPr>
              <w:keepNext w:val="0"/>
              <w:keepLines w:val="0"/>
              <w:pageBreakBefore w:val="0"/>
              <w:widowControl/>
              <w:numPr>
                <w:ilvl w:val="0"/>
                <w:numId w:val="11"/>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承接水产育种，发展南美对虾、高价值鱼类、海珍品等水产育种，为国内和“一带一路”沿线国家提供优质良种。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031" w:type="dxa"/>
            <w:vAlign w:val="top"/>
          </w:tcPr>
          <w:p>
            <w:pPr>
              <w:keepNext w:val="0"/>
              <w:keepLines w:val="0"/>
              <w:pageBreakBefore w:val="0"/>
              <w:widowControl/>
              <w:numPr>
                <w:ilvl w:val="0"/>
                <w:numId w:val="10"/>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打造“生物科技研创中心”，开展医药临床前研发、医药研发服务外包、器官移植实验、生物制品实验。</w:t>
            </w:r>
          </w:p>
        </w:tc>
        <w:tc>
          <w:tcPr>
            <w:tcW w:w="5491" w:type="dxa"/>
            <w:vAlign w:val="top"/>
          </w:tcPr>
          <w:p>
            <w:pPr>
              <w:keepNext w:val="0"/>
              <w:keepLines w:val="0"/>
              <w:pageBreakBefore w:val="0"/>
              <w:widowControl/>
              <w:numPr>
                <w:ilvl w:val="0"/>
                <w:numId w:val="11"/>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建设</w:t>
            </w:r>
            <w:r>
              <w:rPr>
                <w:rFonts w:hint="default" w:ascii="楷体" w:hAnsi="楷体" w:eastAsia="楷体" w:cs="楷体"/>
                <w:b w:val="0"/>
                <w:bCs w:val="0"/>
                <w:i w:val="0"/>
                <w:color w:val="000000"/>
                <w:kern w:val="2"/>
                <w:sz w:val="24"/>
                <w:szCs w:val="24"/>
                <w:u w:val="none"/>
                <w:lang w:val="en-US" w:eastAsia="zh-CN" w:bidi="ar"/>
              </w:rPr>
              <w:t>实验动物养殖基地</w:t>
            </w:r>
            <w:r>
              <w:rPr>
                <w:rFonts w:hint="eastAsia" w:ascii="楷体" w:hAnsi="楷体" w:eastAsia="楷体" w:cs="楷体"/>
                <w:b w:val="0"/>
                <w:bCs w:val="0"/>
                <w:i w:val="0"/>
                <w:color w:val="000000"/>
                <w:kern w:val="2"/>
                <w:sz w:val="24"/>
                <w:szCs w:val="24"/>
                <w:u w:val="none"/>
                <w:lang w:val="en-US" w:eastAsia="zh-CN" w:bidi="ar"/>
              </w:rPr>
              <w:t>，</w:t>
            </w:r>
            <w:r>
              <w:rPr>
                <w:rFonts w:hint="default" w:ascii="楷体" w:hAnsi="楷体" w:eastAsia="楷体" w:cs="楷体"/>
                <w:b w:val="0"/>
                <w:bCs w:val="0"/>
                <w:i w:val="0"/>
                <w:color w:val="000000"/>
                <w:kern w:val="2"/>
                <w:sz w:val="24"/>
                <w:szCs w:val="24"/>
                <w:u w:val="none"/>
                <w:lang w:val="en-US" w:eastAsia="zh-CN" w:bidi="ar"/>
              </w:rPr>
              <w:t>为科技城提供大批量实验用猪、猴、犬、兔、鼠等模式动物</w:t>
            </w:r>
            <w:r>
              <w:rPr>
                <w:rFonts w:hint="eastAsia" w:ascii="楷体" w:hAnsi="楷体" w:eastAsia="楷体" w:cs="楷体"/>
                <w:b w:val="0"/>
                <w:bCs w:val="0"/>
                <w:i w:val="0"/>
                <w:color w:val="000000"/>
                <w:kern w:val="2"/>
                <w:sz w:val="24"/>
                <w:szCs w:val="24"/>
                <w:u w:val="none"/>
                <w:lang w:val="en-US" w:eastAsia="zh-CN" w:bidi="ar"/>
              </w:rPr>
              <w:t>，确保养殖中的生物安全、防疫。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031" w:type="dxa"/>
            <w:vAlign w:val="top"/>
          </w:tcPr>
          <w:p>
            <w:pPr>
              <w:keepNext w:val="0"/>
              <w:keepLines w:val="0"/>
              <w:pageBreakBefore w:val="0"/>
              <w:widowControl/>
              <w:numPr>
                <w:ilvl w:val="0"/>
                <w:numId w:val="10"/>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推进崖州中心渔港升级。</w:t>
            </w:r>
          </w:p>
        </w:tc>
        <w:tc>
          <w:tcPr>
            <w:tcW w:w="5491" w:type="dxa"/>
            <w:vAlign w:val="top"/>
          </w:tcPr>
          <w:p>
            <w:pPr>
              <w:keepNext w:val="0"/>
              <w:keepLines w:val="0"/>
              <w:pageBreakBefore w:val="0"/>
              <w:widowControl/>
              <w:numPr>
                <w:ilvl w:val="0"/>
                <w:numId w:val="11"/>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把崖州中心渔港作为海洋牧场深水养殖基地母港，为深水养殖工船、深水抗风浪网箱养殖提供服务。</w:t>
            </w:r>
          </w:p>
          <w:p>
            <w:pPr>
              <w:keepNext w:val="0"/>
              <w:keepLines w:val="0"/>
              <w:pageBreakBefore w:val="0"/>
              <w:widowControl/>
              <w:numPr>
                <w:ilvl w:val="0"/>
                <w:numId w:val="11"/>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做大做强渔港经济，在渔港后方发展鱼虾贝类水产品初级加工和精深加工产业，发展保税型加工仓储。</w:t>
            </w:r>
          </w:p>
          <w:p>
            <w:pPr>
              <w:keepNext w:val="0"/>
              <w:keepLines w:val="0"/>
              <w:pageBreakBefore w:val="0"/>
              <w:widowControl/>
              <w:numPr>
                <w:ilvl w:val="0"/>
                <w:numId w:val="11"/>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发展休闲渔业，打造国际海钓赛事和培训基地，发展渔港及海洋牧场观光、海洋垂钓、渔人码头、渔家文化、渔业博物馆等休闲渔业体验旅游。</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3031" w:type="dxa"/>
            <w:vAlign w:val="top"/>
          </w:tcPr>
          <w:p>
            <w:pPr>
              <w:keepNext w:val="0"/>
              <w:keepLines w:val="0"/>
              <w:pageBreakBefore w:val="0"/>
              <w:widowControl/>
              <w:numPr>
                <w:ilvl w:val="0"/>
                <w:numId w:val="10"/>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建设南繁博物馆、</w:t>
            </w:r>
            <w:r>
              <w:rPr>
                <w:rFonts w:hint="default" w:ascii="楷体" w:hAnsi="楷体" w:eastAsia="楷体" w:cs="楷体"/>
                <w:b w:val="0"/>
                <w:bCs w:val="0"/>
                <w:i w:val="0"/>
                <w:color w:val="000000"/>
                <w:kern w:val="2"/>
                <w:sz w:val="24"/>
                <w:szCs w:val="24"/>
                <w:u w:val="none"/>
                <w:lang w:val="en-US" w:eastAsia="zh-CN" w:bidi="ar"/>
              </w:rPr>
              <w:t>中国深海博物馆</w:t>
            </w:r>
            <w:r>
              <w:rPr>
                <w:rFonts w:hint="eastAsia" w:ascii="楷体" w:hAnsi="楷体" w:eastAsia="楷体" w:cs="楷体"/>
                <w:b w:val="0"/>
                <w:bCs w:val="0"/>
                <w:i w:val="0"/>
                <w:color w:val="000000"/>
                <w:kern w:val="2"/>
                <w:sz w:val="24"/>
                <w:szCs w:val="24"/>
                <w:u w:val="none"/>
                <w:lang w:val="en-US" w:eastAsia="zh-CN" w:bidi="ar"/>
              </w:rPr>
              <w:t>。</w:t>
            </w:r>
          </w:p>
        </w:tc>
        <w:tc>
          <w:tcPr>
            <w:tcW w:w="5491" w:type="dxa"/>
            <w:vAlign w:val="top"/>
          </w:tcPr>
          <w:p>
            <w:pPr>
              <w:keepNext w:val="0"/>
              <w:keepLines w:val="0"/>
              <w:pageBreakBefore w:val="0"/>
              <w:widowControl/>
              <w:numPr>
                <w:ilvl w:val="0"/>
                <w:numId w:val="11"/>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楷体" w:hAnsi="楷体" w:eastAsia="楷体" w:cs="楷体"/>
                <w:b w:val="0"/>
                <w:bCs w:val="0"/>
                <w:i w:val="0"/>
                <w:color w:val="000000"/>
                <w:kern w:val="2"/>
                <w:sz w:val="24"/>
                <w:szCs w:val="24"/>
                <w:u w:val="none"/>
                <w:lang w:val="en-US" w:eastAsia="zh-CN" w:bidi="ar"/>
              </w:rPr>
            </w:pPr>
            <w:r>
              <w:rPr>
                <w:rFonts w:hint="default" w:ascii="楷体" w:hAnsi="楷体" w:eastAsia="楷体" w:cs="楷体"/>
                <w:b w:val="0"/>
                <w:bCs w:val="0"/>
                <w:i w:val="0"/>
                <w:color w:val="000000"/>
                <w:kern w:val="2"/>
                <w:sz w:val="24"/>
                <w:szCs w:val="24"/>
                <w:u w:val="none"/>
                <w:lang w:val="en-US" w:eastAsia="zh-CN" w:bidi="ar"/>
              </w:rPr>
              <w:t>围绕南繁、深海等科技主题，打造科普型、亲子型、度假型科技研学路线，</w:t>
            </w:r>
            <w:r>
              <w:rPr>
                <w:rFonts w:hint="eastAsia" w:ascii="楷体" w:hAnsi="楷体" w:eastAsia="楷体" w:cs="楷体"/>
                <w:b w:val="0"/>
                <w:bCs w:val="0"/>
                <w:i w:val="0"/>
                <w:color w:val="000000"/>
                <w:kern w:val="2"/>
                <w:sz w:val="24"/>
                <w:szCs w:val="24"/>
                <w:u w:val="none"/>
                <w:lang w:val="en-US" w:eastAsia="zh-CN" w:bidi="ar"/>
              </w:rPr>
              <w:t>做好崖州文旅产业</w:t>
            </w:r>
            <w:r>
              <w:rPr>
                <w:rFonts w:hint="default" w:ascii="楷体" w:hAnsi="楷体" w:eastAsia="楷体" w:cs="楷体"/>
                <w:b w:val="0"/>
                <w:bCs w:val="0"/>
                <w:i w:val="0"/>
                <w:color w:val="000000"/>
                <w:kern w:val="2"/>
                <w:sz w:val="24"/>
                <w:szCs w:val="24"/>
                <w:u w:val="none"/>
                <w:lang w:val="en-US" w:eastAsia="zh-CN" w:bidi="ar"/>
              </w:rPr>
              <w:t>。</w:t>
            </w:r>
          </w:p>
        </w:tc>
      </w:tr>
    </w:tbl>
    <w:p>
      <w:pPr>
        <w:pStyle w:val="4"/>
        <w:numPr>
          <w:ilvl w:val="0"/>
          <w:numId w:val="9"/>
        </w:numPr>
        <w:bidi w:val="0"/>
        <w:rPr>
          <w:rFonts w:hint="default"/>
          <w:b w:val="0"/>
          <w:lang w:val="en-US" w:eastAsia="zh-CN"/>
        </w:rPr>
      </w:pPr>
      <w:bookmarkStart w:id="140" w:name="_Toc23262"/>
      <w:bookmarkStart w:id="141" w:name="_Toc7002"/>
      <w:bookmarkStart w:id="142" w:name="_Toc12905"/>
      <w:r>
        <w:rPr>
          <w:rFonts w:hint="default"/>
          <w:b w:val="0"/>
          <w:lang w:val="en-US" w:eastAsia="zh-CN"/>
        </w:rPr>
        <w:t>促进城乡劳动力</w:t>
      </w:r>
      <w:r>
        <w:rPr>
          <w:rFonts w:hint="eastAsia"/>
          <w:b w:val="0"/>
          <w:lang w:val="en-US" w:eastAsia="zh-CN"/>
        </w:rPr>
        <w:t>为科技城提供社会服务</w:t>
      </w:r>
      <w:bookmarkEnd w:id="140"/>
      <w:bookmarkEnd w:id="141"/>
      <w:bookmarkEnd w:id="142"/>
    </w:p>
    <w:p>
      <w:pPr>
        <w:rPr>
          <w:rFonts w:hint="default"/>
          <w:lang w:val="en-US" w:eastAsia="zh-CN"/>
        </w:rPr>
      </w:pPr>
      <w:r>
        <w:rPr>
          <w:rFonts w:hint="eastAsia"/>
          <w:lang w:val="en-US" w:eastAsia="zh-CN"/>
        </w:rPr>
        <w:t>崖州区主动做好劳动力资源组织，积极建立区城劳动力资源需求对接平台，围绕科技城的物业服务、餐饮服务、家政服务等实施职业技能培训，满足科技城对一般劳动力资源的需要，促进崖州城乡群众实现本地就业。</w:t>
      </w:r>
    </w:p>
    <w:p>
      <w:pPr>
        <w:pStyle w:val="4"/>
        <w:numPr>
          <w:ilvl w:val="0"/>
          <w:numId w:val="9"/>
        </w:numPr>
        <w:bidi w:val="0"/>
        <w:rPr>
          <w:rFonts w:hint="default"/>
          <w:b w:val="0"/>
          <w:lang w:val="en-US" w:eastAsia="zh-CN"/>
        </w:rPr>
      </w:pPr>
      <w:bookmarkStart w:id="143" w:name="_Toc23600"/>
      <w:bookmarkStart w:id="144" w:name="_Toc18722"/>
      <w:bookmarkStart w:id="145" w:name="_Toc13306"/>
      <w:r>
        <w:rPr>
          <w:rFonts w:hint="eastAsia"/>
          <w:b w:val="0"/>
          <w:lang w:val="en-US" w:eastAsia="zh-CN"/>
        </w:rPr>
        <w:t>满足高知高收人群日常消费和休闲需求</w:t>
      </w:r>
      <w:bookmarkEnd w:id="143"/>
      <w:bookmarkEnd w:id="144"/>
      <w:bookmarkEnd w:id="145"/>
    </w:p>
    <w:p>
      <w:pPr>
        <w:rPr>
          <w:rFonts w:hint="default"/>
          <w:lang w:val="en-US" w:eastAsia="zh-CN"/>
        </w:rPr>
      </w:pPr>
      <w:r>
        <w:rPr>
          <w:rFonts w:hint="eastAsia"/>
          <w:lang w:val="en-US" w:eastAsia="zh-CN"/>
        </w:rPr>
        <w:t>发挥崖州历史文化、热带农业等优势，做好崖州区生活服务业升级，持续增加商务服务、主题乐园、沙滩运动、文旅体验、休闲农业渔业、亲子研学、度假、夜间经济、中高端酒店等特色高端服务供给，就近满足科技城生活工作人群的消费需求和休闲娱乐需求。</w:t>
      </w:r>
    </w:p>
    <w:p>
      <w:pPr>
        <w:pStyle w:val="4"/>
        <w:numPr>
          <w:ilvl w:val="0"/>
          <w:numId w:val="9"/>
        </w:numPr>
        <w:bidi w:val="0"/>
        <w:rPr>
          <w:rFonts w:hint="default"/>
          <w:b w:val="0"/>
          <w:lang w:val="en-US" w:eastAsia="zh-CN"/>
        </w:rPr>
      </w:pPr>
      <w:bookmarkStart w:id="146" w:name="_Toc619"/>
      <w:bookmarkStart w:id="147" w:name="_Toc20043"/>
      <w:bookmarkStart w:id="148" w:name="_Toc31900"/>
      <w:r>
        <w:rPr>
          <w:rFonts w:hint="default"/>
          <w:b w:val="0"/>
          <w:lang w:val="en-US" w:eastAsia="zh-CN"/>
        </w:rPr>
        <w:t>打造环境服务</w:t>
      </w:r>
      <w:r>
        <w:rPr>
          <w:rFonts w:hint="eastAsia"/>
          <w:b w:val="0"/>
          <w:lang w:val="en-US" w:eastAsia="zh-CN"/>
        </w:rPr>
        <w:t>俱佳</w:t>
      </w:r>
      <w:r>
        <w:rPr>
          <w:rFonts w:hint="default"/>
          <w:b w:val="0"/>
          <w:lang w:val="en-US" w:eastAsia="zh-CN"/>
        </w:rPr>
        <w:t>的</w:t>
      </w:r>
      <w:r>
        <w:rPr>
          <w:rFonts w:hint="eastAsia"/>
          <w:b w:val="0"/>
          <w:lang w:val="en-US" w:eastAsia="zh-CN"/>
        </w:rPr>
        <w:t>高品质</w:t>
      </w:r>
      <w:r>
        <w:rPr>
          <w:rFonts w:hint="default"/>
          <w:b w:val="0"/>
          <w:lang w:val="en-US" w:eastAsia="zh-CN"/>
        </w:rPr>
        <w:t>宜居</w:t>
      </w:r>
      <w:r>
        <w:rPr>
          <w:rFonts w:hint="eastAsia"/>
          <w:b w:val="0"/>
          <w:lang w:val="en-US" w:eastAsia="zh-CN"/>
        </w:rPr>
        <w:t>社区</w:t>
      </w:r>
      <w:bookmarkEnd w:id="146"/>
      <w:bookmarkEnd w:id="147"/>
      <w:bookmarkEnd w:id="148"/>
    </w:p>
    <w:p>
      <w:pPr>
        <w:rPr>
          <w:rFonts w:hint="eastAsia"/>
          <w:lang w:val="en-US" w:eastAsia="zh-CN"/>
        </w:rPr>
      </w:pPr>
      <w:r>
        <w:rPr>
          <w:rFonts w:hint="eastAsia"/>
          <w:lang w:val="en-US" w:eastAsia="zh-CN"/>
        </w:rPr>
        <w:t>在坚持“房住不炒”的原则下，建设小区环境佳、服务配套全、物业服务好的安居型商品房小区，打造高品质的安居型商品房，满足科技城新增人群的刚性需要。</w:t>
      </w:r>
    </w:p>
    <w:p>
      <w:pPr>
        <w:bidi w:val="0"/>
        <w:rPr>
          <w:rFonts w:hint="eastAsia"/>
          <w:lang w:val="en-US" w:eastAsia="zh-CN"/>
        </w:rPr>
      </w:pPr>
      <w:r>
        <w:rPr>
          <w:rFonts w:hint="eastAsia"/>
          <w:lang w:val="en-US" w:eastAsia="zh-CN"/>
        </w:rPr>
        <w:br w:type="page"/>
      </w: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pStyle w:val="2"/>
        <w:bidi w:val="0"/>
        <w:rPr>
          <w:rFonts w:hint="eastAsia"/>
          <w:lang w:val="en-US" w:eastAsia="zh-CN"/>
        </w:rPr>
      </w:pPr>
      <w:bookmarkStart w:id="149" w:name="_Toc9204"/>
      <w:bookmarkStart w:id="150" w:name="_Toc26944"/>
      <w:bookmarkStart w:id="151" w:name="_Toc7681"/>
      <w:r>
        <w:rPr>
          <w:rFonts w:hint="eastAsia"/>
          <w:lang w:val="en-US" w:eastAsia="zh-CN"/>
        </w:rPr>
        <w:t>第三章  第一产业</w:t>
      </w:r>
      <w:bookmarkEnd w:id="149"/>
      <w:bookmarkEnd w:id="150"/>
      <w:bookmarkEnd w:id="151"/>
    </w:p>
    <w:p>
      <w:pPr>
        <w:rPr>
          <w:rFonts w:hint="eastAsia"/>
          <w:lang w:val="en-US" w:eastAsia="zh-CN"/>
        </w:rPr>
      </w:pPr>
      <w:r>
        <w:rPr>
          <w:rFonts w:hint="eastAsia" w:ascii="仿宋_GB2312" w:eastAsia="仿宋_GB2312"/>
          <w:lang w:val="en-US" w:eastAsia="zh-CN"/>
        </w:rPr>
        <w:br w:type="page"/>
      </w:r>
    </w:p>
    <w:p>
      <w:pPr>
        <w:pStyle w:val="3"/>
        <w:bidi w:val="0"/>
        <w:rPr>
          <w:rFonts w:hint="eastAsia"/>
          <w:lang w:val="en-US" w:eastAsia="zh-CN"/>
        </w:rPr>
      </w:pPr>
      <w:bookmarkStart w:id="152" w:name="_Toc29860"/>
      <w:bookmarkStart w:id="153" w:name="_Toc5521"/>
      <w:bookmarkStart w:id="154" w:name="_Toc8125"/>
      <w:r>
        <w:rPr>
          <w:rFonts w:hint="eastAsia"/>
          <w:lang w:val="en-US" w:eastAsia="zh-CN"/>
        </w:rPr>
        <w:t>第一节  自贸港政策解读</w:t>
      </w:r>
      <w:bookmarkEnd w:id="152"/>
      <w:bookmarkEnd w:id="153"/>
      <w:bookmarkEnd w:id="154"/>
    </w:p>
    <w:p>
      <w:pPr>
        <w:pStyle w:val="4"/>
        <w:bidi w:val="0"/>
        <w:rPr>
          <w:rFonts w:hint="eastAsia"/>
          <w:lang w:val="en-US" w:eastAsia="zh-CN"/>
        </w:rPr>
      </w:pPr>
      <w:bookmarkStart w:id="155" w:name="_Toc23713"/>
      <w:bookmarkStart w:id="156" w:name="_Toc25386"/>
      <w:bookmarkStart w:id="157" w:name="_Toc26133"/>
      <w:r>
        <w:rPr>
          <w:rFonts w:hint="eastAsia"/>
          <w:lang w:val="en-US" w:eastAsia="zh-CN"/>
        </w:rPr>
        <w:t>一、热带农业政策解读</w:t>
      </w:r>
      <w:bookmarkEnd w:id="155"/>
      <w:bookmarkEnd w:id="156"/>
      <w:bookmarkEnd w:id="157"/>
    </w:p>
    <w:p>
      <w:pPr>
        <w:pStyle w:val="5"/>
        <w:numPr>
          <w:ilvl w:val="0"/>
          <w:numId w:val="12"/>
        </w:numPr>
        <w:bidi w:val="0"/>
        <w:rPr>
          <w:rFonts w:hint="default"/>
          <w:lang w:val="en-US" w:eastAsia="zh-CN"/>
        </w:rPr>
      </w:pPr>
      <w:bookmarkStart w:id="158" w:name="_Toc4551"/>
      <w:bookmarkStart w:id="159" w:name="_Toc24989"/>
      <w:bookmarkStart w:id="160" w:name="_Toc12177"/>
      <w:r>
        <w:rPr>
          <w:rFonts w:hint="eastAsia"/>
          <w:lang w:val="en-US" w:eastAsia="zh-CN"/>
        </w:rPr>
        <w:t>南繁是国家战略意志</w:t>
      </w:r>
      <w:bookmarkEnd w:id="158"/>
      <w:bookmarkEnd w:id="159"/>
      <w:bookmarkEnd w:id="160"/>
    </w:p>
    <w:p>
      <w:pPr>
        <w:rPr>
          <w:rFonts w:hint="default"/>
          <w:lang w:val="en-US" w:eastAsia="zh-CN"/>
        </w:rPr>
      </w:pPr>
      <w:r>
        <w:rPr>
          <w:rFonts w:hint="default"/>
          <w:lang w:val="en-US" w:eastAsia="zh-CN"/>
        </w:rPr>
        <w:t>2018年4月13日，习近平总书记视察海南期间，亲赴南繁育种基地调研。他特别指出</w:t>
      </w:r>
      <w:r>
        <w:rPr>
          <w:rFonts w:hint="eastAsia" w:ascii="仿宋_GB2312" w:eastAsia="仿宋_GB2312"/>
          <w:lang w:val="en-US" w:eastAsia="zh-CN"/>
        </w:rPr>
        <w:t>“</w:t>
      </w:r>
      <w:r>
        <w:rPr>
          <w:rFonts w:hint="default"/>
          <w:lang w:val="en-US" w:eastAsia="zh-CN"/>
        </w:rPr>
        <w:t>十几亿人口要吃饭，这是我国最大的国情。良种在促进粮食增产方面具有十分关键的作用。要下决心</w:t>
      </w:r>
      <w:r>
        <w:rPr>
          <w:rFonts w:hint="default"/>
          <w:b/>
          <w:bCs/>
          <w:lang w:val="en-US" w:eastAsia="zh-CN"/>
        </w:rPr>
        <w:t>把我国种业搞上去</w:t>
      </w:r>
      <w:r>
        <w:rPr>
          <w:rFonts w:hint="default"/>
          <w:lang w:val="en-US" w:eastAsia="zh-CN"/>
        </w:rPr>
        <w:t>，抓紧培育具有自主知识产权的优良品种，从源头上保障国家粮食安全”。针对南繁科研育种工作，总书记</w:t>
      </w:r>
      <w:r>
        <w:rPr>
          <w:rFonts w:hint="eastAsia" w:ascii="仿宋_GB2312" w:eastAsia="仿宋_GB2312"/>
          <w:lang w:val="en-US" w:eastAsia="zh-CN"/>
        </w:rPr>
        <w:t>再次</w:t>
      </w:r>
      <w:r>
        <w:rPr>
          <w:rFonts w:hint="default"/>
          <w:lang w:val="en-US" w:eastAsia="zh-CN"/>
        </w:rPr>
        <w:t>专门嘱托“国家南繁科研育种基地是国家宝贵的农业科研平台，一定要建成</w:t>
      </w:r>
      <w:r>
        <w:rPr>
          <w:rFonts w:hint="default"/>
          <w:b/>
          <w:bCs/>
          <w:lang w:val="en-US" w:eastAsia="zh-CN"/>
        </w:rPr>
        <w:t>集科研、生产、销售、科技交流、成果转化为一体</w:t>
      </w:r>
      <w:r>
        <w:rPr>
          <w:rFonts w:hint="default"/>
          <w:lang w:val="en-US" w:eastAsia="zh-CN"/>
        </w:rPr>
        <w:t>的服务全国的南繁硅谷”。</w:t>
      </w:r>
    </w:p>
    <w:p>
      <w:pPr>
        <w:pStyle w:val="5"/>
        <w:numPr>
          <w:ilvl w:val="0"/>
          <w:numId w:val="12"/>
        </w:numPr>
        <w:bidi w:val="0"/>
        <w:rPr>
          <w:rFonts w:hint="eastAsia"/>
          <w:lang w:val="en-US" w:eastAsia="zh-CN"/>
        </w:rPr>
      </w:pPr>
      <w:bookmarkStart w:id="161" w:name="_Toc918"/>
      <w:bookmarkStart w:id="162" w:name="_Toc23007"/>
      <w:bookmarkStart w:id="163" w:name="_Toc12214"/>
      <w:r>
        <w:rPr>
          <w:rFonts w:hint="eastAsia"/>
          <w:lang w:val="en-US" w:eastAsia="zh-CN"/>
        </w:rPr>
        <w:t>做强做优热带特色高效农业</w:t>
      </w:r>
      <w:bookmarkEnd w:id="161"/>
      <w:bookmarkEnd w:id="162"/>
      <w:bookmarkEnd w:id="163"/>
    </w:p>
    <w:p>
      <w:pPr>
        <w:rPr>
          <w:rFonts w:hint="eastAsia"/>
          <w:lang w:val="en-US" w:eastAsia="zh-CN"/>
        </w:rPr>
      </w:pPr>
      <w:r>
        <w:rPr>
          <w:rFonts w:hint="eastAsia" w:ascii="仿宋_GB2312" w:eastAsia="仿宋_GB2312"/>
          <w:lang w:val="en-US" w:eastAsia="zh-CN"/>
        </w:rPr>
        <w:t>培育推广绿色优质安全、具有鲜明特色的海南</w:t>
      </w:r>
      <w:r>
        <w:rPr>
          <w:rFonts w:hint="eastAsia" w:ascii="仿宋_GB2312" w:eastAsia="仿宋_GB2312"/>
          <w:b/>
          <w:bCs/>
          <w:lang w:val="en-US" w:eastAsia="zh-CN"/>
        </w:rPr>
        <w:t>农产品品牌</w:t>
      </w:r>
      <w:r>
        <w:rPr>
          <w:rFonts w:hint="eastAsia" w:ascii="仿宋_GB2312" w:eastAsia="仿宋_GB2312"/>
          <w:lang w:val="en-US" w:eastAsia="zh-CN"/>
        </w:rPr>
        <w:t>，保护</w:t>
      </w:r>
      <w:r>
        <w:rPr>
          <w:rFonts w:hint="eastAsia" w:ascii="仿宋_GB2312" w:eastAsia="仿宋_GB2312"/>
          <w:b/>
          <w:bCs/>
          <w:lang w:val="en-US" w:eastAsia="zh-CN"/>
        </w:rPr>
        <w:t>地理标志农产品</w:t>
      </w:r>
      <w:r>
        <w:rPr>
          <w:rFonts w:hint="eastAsia" w:ascii="仿宋_GB2312" w:eastAsia="仿宋_GB2312"/>
          <w:lang w:val="en-US" w:eastAsia="zh-CN"/>
        </w:rPr>
        <w:t>，创建特色农产品优势区，实施特色化标准化果园改造行动计划，加快</w:t>
      </w:r>
      <w:r>
        <w:rPr>
          <w:rFonts w:hint="eastAsia" w:ascii="仿宋_GB2312" w:eastAsia="仿宋_GB2312"/>
          <w:b/>
          <w:bCs/>
          <w:lang w:val="en-US" w:eastAsia="zh-CN"/>
        </w:rPr>
        <w:t>区域公用品牌</w:t>
      </w:r>
      <w:r>
        <w:rPr>
          <w:rFonts w:hint="eastAsia" w:ascii="仿宋_GB2312" w:eastAsia="仿宋_GB2312"/>
          <w:lang w:val="en-US" w:eastAsia="zh-CN"/>
        </w:rPr>
        <w:t>和知名企业品牌培育。</w:t>
      </w:r>
    </w:p>
    <w:p>
      <w:pPr>
        <w:pStyle w:val="5"/>
        <w:numPr>
          <w:ilvl w:val="0"/>
          <w:numId w:val="12"/>
        </w:numPr>
        <w:bidi w:val="0"/>
        <w:rPr>
          <w:rFonts w:hint="default"/>
          <w:lang w:val="en-US" w:eastAsia="zh-CN"/>
        </w:rPr>
      </w:pPr>
      <w:bookmarkStart w:id="164" w:name="_Toc12449"/>
      <w:bookmarkStart w:id="165" w:name="_Toc27879"/>
      <w:bookmarkStart w:id="166" w:name="_Toc12396"/>
      <w:r>
        <w:rPr>
          <w:rFonts w:hint="eastAsia"/>
          <w:lang w:val="en-US" w:eastAsia="zh-CN"/>
        </w:rPr>
        <w:t>建设出口农产品生产基地</w:t>
      </w:r>
      <w:bookmarkEnd w:id="164"/>
      <w:bookmarkEnd w:id="165"/>
      <w:bookmarkEnd w:id="166"/>
    </w:p>
    <w:p>
      <w:pPr>
        <w:rPr>
          <w:rFonts w:hint="default"/>
          <w:lang w:val="en-US" w:eastAsia="zh-CN"/>
        </w:rPr>
      </w:pPr>
      <w:r>
        <w:rPr>
          <w:rFonts w:hint="default"/>
          <w:lang w:val="en-US" w:eastAsia="zh-CN"/>
        </w:rPr>
        <w:t>突出海南热带作物优势，对接国际进出口标准，强化质量管控、市场营销等，支持海南建设</w:t>
      </w:r>
      <w:r>
        <w:rPr>
          <w:rFonts w:hint="default"/>
          <w:b/>
          <w:bCs/>
          <w:lang w:val="en-US" w:eastAsia="zh-CN"/>
        </w:rPr>
        <w:t>出口农产品生产基地</w:t>
      </w:r>
      <w:r>
        <w:rPr>
          <w:rFonts w:hint="default"/>
          <w:lang w:val="en-US" w:eastAsia="zh-CN"/>
        </w:rPr>
        <w:t>，扩大出口、带动热带产业发展。</w:t>
      </w:r>
    </w:p>
    <w:p>
      <w:pPr>
        <w:pStyle w:val="5"/>
        <w:numPr>
          <w:ilvl w:val="0"/>
          <w:numId w:val="12"/>
        </w:numPr>
        <w:bidi w:val="0"/>
        <w:rPr>
          <w:rFonts w:hint="default"/>
          <w:lang w:val="en-US" w:eastAsia="zh-CN"/>
        </w:rPr>
      </w:pPr>
      <w:bookmarkStart w:id="167" w:name="_Toc28618"/>
      <w:bookmarkStart w:id="168" w:name="_Toc19474"/>
      <w:bookmarkStart w:id="169" w:name="_Toc9739"/>
      <w:r>
        <w:rPr>
          <w:rFonts w:hint="eastAsia"/>
          <w:lang w:val="en-US" w:eastAsia="zh-CN"/>
        </w:rPr>
        <w:t>强化农业现代化、信息化发展</w:t>
      </w:r>
      <w:bookmarkEnd w:id="167"/>
      <w:bookmarkEnd w:id="168"/>
      <w:bookmarkEnd w:id="169"/>
    </w:p>
    <w:p>
      <w:pPr>
        <w:rPr>
          <w:rFonts w:hint="default"/>
          <w:lang w:val="en-US" w:eastAsia="zh-CN"/>
        </w:rPr>
      </w:pPr>
      <w:r>
        <w:rPr>
          <w:rFonts w:hint="default"/>
          <w:lang w:val="en-US" w:eastAsia="zh-CN"/>
        </w:rPr>
        <w:t>强化互联网+、物联网、大数据等现代信息技术运用，推动建设海南</w:t>
      </w:r>
      <w:r>
        <w:rPr>
          <w:rFonts w:hint="default"/>
          <w:b/>
          <w:bCs/>
          <w:lang w:val="en-US" w:eastAsia="zh-CN"/>
        </w:rPr>
        <w:t>国家农业高新技术产业示范区</w:t>
      </w:r>
      <w:r>
        <w:rPr>
          <w:rFonts w:hint="eastAsia" w:ascii="仿宋_GB2312" w:eastAsia="仿宋_GB2312"/>
          <w:lang w:val="en-US" w:eastAsia="zh-CN"/>
        </w:rPr>
        <w:t>，支持5G技术在</w:t>
      </w:r>
      <w:r>
        <w:rPr>
          <w:rFonts w:hint="eastAsia" w:ascii="仿宋_GB2312" w:eastAsia="仿宋_GB2312"/>
          <w:b/>
          <w:bCs/>
          <w:lang w:val="en-US" w:eastAsia="zh-CN"/>
        </w:rPr>
        <w:t>智慧农业</w:t>
      </w:r>
      <w:r>
        <w:rPr>
          <w:rFonts w:hint="eastAsia" w:ascii="仿宋_GB2312" w:eastAsia="仿宋_GB2312"/>
          <w:lang w:val="en-US" w:eastAsia="zh-CN"/>
        </w:rPr>
        <w:t>等产业领域的融合应用</w:t>
      </w:r>
      <w:r>
        <w:rPr>
          <w:rFonts w:hint="default"/>
          <w:lang w:val="en-US" w:eastAsia="zh-CN"/>
        </w:rPr>
        <w:t>。</w:t>
      </w:r>
    </w:p>
    <w:tbl>
      <w:tblPr>
        <w:tblStyle w:val="18"/>
        <w:tblW w:w="5000" w:type="pct"/>
        <w:jc w:val="center"/>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Layout w:type="fixed"/>
        <w:tblCellMar>
          <w:top w:w="0" w:type="dxa"/>
          <w:left w:w="108" w:type="dxa"/>
          <w:bottom w:w="0" w:type="dxa"/>
          <w:right w:w="108" w:type="dxa"/>
        </w:tblCellMar>
      </w:tblPr>
      <w:tblGrid>
        <w:gridCol w:w="426"/>
        <w:gridCol w:w="2698"/>
        <w:gridCol w:w="5398"/>
      </w:tblGrid>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283" w:hRule="atLeast"/>
          <w:jc w:val="center"/>
        </w:trPr>
        <w:tc>
          <w:tcPr>
            <w:tcW w:w="8522" w:type="dxa"/>
            <w:gridSpan w:val="3"/>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楷体" w:hAnsi="楷体" w:eastAsia="楷体" w:cs="楷体"/>
                <w:b/>
                <w:bCs/>
                <w:sz w:val="24"/>
                <w:szCs w:val="24"/>
                <w:lang w:val="en-US" w:eastAsia="zh-CN"/>
              </w:rPr>
            </w:pPr>
            <w:r>
              <w:rPr>
                <w:rFonts w:hint="eastAsia" w:ascii="楷体" w:hAnsi="楷体" w:eastAsia="楷体" w:cs="楷体"/>
                <w:b/>
                <w:bCs/>
                <w:sz w:val="24"/>
                <w:szCs w:val="24"/>
                <w:lang w:val="en-US" w:eastAsia="zh-CN"/>
              </w:rPr>
              <w:t>专栏8  崖州发展热带特色高效农业上位政策规划出处和原文</w:t>
            </w:r>
          </w:p>
        </w:tc>
      </w:tr>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cantSplit/>
          <w:trHeight w:val="283" w:hRule="atLeast"/>
          <w:jc w:val="center"/>
        </w:trPr>
        <w:tc>
          <w:tcPr>
            <w:tcW w:w="426"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楷体" w:hAnsi="楷体" w:eastAsia="楷体" w:cs="楷体"/>
                <w:b w:val="0"/>
                <w:bCs w:val="0"/>
                <w:kern w:val="2"/>
                <w:sz w:val="24"/>
                <w:szCs w:val="24"/>
                <w:vertAlign w:val="baseline"/>
                <w:lang w:val="en-US" w:eastAsia="zh-CN" w:bidi="ar-SA"/>
              </w:rPr>
            </w:pPr>
          </w:p>
        </w:tc>
        <w:tc>
          <w:tcPr>
            <w:tcW w:w="2698"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楷体" w:hAnsi="楷体" w:eastAsia="楷体" w:cs="楷体"/>
                <w:b w:val="0"/>
                <w:bCs w:val="0"/>
                <w:kern w:val="2"/>
                <w:sz w:val="24"/>
                <w:szCs w:val="24"/>
                <w:vertAlign w:val="baseline"/>
                <w:lang w:val="en-US" w:eastAsia="zh-CN" w:bidi="ar-SA"/>
              </w:rPr>
            </w:pPr>
            <w:r>
              <w:rPr>
                <w:rFonts w:hint="eastAsia" w:ascii="楷体" w:hAnsi="楷体" w:eastAsia="楷体" w:cs="楷体"/>
                <w:b w:val="0"/>
                <w:bCs w:val="0"/>
                <w:kern w:val="2"/>
                <w:sz w:val="24"/>
                <w:szCs w:val="24"/>
                <w:vertAlign w:val="baseline"/>
                <w:lang w:val="en-US" w:eastAsia="zh-CN" w:bidi="ar-SA"/>
              </w:rPr>
              <w:t>出处</w:t>
            </w:r>
          </w:p>
        </w:tc>
        <w:tc>
          <w:tcPr>
            <w:tcW w:w="5398"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楷体" w:hAnsi="楷体" w:eastAsia="楷体" w:cs="楷体"/>
                <w:b w:val="0"/>
                <w:bCs w:val="0"/>
                <w:kern w:val="2"/>
                <w:sz w:val="24"/>
                <w:szCs w:val="24"/>
                <w:vertAlign w:val="baseline"/>
                <w:lang w:val="en-US" w:eastAsia="zh-CN" w:bidi="ar-SA"/>
              </w:rPr>
            </w:pPr>
            <w:r>
              <w:rPr>
                <w:rFonts w:hint="eastAsia" w:ascii="楷体" w:hAnsi="楷体" w:eastAsia="楷体" w:cs="楷体"/>
                <w:b w:val="0"/>
                <w:bCs w:val="0"/>
                <w:kern w:val="2"/>
                <w:sz w:val="24"/>
                <w:szCs w:val="24"/>
                <w:vertAlign w:val="baseline"/>
                <w:lang w:val="en-US" w:eastAsia="zh-CN" w:bidi="ar-SA"/>
              </w:rPr>
              <w:t>原文</w:t>
            </w:r>
          </w:p>
        </w:tc>
      </w:tr>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283" w:hRule="atLeast"/>
          <w:jc w:val="center"/>
        </w:trPr>
        <w:tc>
          <w:tcPr>
            <w:tcW w:w="426"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楷体" w:hAnsi="楷体" w:eastAsia="楷体" w:cs="楷体"/>
                <w:sz w:val="24"/>
                <w:szCs w:val="24"/>
                <w:vertAlign w:val="baseline"/>
                <w:lang w:val="en-US" w:eastAsia="zh-CN"/>
              </w:rPr>
            </w:pPr>
            <w:r>
              <w:rPr>
                <w:rFonts w:hint="eastAsia" w:ascii="楷体" w:hAnsi="楷体" w:eastAsia="楷体" w:cs="楷体"/>
                <w:sz w:val="24"/>
                <w:szCs w:val="24"/>
                <w:vertAlign w:val="baseline"/>
                <w:lang w:val="en-US" w:eastAsia="zh-CN"/>
              </w:rPr>
              <w:t>1</w:t>
            </w:r>
          </w:p>
        </w:tc>
        <w:tc>
          <w:tcPr>
            <w:tcW w:w="2698"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楷体" w:hAnsi="楷体" w:eastAsia="楷体" w:cs="楷体"/>
                <w:b w:val="0"/>
                <w:bCs w:val="0"/>
                <w:kern w:val="2"/>
                <w:sz w:val="24"/>
                <w:szCs w:val="24"/>
                <w:vertAlign w:val="baseline"/>
                <w:lang w:val="en-US" w:eastAsia="zh-CN" w:bidi="ar-SA"/>
              </w:rPr>
            </w:pPr>
            <w:r>
              <w:rPr>
                <w:rFonts w:hint="eastAsia" w:ascii="楷体" w:hAnsi="楷体" w:eastAsia="楷体" w:cs="楷体"/>
                <w:b w:val="0"/>
                <w:bCs w:val="0"/>
                <w:kern w:val="2"/>
                <w:sz w:val="24"/>
                <w:szCs w:val="24"/>
                <w:vertAlign w:val="baseline"/>
                <w:lang w:val="en-US" w:eastAsia="zh-CN" w:bidi="ar-SA"/>
              </w:rPr>
              <w:t>《海南自由贸易港建设总体方案》</w:t>
            </w:r>
          </w:p>
        </w:tc>
        <w:tc>
          <w:tcPr>
            <w:tcW w:w="5398"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480" w:firstLineChars="200"/>
              <w:textAlignment w:val="auto"/>
              <w:rPr>
                <w:rFonts w:hint="eastAsia" w:ascii="楷体" w:hAnsi="楷体" w:eastAsia="楷体" w:cs="楷体"/>
                <w:kern w:val="2"/>
                <w:sz w:val="24"/>
                <w:szCs w:val="24"/>
                <w:vertAlign w:val="baseline"/>
                <w:lang w:val="en-US" w:eastAsia="zh-CN" w:bidi="ar"/>
              </w:rPr>
            </w:pPr>
            <w:r>
              <w:rPr>
                <w:rFonts w:hint="eastAsia" w:ascii="楷体" w:hAnsi="楷体" w:eastAsia="楷体" w:cs="楷体"/>
                <w:sz w:val="24"/>
                <w:szCs w:val="24"/>
                <w:vertAlign w:val="baseline"/>
                <w:lang w:val="en-US" w:eastAsia="zh-CN" w:bidi="ar"/>
              </w:rPr>
              <w:t>发挥国家南繁科研育种基地优势，建设全球热带农业中心和全球动植物种质资源引进中转基地。</w:t>
            </w:r>
          </w:p>
        </w:tc>
      </w:tr>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283" w:hRule="atLeast"/>
          <w:jc w:val="center"/>
        </w:trPr>
        <w:tc>
          <w:tcPr>
            <w:tcW w:w="426"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楷体" w:hAnsi="楷体" w:eastAsia="楷体" w:cs="楷体"/>
                <w:kern w:val="2"/>
                <w:sz w:val="24"/>
                <w:szCs w:val="24"/>
                <w:vertAlign w:val="baseline"/>
                <w:lang w:val="en-US" w:eastAsia="zh-CN" w:bidi="ar-SA"/>
              </w:rPr>
            </w:pPr>
            <w:r>
              <w:rPr>
                <w:rFonts w:hint="eastAsia" w:ascii="楷体" w:hAnsi="楷体" w:eastAsia="楷体" w:cs="楷体"/>
                <w:sz w:val="24"/>
                <w:szCs w:val="24"/>
                <w:vertAlign w:val="baseline"/>
                <w:lang w:val="en-US" w:eastAsia="zh-CN"/>
              </w:rPr>
              <w:t>2</w:t>
            </w:r>
          </w:p>
        </w:tc>
        <w:tc>
          <w:tcPr>
            <w:tcW w:w="2698"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楷体" w:hAnsi="楷体" w:eastAsia="楷体" w:cs="楷体"/>
                <w:kern w:val="2"/>
                <w:sz w:val="24"/>
                <w:szCs w:val="24"/>
                <w:vertAlign w:val="baseline"/>
                <w:lang w:val="en-US" w:eastAsia="zh-CN" w:bidi="ar-SA"/>
              </w:rPr>
            </w:pPr>
            <w:r>
              <w:rPr>
                <w:rFonts w:hint="default" w:ascii="楷体" w:hAnsi="楷体" w:eastAsia="楷体" w:cs="楷体"/>
                <w:sz w:val="24"/>
                <w:szCs w:val="24"/>
                <w:vertAlign w:val="baseline"/>
                <w:lang w:val="en-US" w:eastAsia="zh-CN"/>
              </w:rPr>
              <w:t>《中共中央国务院关于支持海南全面深化改革开放的指导意见》</w:t>
            </w:r>
          </w:p>
        </w:tc>
        <w:tc>
          <w:tcPr>
            <w:tcW w:w="5398"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firstLine="480" w:firstLineChars="200"/>
              <w:textAlignment w:val="auto"/>
              <w:rPr>
                <w:rFonts w:hint="eastAsia" w:ascii="楷体" w:hAnsi="楷体" w:eastAsia="楷体" w:cs="楷体"/>
                <w:sz w:val="24"/>
                <w:szCs w:val="24"/>
                <w:vertAlign w:val="baseline"/>
                <w:lang w:val="en-US" w:eastAsia="zh-CN" w:bidi="ar"/>
              </w:rPr>
            </w:pPr>
            <w:r>
              <w:rPr>
                <w:rFonts w:hint="eastAsia" w:ascii="楷体" w:hAnsi="楷体" w:eastAsia="楷体" w:cs="楷体"/>
                <w:sz w:val="24"/>
                <w:szCs w:val="24"/>
                <w:vertAlign w:val="baseline"/>
                <w:lang w:val="en-US" w:eastAsia="zh-CN" w:bidi="ar"/>
              </w:rPr>
              <w:t>加强国家南繁科研育种基地（海南）建设。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480" w:firstLineChars="200"/>
              <w:textAlignment w:val="auto"/>
              <w:rPr>
                <w:rFonts w:hint="eastAsia" w:ascii="楷体" w:hAnsi="楷体" w:eastAsia="楷体" w:cs="楷体"/>
                <w:kern w:val="2"/>
                <w:sz w:val="24"/>
                <w:szCs w:val="24"/>
                <w:vertAlign w:val="baseline"/>
                <w:lang w:val="en-US" w:eastAsia="zh-CN" w:bidi="ar"/>
              </w:rPr>
            </w:pPr>
            <w:r>
              <w:rPr>
                <w:rFonts w:hint="eastAsia" w:ascii="楷体" w:hAnsi="楷体" w:eastAsia="楷体" w:cs="楷体"/>
                <w:sz w:val="24"/>
                <w:szCs w:val="24"/>
                <w:vertAlign w:val="baseline"/>
                <w:lang w:val="en-US" w:eastAsia="zh-CN" w:bidi="ar"/>
              </w:rPr>
              <w:t>做强做优热带特色高效农业，打造国家热带现代农业基地。</w:t>
            </w:r>
          </w:p>
        </w:tc>
      </w:tr>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283" w:hRule="atLeast"/>
          <w:jc w:val="center"/>
        </w:trPr>
        <w:tc>
          <w:tcPr>
            <w:tcW w:w="426"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楷体" w:hAnsi="楷体" w:eastAsia="楷体" w:cs="楷体"/>
                <w:kern w:val="2"/>
                <w:sz w:val="24"/>
                <w:szCs w:val="24"/>
                <w:vertAlign w:val="baseline"/>
                <w:lang w:val="en-US" w:eastAsia="zh-CN" w:bidi="ar-SA"/>
              </w:rPr>
            </w:pPr>
            <w:r>
              <w:rPr>
                <w:rFonts w:hint="eastAsia" w:ascii="楷体" w:hAnsi="楷体" w:eastAsia="楷体" w:cs="楷体"/>
                <w:sz w:val="24"/>
                <w:szCs w:val="24"/>
                <w:vertAlign w:val="baseline"/>
                <w:lang w:val="en-US" w:eastAsia="zh-CN"/>
              </w:rPr>
              <w:t>3</w:t>
            </w:r>
          </w:p>
        </w:tc>
        <w:tc>
          <w:tcPr>
            <w:tcW w:w="2698"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楷体" w:hAnsi="楷体" w:eastAsia="楷体" w:cs="楷体"/>
                <w:b w:val="0"/>
                <w:bCs w:val="0"/>
                <w:kern w:val="2"/>
                <w:sz w:val="24"/>
                <w:szCs w:val="24"/>
                <w:vertAlign w:val="baseline"/>
                <w:lang w:val="en-US" w:eastAsia="zh-CN" w:bidi="ar-SA"/>
              </w:rPr>
            </w:pPr>
            <w:r>
              <w:rPr>
                <w:rFonts w:hint="eastAsia" w:ascii="楷体" w:hAnsi="楷体" w:eastAsia="楷体" w:cs="楷体"/>
                <w:b w:val="0"/>
                <w:bCs w:val="0"/>
                <w:kern w:val="2"/>
                <w:sz w:val="24"/>
                <w:szCs w:val="24"/>
                <w:vertAlign w:val="baseline"/>
                <w:lang w:val="en-US" w:eastAsia="zh-CN" w:bidi="ar-SA"/>
              </w:rPr>
              <w:t>《国家乡村振兴战略规划（2018—2022年）》</w:t>
            </w:r>
          </w:p>
        </w:tc>
        <w:tc>
          <w:tcPr>
            <w:tcW w:w="5398"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480" w:firstLineChars="200"/>
              <w:textAlignment w:val="auto"/>
              <w:rPr>
                <w:rFonts w:hint="eastAsia" w:ascii="楷体" w:hAnsi="楷体" w:eastAsia="楷体" w:cs="楷体"/>
                <w:b w:val="0"/>
                <w:bCs w:val="0"/>
                <w:kern w:val="2"/>
                <w:sz w:val="24"/>
                <w:szCs w:val="24"/>
                <w:vertAlign w:val="baseline"/>
                <w:lang w:val="en-US" w:eastAsia="zh-CN" w:bidi="ar-SA"/>
              </w:rPr>
            </w:pPr>
            <w:r>
              <w:rPr>
                <w:rFonts w:hint="eastAsia" w:ascii="楷体" w:hAnsi="楷体" w:eastAsia="楷体" w:cs="楷体"/>
                <w:b w:val="0"/>
                <w:bCs w:val="0"/>
                <w:kern w:val="2"/>
                <w:sz w:val="24"/>
                <w:szCs w:val="24"/>
                <w:vertAlign w:val="baseline"/>
                <w:lang w:val="en-US" w:eastAsia="zh-CN" w:bidi="ar-SA"/>
              </w:rPr>
              <w:t>把现代种业自主创新能力提升列入农业科技创新支撑重大工程，强调高标准建设国家南繁育种基地。</w:t>
            </w:r>
          </w:p>
        </w:tc>
      </w:tr>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283" w:hRule="atLeast"/>
          <w:jc w:val="center"/>
        </w:trPr>
        <w:tc>
          <w:tcPr>
            <w:tcW w:w="426"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楷体" w:hAnsi="楷体" w:eastAsia="楷体" w:cs="楷体"/>
                <w:kern w:val="2"/>
                <w:sz w:val="24"/>
                <w:szCs w:val="24"/>
                <w:vertAlign w:val="baseline"/>
                <w:lang w:val="en-US" w:eastAsia="zh-CN" w:bidi="ar-SA"/>
              </w:rPr>
            </w:pPr>
            <w:r>
              <w:rPr>
                <w:rFonts w:hint="eastAsia" w:ascii="楷体" w:hAnsi="楷体" w:eastAsia="楷体" w:cs="楷体"/>
                <w:sz w:val="24"/>
                <w:szCs w:val="24"/>
                <w:vertAlign w:val="baseline"/>
                <w:lang w:val="en-US" w:eastAsia="zh-CN"/>
              </w:rPr>
              <w:t>4</w:t>
            </w:r>
          </w:p>
        </w:tc>
        <w:tc>
          <w:tcPr>
            <w:tcW w:w="2698"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楷体" w:hAnsi="楷体" w:eastAsia="楷体" w:cs="楷体"/>
                <w:b w:val="0"/>
                <w:bCs w:val="0"/>
                <w:kern w:val="2"/>
                <w:sz w:val="24"/>
                <w:szCs w:val="24"/>
                <w:vertAlign w:val="baseline"/>
                <w:lang w:val="en-US" w:eastAsia="zh-CN" w:bidi="ar-SA"/>
              </w:rPr>
            </w:pPr>
            <w:r>
              <w:rPr>
                <w:rFonts w:hint="eastAsia" w:ascii="楷体" w:hAnsi="楷体" w:eastAsia="楷体" w:cs="楷体"/>
                <w:b w:val="0"/>
                <w:bCs w:val="0"/>
                <w:kern w:val="2"/>
                <w:sz w:val="24"/>
                <w:szCs w:val="24"/>
                <w:vertAlign w:val="baseline"/>
                <w:lang w:val="en-US" w:eastAsia="zh-CN" w:bidi="ar-SA"/>
              </w:rPr>
              <w:t>农业农村部《关于加快推进国家南繁科研育种基地建设规划落实的通知》</w:t>
            </w:r>
          </w:p>
        </w:tc>
        <w:tc>
          <w:tcPr>
            <w:tcW w:w="5398"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480" w:firstLineChars="200"/>
              <w:textAlignment w:val="auto"/>
              <w:rPr>
                <w:rFonts w:hint="eastAsia" w:ascii="楷体" w:hAnsi="楷体" w:eastAsia="楷体" w:cs="楷体"/>
                <w:b w:val="0"/>
                <w:bCs w:val="0"/>
                <w:kern w:val="2"/>
                <w:sz w:val="24"/>
                <w:szCs w:val="24"/>
                <w:vertAlign w:val="baseline"/>
                <w:lang w:val="en-US" w:eastAsia="zh-CN" w:bidi="ar-SA"/>
              </w:rPr>
            </w:pPr>
            <w:r>
              <w:rPr>
                <w:rFonts w:hint="eastAsia" w:ascii="楷体" w:hAnsi="楷体" w:eastAsia="楷体" w:cs="楷体"/>
                <w:b w:val="0"/>
                <w:bCs w:val="0"/>
                <w:kern w:val="2"/>
                <w:sz w:val="24"/>
                <w:szCs w:val="24"/>
                <w:vertAlign w:val="baseline"/>
                <w:lang w:val="en-US" w:eastAsia="zh-CN" w:bidi="ar-SA"/>
              </w:rPr>
              <w:t>以“一城（南繁科技城及三亚10万亩国家南繁科研育种用地）两区（乐东国家南繁科研育种保护区、陵水国家南繁科研育种保护区）”为重点打造“南繁硅谷”。</w:t>
            </w:r>
          </w:p>
        </w:tc>
      </w:tr>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283" w:hRule="atLeast"/>
          <w:jc w:val="center"/>
        </w:trPr>
        <w:tc>
          <w:tcPr>
            <w:tcW w:w="426"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楷体" w:hAnsi="楷体" w:eastAsia="楷体" w:cs="楷体"/>
                <w:kern w:val="2"/>
                <w:sz w:val="24"/>
                <w:szCs w:val="24"/>
                <w:vertAlign w:val="baseline"/>
                <w:lang w:val="en-US" w:eastAsia="zh-CN" w:bidi="ar-SA"/>
              </w:rPr>
            </w:pPr>
            <w:r>
              <w:rPr>
                <w:rFonts w:hint="eastAsia" w:ascii="楷体" w:hAnsi="楷体" w:eastAsia="楷体" w:cs="楷体"/>
                <w:sz w:val="24"/>
                <w:szCs w:val="24"/>
                <w:vertAlign w:val="baseline"/>
                <w:lang w:val="en-US" w:eastAsia="zh-CN"/>
              </w:rPr>
              <w:t>5</w:t>
            </w:r>
          </w:p>
        </w:tc>
        <w:tc>
          <w:tcPr>
            <w:tcW w:w="2698"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楷体" w:hAnsi="楷体" w:eastAsia="楷体" w:cs="楷体"/>
                <w:kern w:val="2"/>
                <w:sz w:val="24"/>
                <w:szCs w:val="24"/>
                <w:vertAlign w:val="baseline"/>
                <w:lang w:val="en-US" w:eastAsia="zh-CN" w:bidi="ar-SA"/>
              </w:rPr>
            </w:pPr>
            <w:r>
              <w:rPr>
                <w:rFonts w:hint="default" w:ascii="楷体" w:hAnsi="楷体" w:eastAsia="楷体" w:cs="楷体"/>
                <w:sz w:val="24"/>
                <w:szCs w:val="24"/>
                <w:vertAlign w:val="baseline"/>
                <w:lang w:val="en-US" w:eastAsia="zh-CN"/>
              </w:rPr>
              <w:t>《中国（海南）自由贸易试验区总体方案》</w:t>
            </w:r>
          </w:p>
        </w:tc>
        <w:tc>
          <w:tcPr>
            <w:tcW w:w="5398"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firstLine="480" w:firstLineChars="200"/>
              <w:textAlignment w:val="auto"/>
              <w:rPr>
                <w:rFonts w:hint="eastAsia" w:ascii="楷体" w:hAnsi="楷体" w:eastAsia="楷体" w:cs="楷体"/>
                <w:sz w:val="24"/>
                <w:szCs w:val="24"/>
                <w:vertAlign w:val="baseline"/>
                <w:lang w:val="en-US" w:eastAsia="zh-CN" w:bidi="ar"/>
              </w:rPr>
            </w:pPr>
            <w:r>
              <w:rPr>
                <w:rFonts w:hint="eastAsia" w:ascii="楷体" w:hAnsi="楷体" w:eastAsia="楷体" w:cs="楷体"/>
                <w:sz w:val="24"/>
                <w:szCs w:val="24"/>
                <w:vertAlign w:val="baseline"/>
                <w:lang w:val="en-US" w:eastAsia="zh-CN" w:bidi="ar"/>
              </w:rPr>
              <w:t>在种业等重点领域加大开放力度。</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firstLine="480" w:firstLineChars="200"/>
              <w:textAlignment w:val="auto"/>
              <w:rPr>
                <w:rFonts w:hint="eastAsia" w:ascii="楷体" w:hAnsi="楷体" w:eastAsia="楷体" w:cs="楷体"/>
                <w:sz w:val="24"/>
                <w:szCs w:val="24"/>
                <w:vertAlign w:val="baseline"/>
                <w:lang w:val="en-US" w:eastAsia="zh-CN" w:bidi="ar"/>
              </w:rPr>
            </w:pPr>
            <w:r>
              <w:rPr>
                <w:rFonts w:hint="eastAsia" w:ascii="楷体" w:hAnsi="楷体" w:eastAsia="楷体" w:cs="楷体"/>
                <w:sz w:val="24"/>
                <w:szCs w:val="24"/>
                <w:vertAlign w:val="baseline"/>
                <w:lang w:val="en-US" w:eastAsia="zh-CN" w:bidi="ar"/>
              </w:rPr>
              <w:t>取消蔬菜新品种选育和种子生产外资股比限制。</w:t>
            </w:r>
          </w:p>
        </w:tc>
      </w:tr>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283" w:hRule="atLeast"/>
          <w:jc w:val="center"/>
        </w:trPr>
        <w:tc>
          <w:tcPr>
            <w:tcW w:w="426"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楷体" w:hAnsi="楷体" w:eastAsia="楷体" w:cs="楷体"/>
                <w:kern w:val="2"/>
                <w:sz w:val="24"/>
                <w:szCs w:val="24"/>
                <w:vertAlign w:val="baseline"/>
                <w:lang w:val="en-US" w:eastAsia="zh-CN" w:bidi="ar-SA"/>
              </w:rPr>
            </w:pPr>
            <w:r>
              <w:rPr>
                <w:rFonts w:hint="eastAsia" w:ascii="楷体" w:hAnsi="楷体" w:eastAsia="楷体" w:cs="楷体"/>
                <w:sz w:val="24"/>
                <w:szCs w:val="24"/>
                <w:vertAlign w:val="baseline"/>
                <w:lang w:val="en-US" w:eastAsia="zh-CN"/>
              </w:rPr>
              <w:t>6</w:t>
            </w:r>
          </w:p>
        </w:tc>
        <w:tc>
          <w:tcPr>
            <w:tcW w:w="2698"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楷体" w:hAnsi="楷体" w:eastAsia="楷体" w:cs="楷体"/>
                <w:kern w:val="2"/>
                <w:sz w:val="24"/>
                <w:szCs w:val="24"/>
                <w:vertAlign w:val="baseline"/>
                <w:lang w:val="en-US" w:eastAsia="zh-CN" w:bidi="ar-SA"/>
              </w:rPr>
            </w:pPr>
            <w:r>
              <w:rPr>
                <w:rFonts w:hint="default" w:ascii="楷体" w:hAnsi="楷体" w:eastAsia="楷体" w:cs="楷体"/>
                <w:sz w:val="24"/>
                <w:szCs w:val="24"/>
                <w:vertAlign w:val="baseline"/>
                <w:lang w:val="en-US" w:eastAsia="zh-CN"/>
              </w:rPr>
              <w:t>《国家生态文明试验区（海南）实施方案》</w:t>
            </w:r>
          </w:p>
        </w:tc>
        <w:tc>
          <w:tcPr>
            <w:tcW w:w="5398"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firstLine="480" w:firstLineChars="200"/>
              <w:textAlignment w:val="auto"/>
              <w:rPr>
                <w:rFonts w:hint="eastAsia" w:ascii="楷体" w:hAnsi="楷体" w:eastAsia="楷体" w:cs="楷体"/>
                <w:sz w:val="24"/>
                <w:szCs w:val="24"/>
                <w:vertAlign w:val="baseline"/>
                <w:lang w:val="en-US" w:eastAsia="zh-CN" w:bidi="ar"/>
              </w:rPr>
            </w:pPr>
            <w:r>
              <w:rPr>
                <w:rFonts w:hint="eastAsia" w:ascii="楷体" w:hAnsi="楷体" w:eastAsia="楷体" w:cs="楷体"/>
                <w:sz w:val="24"/>
                <w:szCs w:val="24"/>
                <w:vertAlign w:val="baseline"/>
                <w:lang w:val="en-US" w:eastAsia="zh-CN" w:bidi="ar"/>
              </w:rPr>
              <w:t>培育推广绿色优质安全、具有鲜明特色的海南农产品品牌，保护地理标志农产品。</w:t>
            </w:r>
          </w:p>
        </w:tc>
      </w:tr>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283" w:hRule="atLeast"/>
          <w:jc w:val="center"/>
        </w:trPr>
        <w:tc>
          <w:tcPr>
            <w:tcW w:w="426"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楷体" w:hAnsi="楷体" w:eastAsia="楷体" w:cs="楷体"/>
                <w:kern w:val="2"/>
                <w:sz w:val="24"/>
                <w:szCs w:val="24"/>
                <w:vertAlign w:val="baseline"/>
                <w:lang w:val="en-US" w:eastAsia="zh-CN" w:bidi="ar-SA"/>
              </w:rPr>
            </w:pPr>
            <w:r>
              <w:rPr>
                <w:rFonts w:hint="eastAsia" w:ascii="楷体" w:hAnsi="楷体" w:eastAsia="楷体" w:cs="楷体"/>
                <w:sz w:val="24"/>
                <w:szCs w:val="24"/>
                <w:vertAlign w:val="baseline"/>
                <w:lang w:val="en-US" w:eastAsia="zh-CN"/>
              </w:rPr>
              <w:t>7</w:t>
            </w:r>
          </w:p>
        </w:tc>
        <w:tc>
          <w:tcPr>
            <w:tcW w:w="2698"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楷体" w:hAnsi="楷体" w:eastAsia="楷体" w:cs="楷体"/>
                <w:kern w:val="2"/>
                <w:sz w:val="24"/>
                <w:szCs w:val="24"/>
                <w:vertAlign w:val="baseline"/>
                <w:lang w:val="en-US" w:eastAsia="zh-CN" w:bidi="ar-SA"/>
              </w:rPr>
            </w:pPr>
            <w:r>
              <w:rPr>
                <w:rFonts w:hint="default" w:ascii="楷体" w:hAnsi="楷体" w:eastAsia="楷体" w:cs="楷体"/>
                <w:sz w:val="24"/>
                <w:szCs w:val="24"/>
                <w:vertAlign w:val="baseline"/>
                <w:lang w:val="en-US" w:eastAsia="zh-CN"/>
              </w:rPr>
              <w:t>科技部 海南省人民政府关于印发《加快海南科技创新开放发展实施方案》的通知</w:t>
            </w:r>
          </w:p>
        </w:tc>
        <w:tc>
          <w:tcPr>
            <w:tcW w:w="5398"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firstLine="480" w:firstLineChars="200"/>
              <w:textAlignment w:val="auto"/>
              <w:rPr>
                <w:rFonts w:hint="eastAsia" w:ascii="楷体" w:hAnsi="楷体" w:eastAsia="楷体" w:cs="楷体"/>
                <w:sz w:val="24"/>
                <w:szCs w:val="24"/>
                <w:vertAlign w:val="baseline"/>
                <w:lang w:val="en-US" w:eastAsia="zh-CN" w:bidi="ar"/>
              </w:rPr>
            </w:pPr>
            <w:r>
              <w:rPr>
                <w:rFonts w:hint="eastAsia" w:ascii="楷体" w:hAnsi="楷体" w:eastAsia="楷体" w:cs="楷体"/>
                <w:sz w:val="24"/>
                <w:szCs w:val="24"/>
                <w:vertAlign w:val="baseline"/>
                <w:lang w:val="en-US" w:eastAsia="zh-CN" w:bidi="ar"/>
              </w:rPr>
              <w:t>以热带特色高效农业为主题培育建设国家农业高新技术产业示范区，做强做优热带特色高效农业。</w:t>
            </w:r>
          </w:p>
        </w:tc>
      </w:tr>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283" w:hRule="atLeast"/>
          <w:jc w:val="center"/>
        </w:trPr>
        <w:tc>
          <w:tcPr>
            <w:tcW w:w="426" w:type="dxa"/>
            <w:tcBorders>
              <w:bottom w:val="nil"/>
            </w:tcBorders>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楷体" w:hAnsi="楷体" w:eastAsia="楷体" w:cs="楷体"/>
                <w:kern w:val="2"/>
                <w:sz w:val="24"/>
                <w:szCs w:val="24"/>
                <w:vertAlign w:val="baseline"/>
                <w:lang w:val="en-US" w:eastAsia="zh-CN" w:bidi="ar-SA"/>
              </w:rPr>
            </w:pPr>
            <w:r>
              <w:rPr>
                <w:rFonts w:hint="eastAsia" w:ascii="楷体" w:hAnsi="楷体" w:eastAsia="楷体" w:cs="楷体"/>
                <w:sz w:val="24"/>
                <w:szCs w:val="24"/>
                <w:vertAlign w:val="baseline"/>
                <w:lang w:val="en-US" w:eastAsia="zh-CN"/>
              </w:rPr>
              <w:t>8</w:t>
            </w:r>
          </w:p>
        </w:tc>
        <w:tc>
          <w:tcPr>
            <w:tcW w:w="2698" w:type="dxa"/>
            <w:tcBorders>
              <w:bottom w:val="nil"/>
            </w:tcBorders>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楷体" w:hAnsi="楷体" w:eastAsia="楷体" w:cs="楷体"/>
                <w:kern w:val="2"/>
                <w:sz w:val="24"/>
                <w:szCs w:val="24"/>
                <w:vertAlign w:val="baseline"/>
                <w:lang w:val="en-US" w:eastAsia="zh-CN" w:bidi="ar-SA"/>
              </w:rPr>
            </w:pPr>
            <w:r>
              <w:rPr>
                <w:rFonts w:hint="eastAsia" w:ascii="楷体" w:hAnsi="楷体" w:eastAsia="楷体" w:cs="楷体"/>
                <w:sz w:val="24"/>
                <w:szCs w:val="24"/>
                <w:vertAlign w:val="baseline"/>
              </w:rPr>
              <w:t>农业农村部贯彻落实《中共中央国务院关于支持海南全面深化改革开放的指导意见》实施方案</w:t>
            </w:r>
          </w:p>
        </w:tc>
        <w:tc>
          <w:tcPr>
            <w:tcW w:w="5398" w:type="dxa"/>
            <w:tcBorders>
              <w:bottom w:val="nil"/>
            </w:tcBorders>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firstLine="480" w:firstLineChars="200"/>
              <w:textAlignment w:val="auto"/>
              <w:rPr>
                <w:rFonts w:hint="eastAsia" w:ascii="楷体" w:hAnsi="楷体" w:eastAsia="楷体" w:cs="楷体"/>
                <w:sz w:val="24"/>
                <w:szCs w:val="24"/>
                <w:vertAlign w:val="baseline"/>
                <w:lang w:val="en-US" w:eastAsia="zh-CN" w:bidi="ar"/>
              </w:rPr>
            </w:pPr>
            <w:r>
              <w:rPr>
                <w:rFonts w:hint="eastAsia" w:ascii="楷体" w:hAnsi="楷体" w:eastAsia="楷体" w:cs="楷体"/>
                <w:sz w:val="24"/>
                <w:szCs w:val="24"/>
                <w:vertAlign w:val="baseline"/>
                <w:lang w:val="en-US" w:eastAsia="zh-CN" w:bidi="ar"/>
              </w:rPr>
              <w:t>支持在南繁科技城周边新划定配套科研育种用地，享受南繁核心区相关支持政策，抓紧科研育种用地流转等工作，吸引更多南繁单位和育种企业落户南繁科技城周边。</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firstLine="480" w:firstLineChars="200"/>
              <w:textAlignment w:val="auto"/>
              <w:rPr>
                <w:rFonts w:hint="eastAsia" w:ascii="楷体" w:hAnsi="楷体" w:eastAsia="楷体" w:cs="楷体"/>
                <w:sz w:val="24"/>
                <w:szCs w:val="24"/>
                <w:vertAlign w:val="baseline"/>
                <w:lang w:val="en-US" w:eastAsia="zh-CN" w:bidi="ar"/>
              </w:rPr>
            </w:pPr>
            <w:r>
              <w:rPr>
                <w:rFonts w:hint="eastAsia" w:ascii="楷体" w:hAnsi="楷体" w:eastAsia="楷体" w:cs="楷体"/>
                <w:sz w:val="24"/>
                <w:szCs w:val="24"/>
                <w:vertAlign w:val="baseline"/>
                <w:lang w:val="en-US" w:eastAsia="zh-CN" w:bidi="ar"/>
              </w:rPr>
              <w:t>强化互联网+、物联网、大数据等现代信息技术运用，推动建设以热带优质高效农业为主题的海南国家农业高新技术产业示范区。</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firstLine="480" w:firstLineChars="200"/>
              <w:textAlignment w:val="auto"/>
              <w:rPr>
                <w:rFonts w:hint="eastAsia" w:ascii="楷体" w:hAnsi="楷体" w:eastAsia="楷体" w:cs="楷体"/>
                <w:sz w:val="24"/>
                <w:szCs w:val="24"/>
                <w:vertAlign w:val="baseline"/>
                <w:lang w:val="en-US" w:eastAsia="zh-CN" w:bidi="ar"/>
              </w:rPr>
            </w:pPr>
            <w:r>
              <w:rPr>
                <w:rFonts w:hint="eastAsia" w:ascii="楷体" w:hAnsi="楷体" w:eastAsia="楷体" w:cs="楷体"/>
                <w:sz w:val="24"/>
                <w:szCs w:val="24"/>
                <w:vertAlign w:val="baseline"/>
                <w:lang w:val="en-US" w:eastAsia="zh-CN" w:bidi="ar"/>
              </w:rPr>
              <w:t>加强海南热带农产品品牌建设。积极创建特色农产品优势区，实施特色化标准化果园改造行动计划，加快区域公用品牌和知名企业品牌培育。</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firstLine="480" w:firstLineChars="200"/>
              <w:textAlignment w:val="auto"/>
              <w:rPr>
                <w:rFonts w:hint="eastAsia" w:ascii="楷体" w:hAnsi="楷体" w:eastAsia="楷体" w:cs="楷体"/>
                <w:sz w:val="24"/>
                <w:szCs w:val="24"/>
                <w:vertAlign w:val="baseline"/>
                <w:lang w:val="en-US" w:eastAsia="zh-CN" w:bidi="ar"/>
              </w:rPr>
            </w:pPr>
            <w:r>
              <w:rPr>
                <w:rFonts w:hint="eastAsia" w:ascii="楷体" w:hAnsi="楷体" w:eastAsia="楷体" w:cs="楷体"/>
                <w:sz w:val="24"/>
                <w:szCs w:val="24"/>
                <w:vertAlign w:val="baseline"/>
                <w:lang w:val="en-US" w:eastAsia="zh-CN" w:bidi="ar"/>
              </w:rPr>
              <w:t>支持创建出口农产品生产基地和优势区。突出海南热带作物优势，对接国际进出口标准，强化质量管控、市场营销等，支持海南建设出口农产品生产基地，扩大出口、带动热带产业发展。</w:t>
            </w:r>
          </w:p>
        </w:tc>
      </w:tr>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283" w:hRule="atLeast"/>
          <w:jc w:val="center"/>
        </w:trPr>
        <w:tc>
          <w:tcPr>
            <w:tcW w:w="426" w:type="dxa"/>
            <w:tcBorders>
              <w:bottom w:val="thickThinSmallGap" w:color="A4A4A4" w:sz="12" w:space="0"/>
            </w:tcBorders>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楷体" w:hAnsi="楷体" w:eastAsia="楷体" w:cs="楷体"/>
                <w:sz w:val="24"/>
                <w:szCs w:val="24"/>
                <w:vertAlign w:val="baseline"/>
                <w:lang w:val="en-US" w:eastAsia="zh-CN"/>
              </w:rPr>
            </w:pPr>
            <w:r>
              <w:rPr>
                <w:rFonts w:hint="eastAsia" w:ascii="楷体" w:hAnsi="楷体" w:eastAsia="楷体" w:cs="楷体"/>
                <w:sz w:val="24"/>
                <w:szCs w:val="24"/>
                <w:vertAlign w:val="baseline"/>
                <w:lang w:val="en-US" w:eastAsia="zh-CN"/>
              </w:rPr>
              <w:t>9</w:t>
            </w:r>
          </w:p>
        </w:tc>
        <w:tc>
          <w:tcPr>
            <w:tcW w:w="2698" w:type="dxa"/>
            <w:tcBorders>
              <w:bottom w:val="thickThinSmallGap" w:color="A4A4A4" w:sz="12" w:space="0"/>
            </w:tcBorders>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楷体" w:hAnsi="楷体" w:eastAsia="楷体" w:cs="楷体"/>
                <w:kern w:val="2"/>
                <w:sz w:val="24"/>
                <w:szCs w:val="24"/>
                <w:vertAlign w:val="baseline"/>
                <w:lang w:val="en-US" w:eastAsia="zh-CN" w:bidi="ar-SA"/>
              </w:rPr>
            </w:pPr>
            <w:r>
              <w:rPr>
                <w:rFonts w:hint="eastAsia" w:ascii="楷体" w:hAnsi="楷体" w:eastAsia="楷体" w:cs="楷体"/>
                <w:sz w:val="24"/>
                <w:szCs w:val="24"/>
                <w:vertAlign w:val="baseline"/>
              </w:rPr>
              <w:t>《2020年度推进5G网络建设和应用工作计划》（海南省信息化建设领导小组办公室）</w:t>
            </w:r>
          </w:p>
        </w:tc>
        <w:tc>
          <w:tcPr>
            <w:tcW w:w="5398" w:type="dxa"/>
            <w:tcBorders>
              <w:bottom w:val="thickThinSmallGap" w:color="A4A4A4" w:sz="12" w:space="0"/>
            </w:tcBorders>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firstLine="480" w:firstLineChars="200"/>
              <w:textAlignment w:val="auto"/>
              <w:rPr>
                <w:rFonts w:hint="eastAsia" w:ascii="楷体" w:hAnsi="楷体" w:eastAsia="楷体" w:cs="楷体"/>
                <w:sz w:val="24"/>
                <w:szCs w:val="24"/>
                <w:vertAlign w:val="baseline"/>
                <w:lang w:val="en-US" w:eastAsia="zh-CN" w:bidi="ar"/>
              </w:rPr>
            </w:pPr>
            <w:r>
              <w:rPr>
                <w:rFonts w:hint="eastAsia" w:ascii="楷体" w:hAnsi="楷体" w:eastAsia="楷体" w:cs="楷体"/>
                <w:sz w:val="24"/>
                <w:szCs w:val="24"/>
                <w:vertAlign w:val="baseline"/>
                <w:lang w:val="en-US" w:eastAsia="zh-CN" w:bidi="ar"/>
              </w:rPr>
              <w:t>三亚市策划实施5G应用项目不少于8个。推进5G重大应用领域发展,支持5G技术在智慧农业等产业领域的融合应用，提高生产管理智慧化能力。</w:t>
            </w:r>
          </w:p>
        </w:tc>
      </w:tr>
    </w:tbl>
    <w:p>
      <w:pPr>
        <w:pStyle w:val="4"/>
        <w:bidi w:val="0"/>
        <w:rPr>
          <w:rFonts w:hint="eastAsia"/>
          <w:lang w:val="en-US" w:eastAsia="zh-CN"/>
        </w:rPr>
      </w:pPr>
      <w:bookmarkStart w:id="170" w:name="_Toc698"/>
      <w:bookmarkStart w:id="171" w:name="_Toc11355"/>
      <w:bookmarkStart w:id="172" w:name="_Toc13924"/>
      <w:r>
        <w:rPr>
          <w:rFonts w:hint="eastAsia"/>
          <w:lang w:val="en-US" w:eastAsia="zh-CN"/>
        </w:rPr>
        <w:t>二、现代渔业政策解读</w:t>
      </w:r>
      <w:bookmarkEnd w:id="170"/>
      <w:bookmarkEnd w:id="171"/>
      <w:bookmarkEnd w:id="172"/>
    </w:p>
    <w:p>
      <w:pPr>
        <w:pStyle w:val="5"/>
        <w:numPr>
          <w:ilvl w:val="0"/>
          <w:numId w:val="12"/>
        </w:numPr>
        <w:bidi w:val="0"/>
        <w:rPr>
          <w:rFonts w:hint="eastAsia"/>
          <w:lang w:val="en-US" w:eastAsia="zh-CN"/>
        </w:rPr>
      </w:pPr>
      <w:bookmarkStart w:id="173" w:name="_Toc19321"/>
      <w:bookmarkStart w:id="174" w:name="_Toc4487"/>
      <w:bookmarkStart w:id="175" w:name="_Toc14483"/>
      <w:r>
        <w:rPr>
          <w:rFonts w:hint="eastAsia"/>
          <w:lang w:val="en-US" w:eastAsia="zh-CN"/>
        </w:rPr>
        <w:t>提高战略支撑保障能力</w:t>
      </w:r>
      <w:bookmarkEnd w:id="173"/>
      <w:bookmarkEnd w:id="174"/>
      <w:bookmarkEnd w:id="175"/>
    </w:p>
    <w:p>
      <w:pPr>
        <w:rPr>
          <w:rFonts w:hint="default"/>
          <w:lang w:val="en-US" w:eastAsia="zh-CN"/>
        </w:rPr>
      </w:pPr>
      <w:r>
        <w:rPr>
          <w:rFonts w:hint="default"/>
          <w:lang w:val="en-US" w:eastAsia="zh-CN"/>
        </w:rPr>
        <w:t>加快完善渔业基础设施，显著提升我国对管辖海域的</w:t>
      </w:r>
      <w:r>
        <w:rPr>
          <w:rFonts w:hint="default"/>
          <w:b/>
          <w:bCs/>
          <w:lang w:val="en-US" w:eastAsia="zh-CN"/>
        </w:rPr>
        <w:t>综合管控和开发</w:t>
      </w:r>
      <w:r>
        <w:rPr>
          <w:rFonts w:hint="default"/>
          <w:lang w:val="en-US" w:eastAsia="zh-CN"/>
        </w:rPr>
        <w:t>能力。</w:t>
      </w:r>
    </w:p>
    <w:p>
      <w:pPr>
        <w:pStyle w:val="5"/>
        <w:numPr>
          <w:ilvl w:val="0"/>
          <w:numId w:val="12"/>
        </w:numPr>
        <w:bidi w:val="0"/>
        <w:rPr>
          <w:rFonts w:hint="eastAsia"/>
          <w:lang w:val="en-US" w:eastAsia="zh-CN"/>
        </w:rPr>
      </w:pPr>
      <w:bookmarkStart w:id="176" w:name="_Toc443"/>
      <w:bookmarkStart w:id="177" w:name="_Toc30819"/>
      <w:bookmarkStart w:id="178" w:name="_Toc12168"/>
      <w:r>
        <w:rPr>
          <w:rFonts w:hint="eastAsia"/>
          <w:lang w:val="en-US" w:eastAsia="zh-CN"/>
        </w:rPr>
        <w:t>发展渔港经济、建设保税渔港</w:t>
      </w:r>
      <w:bookmarkEnd w:id="176"/>
      <w:bookmarkEnd w:id="177"/>
      <w:bookmarkEnd w:id="178"/>
    </w:p>
    <w:p>
      <w:pPr>
        <w:rPr>
          <w:rFonts w:hint="eastAsia"/>
          <w:lang w:val="en-US" w:eastAsia="zh-CN"/>
        </w:rPr>
      </w:pPr>
      <w:r>
        <w:rPr>
          <w:rFonts w:hint="eastAsia" w:ascii="仿宋_GB2312" w:eastAsia="仿宋_GB2312"/>
          <w:lang w:val="en-US" w:eastAsia="zh-CN"/>
        </w:rPr>
        <w:t>建设大三亚圈渔港经济区，三亚崖州中心渔港是全国规划建设</w:t>
      </w:r>
      <w:r>
        <w:rPr>
          <w:rFonts w:hint="eastAsia" w:ascii="仿宋_GB2312" w:eastAsia="仿宋_GB2312"/>
          <w:b/>
          <w:bCs/>
          <w:lang w:val="en-US" w:eastAsia="zh-CN"/>
        </w:rPr>
        <w:t>93个渔港经济区之一</w:t>
      </w:r>
      <w:r>
        <w:rPr>
          <w:rFonts w:hint="eastAsia" w:ascii="仿宋_GB2312" w:eastAsia="仿宋_GB2312"/>
          <w:lang w:val="en-US" w:eastAsia="zh-CN"/>
        </w:rPr>
        <w:t>，是中国最南的渔港经济区。完善渔港配套设施和基本服务功能，发展</w:t>
      </w:r>
      <w:r>
        <w:rPr>
          <w:rFonts w:hint="eastAsia" w:ascii="仿宋_GB2312" w:eastAsia="仿宋_GB2312"/>
          <w:b/>
          <w:bCs/>
          <w:lang w:val="en-US" w:eastAsia="zh-CN"/>
        </w:rPr>
        <w:t>水产品加工、冷链物流、市场交易</w:t>
      </w:r>
      <w:r>
        <w:rPr>
          <w:rFonts w:hint="eastAsia" w:ascii="仿宋_GB2312" w:eastAsia="仿宋_GB2312"/>
          <w:lang w:val="en-US" w:eastAsia="zh-CN"/>
        </w:rPr>
        <w:t>等渔区二、三产业。</w:t>
      </w:r>
    </w:p>
    <w:p>
      <w:pPr>
        <w:rPr>
          <w:rFonts w:hint="eastAsia"/>
          <w:lang w:val="en-US" w:eastAsia="zh-CN"/>
        </w:rPr>
      </w:pPr>
      <w:r>
        <w:rPr>
          <w:rFonts w:hint="eastAsia" w:ascii="仿宋_GB2312" w:eastAsia="仿宋_GB2312"/>
          <w:lang w:val="en-US" w:eastAsia="zh-CN"/>
        </w:rPr>
        <w:t>推动</w:t>
      </w:r>
      <w:r>
        <w:rPr>
          <w:rFonts w:hint="eastAsia" w:ascii="仿宋_GB2312" w:eastAsia="仿宋_GB2312"/>
          <w:b/>
          <w:bCs/>
          <w:lang w:val="en-US" w:eastAsia="zh-CN"/>
        </w:rPr>
        <w:t>保税渔港</w:t>
      </w:r>
      <w:r>
        <w:rPr>
          <w:rFonts w:hint="eastAsia" w:ascii="仿宋_GB2312" w:eastAsia="仿宋_GB2312"/>
          <w:lang w:val="en-US" w:eastAsia="zh-CN"/>
        </w:rPr>
        <w:t>，一方面提供后方基地和安全保障，另一方面为推动海上丝绸之路建设、加强国际渔业合作、促进海洋渔业的可持续发展提供有效支撑。</w:t>
      </w:r>
    </w:p>
    <w:p>
      <w:pPr>
        <w:pStyle w:val="5"/>
        <w:numPr>
          <w:ilvl w:val="0"/>
          <w:numId w:val="12"/>
        </w:numPr>
        <w:bidi w:val="0"/>
        <w:rPr>
          <w:rFonts w:hint="default"/>
          <w:lang w:val="en-US" w:eastAsia="zh-CN"/>
        </w:rPr>
      </w:pPr>
      <w:bookmarkStart w:id="179" w:name="_Toc31525"/>
      <w:bookmarkStart w:id="180" w:name="_Toc1465"/>
      <w:bookmarkStart w:id="181" w:name="_Toc16630"/>
      <w:r>
        <w:rPr>
          <w:rFonts w:hint="eastAsia"/>
          <w:lang w:val="en-US" w:eastAsia="zh-CN"/>
        </w:rPr>
        <w:t>实现渔业现代化</w:t>
      </w:r>
      <w:bookmarkEnd w:id="179"/>
      <w:bookmarkEnd w:id="180"/>
      <w:bookmarkEnd w:id="181"/>
    </w:p>
    <w:p>
      <w:pPr>
        <w:rPr>
          <w:rFonts w:hint="default"/>
          <w:lang w:val="en-US" w:eastAsia="zh-CN"/>
        </w:rPr>
      </w:pPr>
      <w:r>
        <w:rPr>
          <w:rFonts w:hint="default"/>
          <w:lang w:val="en-US" w:eastAsia="zh-CN"/>
        </w:rPr>
        <w:t>建设现代化海洋牧场</w:t>
      </w:r>
      <w:r>
        <w:rPr>
          <w:rFonts w:hint="eastAsia" w:ascii="仿宋_GB2312" w:eastAsia="仿宋_GB2312"/>
          <w:lang w:val="en-US" w:eastAsia="zh-CN"/>
        </w:rPr>
        <w:t>，</w:t>
      </w:r>
      <w:r>
        <w:rPr>
          <w:rFonts w:hint="default"/>
          <w:lang w:val="en-US" w:eastAsia="zh-CN"/>
        </w:rPr>
        <w:t>发展深水抗风浪网箱养殖，建设以智能化养殖渔场、养殖工船等为核心的深远海大型工程化装备化养殖项目，发展集约化工厂循环水养殖</w:t>
      </w:r>
      <w:r>
        <w:rPr>
          <w:rFonts w:hint="eastAsia" w:ascii="仿宋_GB2312" w:eastAsia="仿宋_GB2312"/>
          <w:lang w:val="en-US" w:eastAsia="zh-CN"/>
        </w:rPr>
        <w:t>，</w:t>
      </w:r>
      <w:r>
        <w:rPr>
          <w:rFonts w:hint="default"/>
          <w:lang w:val="en-US" w:eastAsia="zh-CN"/>
        </w:rPr>
        <w:t>推进</w:t>
      </w:r>
      <w:r>
        <w:rPr>
          <w:rFonts w:hint="default"/>
          <w:b/>
          <w:bCs/>
          <w:lang w:val="en-US" w:eastAsia="zh-CN"/>
        </w:rPr>
        <w:t>水产养殖工业化</w:t>
      </w:r>
      <w:r>
        <w:rPr>
          <w:rFonts w:hint="eastAsia" w:ascii="仿宋_GB2312" w:eastAsia="仿宋_GB2312"/>
          <w:lang w:val="en-US" w:eastAsia="zh-CN"/>
        </w:rPr>
        <w:t>。</w:t>
      </w:r>
      <w:r>
        <w:rPr>
          <w:rFonts w:hint="default"/>
          <w:lang w:val="en-US" w:eastAsia="zh-CN"/>
        </w:rPr>
        <w:t>支持热带</w:t>
      </w:r>
      <w:r>
        <w:rPr>
          <w:rFonts w:hint="default"/>
          <w:b/>
          <w:bCs/>
          <w:lang w:val="en-US" w:eastAsia="zh-CN"/>
        </w:rPr>
        <w:t>水产苗种</w:t>
      </w:r>
      <w:r>
        <w:rPr>
          <w:rFonts w:hint="default"/>
          <w:lang w:val="en-US" w:eastAsia="zh-CN"/>
        </w:rPr>
        <w:t>产业发展</w:t>
      </w:r>
      <w:r>
        <w:rPr>
          <w:rFonts w:hint="eastAsia" w:ascii="仿宋_GB2312" w:eastAsia="仿宋_GB2312"/>
          <w:lang w:val="en-US" w:eastAsia="zh-CN"/>
        </w:rPr>
        <w:t>，</w:t>
      </w:r>
      <w:r>
        <w:rPr>
          <w:rFonts w:hint="default"/>
          <w:lang w:val="en-US" w:eastAsia="zh-CN"/>
        </w:rPr>
        <w:t>在三亚等市县建设国家级和省级水产种质资源场、水产遗传育种中心、原良种场及规模化规范化良种繁育基地，建设国家渔业南繁育种基地。</w:t>
      </w:r>
      <w:r>
        <w:rPr>
          <w:rFonts w:hint="eastAsia" w:ascii="仿宋_GB2312" w:eastAsia="仿宋_GB2312"/>
          <w:lang w:val="en-US" w:eastAsia="zh-CN"/>
        </w:rPr>
        <w:t>依托南繁加大热带观赏鱼繁育，带动</w:t>
      </w:r>
      <w:r>
        <w:rPr>
          <w:rFonts w:hint="eastAsia" w:ascii="仿宋_GB2312" w:eastAsia="仿宋_GB2312"/>
          <w:b/>
          <w:bCs/>
          <w:lang w:val="en-US" w:eastAsia="zh-CN"/>
        </w:rPr>
        <w:t>水族观赏鱼产业</w:t>
      </w:r>
      <w:r>
        <w:rPr>
          <w:rFonts w:hint="eastAsia" w:ascii="仿宋_GB2312" w:eastAsia="仿宋_GB2312"/>
          <w:lang w:val="en-US" w:eastAsia="zh-CN"/>
        </w:rPr>
        <w:t>发展。</w:t>
      </w:r>
    </w:p>
    <w:tbl>
      <w:tblPr>
        <w:tblStyle w:val="18"/>
        <w:tblW w:w="5000" w:type="pct"/>
        <w:jc w:val="center"/>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Layout w:type="fixed"/>
        <w:tblCellMar>
          <w:top w:w="0" w:type="dxa"/>
          <w:left w:w="108" w:type="dxa"/>
          <w:bottom w:w="0" w:type="dxa"/>
          <w:right w:w="108" w:type="dxa"/>
        </w:tblCellMar>
      </w:tblPr>
      <w:tblGrid>
        <w:gridCol w:w="426"/>
        <w:gridCol w:w="2698"/>
        <w:gridCol w:w="5398"/>
      </w:tblGrid>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23" w:hRule="atLeast"/>
          <w:jc w:val="center"/>
        </w:trPr>
        <w:tc>
          <w:tcPr>
            <w:tcW w:w="8522" w:type="dxa"/>
            <w:gridSpan w:val="3"/>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楷体" w:hAnsi="楷体" w:eastAsia="楷体" w:cs="楷体"/>
                <w:b/>
                <w:bCs/>
                <w:sz w:val="24"/>
                <w:szCs w:val="24"/>
                <w:lang w:val="en-US" w:eastAsia="zh-CN"/>
              </w:rPr>
            </w:pPr>
            <w:r>
              <w:rPr>
                <w:rFonts w:hint="eastAsia" w:ascii="楷体" w:hAnsi="楷体" w:eastAsia="楷体" w:cs="楷体"/>
                <w:b/>
                <w:bCs/>
                <w:sz w:val="24"/>
                <w:szCs w:val="24"/>
                <w:lang w:val="en-US" w:eastAsia="zh-CN"/>
              </w:rPr>
              <w:t>专栏9  崖州发展渔业（休闲渔业）上位政策出处和原文</w:t>
            </w:r>
          </w:p>
        </w:tc>
      </w:tr>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23" w:hRule="atLeast"/>
          <w:jc w:val="center"/>
        </w:trPr>
        <w:tc>
          <w:tcPr>
            <w:tcW w:w="426"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楷体" w:hAnsi="楷体" w:eastAsia="楷体" w:cs="楷体"/>
                <w:b w:val="0"/>
                <w:bCs w:val="0"/>
                <w:kern w:val="2"/>
                <w:sz w:val="24"/>
                <w:szCs w:val="24"/>
                <w:vertAlign w:val="baseline"/>
                <w:lang w:val="en-US" w:eastAsia="zh-CN" w:bidi="ar-SA"/>
              </w:rPr>
            </w:pPr>
          </w:p>
        </w:tc>
        <w:tc>
          <w:tcPr>
            <w:tcW w:w="2698"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楷体" w:hAnsi="楷体" w:eastAsia="楷体" w:cs="楷体"/>
                <w:b w:val="0"/>
                <w:bCs w:val="0"/>
                <w:kern w:val="2"/>
                <w:sz w:val="24"/>
                <w:szCs w:val="24"/>
                <w:vertAlign w:val="baseline"/>
                <w:lang w:val="en-US" w:eastAsia="zh-CN" w:bidi="ar-SA"/>
              </w:rPr>
            </w:pPr>
            <w:r>
              <w:rPr>
                <w:rFonts w:hint="eastAsia" w:ascii="楷体" w:hAnsi="楷体" w:eastAsia="楷体" w:cs="楷体"/>
                <w:b w:val="0"/>
                <w:bCs w:val="0"/>
                <w:kern w:val="2"/>
                <w:sz w:val="24"/>
                <w:szCs w:val="24"/>
                <w:vertAlign w:val="baseline"/>
                <w:lang w:val="en-US" w:eastAsia="zh-CN" w:bidi="ar-SA"/>
              </w:rPr>
              <w:t>出处</w:t>
            </w:r>
          </w:p>
        </w:tc>
        <w:tc>
          <w:tcPr>
            <w:tcW w:w="5398"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楷体" w:hAnsi="楷体" w:eastAsia="楷体" w:cs="楷体"/>
                <w:b w:val="0"/>
                <w:bCs w:val="0"/>
                <w:kern w:val="2"/>
                <w:sz w:val="24"/>
                <w:szCs w:val="24"/>
                <w:vertAlign w:val="baseline"/>
                <w:lang w:val="en-US" w:eastAsia="zh-CN" w:bidi="ar-SA"/>
              </w:rPr>
            </w:pPr>
            <w:r>
              <w:rPr>
                <w:rFonts w:hint="eastAsia" w:ascii="楷体" w:hAnsi="楷体" w:eastAsia="楷体" w:cs="楷体"/>
                <w:b w:val="0"/>
                <w:bCs w:val="0"/>
                <w:kern w:val="2"/>
                <w:sz w:val="24"/>
                <w:szCs w:val="24"/>
                <w:vertAlign w:val="baseline"/>
                <w:lang w:val="en-US" w:eastAsia="zh-CN" w:bidi="ar-SA"/>
              </w:rPr>
              <w:t>原文</w:t>
            </w:r>
          </w:p>
        </w:tc>
      </w:tr>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23" w:hRule="atLeast"/>
          <w:jc w:val="center"/>
        </w:trPr>
        <w:tc>
          <w:tcPr>
            <w:tcW w:w="426"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楷体" w:hAnsi="楷体" w:eastAsia="楷体" w:cs="楷体"/>
                <w:kern w:val="2"/>
                <w:sz w:val="24"/>
                <w:szCs w:val="24"/>
                <w:vertAlign w:val="baseline"/>
                <w:lang w:val="en-US" w:eastAsia="zh-CN" w:bidi="ar-SA"/>
              </w:rPr>
            </w:pPr>
            <w:r>
              <w:rPr>
                <w:rFonts w:hint="eastAsia" w:ascii="楷体" w:hAnsi="楷体" w:eastAsia="楷体" w:cs="楷体"/>
                <w:sz w:val="24"/>
                <w:szCs w:val="24"/>
                <w:vertAlign w:val="baseline"/>
                <w:lang w:val="en-US" w:eastAsia="zh-CN"/>
              </w:rPr>
              <w:t>1</w:t>
            </w:r>
          </w:p>
        </w:tc>
        <w:tc>
          <w:tcPr>
            <w:tcW w:w="2698"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楷体" w:hAnsi="楷体" w:eastAsia="楷体" w:cs="楷体"/>
                <w:kern w:val="2"/>
                <w:sz w:val="24"/>
                <w:szCs w:val="24"/>
                <w:vertAlign w:val="baseline"/>
                <w:lang w:val="en-US" w:eastAsia="zh-CN" w:bidi="ar-SA"/>
              </w:rPr>
            </w:pPr>
            <w:r>
              <w:rPr>
                <w:rFonts w:hint="eastAsia" w:ascii="楷体" w:hAnsi="楷体" w:eastAsia="楷体" w:cs="楷体"/>
                <w:sz w:val="24"/>
                <w:szCs w:val="24"/>
                <w:vertAlign w:val="baseline"/>
                <w:lang w:val="en-US" w:eastAsia="zh-CN"/>
              </w:rPr>
              <w:t>《中共中央国务院关于支持海南全面深化改革开放的指导意见》</w:t>
            </w:r>
          </w:p>
        </w:tc>
        <w:tc>
          <w:tcPr>
            <w:tcW w:w="5398"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firstLine="480" w:firstLineChars="200"/>
              <w:textAlignment w:val="auto"/>
              <w:rPr>
                <w:rFonts w:hint="eastAsia" w:ascii="楷体" w:hAnsi="楷体" w:eastAsia="楷体" w:cs="楷体"/>
                <w:sz w:val="24"/>
                <w:szCs w:val="24"/>
                <w:vertAlign w:val="baseline"/>
                <w:lang w:val="en-US" w:eastAsia="zh-CN" w:bidi="ar"/>
              </w:rPr>
            </w:pPr>
            <w:r>
              <w:rPr>
                <w:rFonts w:hint="eastAsia" w:ascii="楷体" w:hAnsi="楷体" w:eastAsia="楷体" w:cs="楷体"/>
                <w:sz w:val="24"/>
                <w:szCs w:val="24"/>
                <w:vertAlign w:val="baseline"/>
                <w:lang w:val="en-US" w:eastAsia="zh-CN" w:bidi="ar"/>
              </w:rPr>
              <w:t>加快完善渔业基础设施，显著提升我国对管辖海域的综合管控和开发能力。</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firstLine="480" w:firstLineChars="200"/>
              <w:textAlignment w:val="auto"/>
              <w:rPr>
                <w:rFonts w:hint="eastAsia" w:ascii="楷体" w:hAnsi="楷体" w:eastAsia="楷体" w:cs="楷体"/>
                <w:sz w:val="24"/>
                <w:szCs w:val="24"/>
                <w:vertAlign w:val="baseline"/>
                <w:lang w:val="en-US" w:eastAsia="zh-CN" w:bidi="ar"/>
              </w:rPr>
            </w:pPr>
            <w:r>
              <w:rPr>
                <w:rFonts w:hint="eastAsia" w:ascii="楷体" w:hAnsi="楷体" w:eastAsia="楷体" w:cs="楷体"/>
                <w:sz w:val="24"/>
                <w:szCs w:val="24"/>
                <w:vertAlign w:val="baseline"/>
                <w:lang w:val="en-US" w:eastAsia="zh-CN" w:bidi="ar"/>
              </w:rPr>
              <w:t>加强重点渔港和避风港建设。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480" w:firstLineChars="200"/>
              <w:textAlignment w:val="auto"/>
              <w:rPr>
                <w:rFonts w:hint="eastAsia" w:ascii="楷体" w:hAnsi="楷体" w:eastAsia="楷体" w:cs="楷体"/>
                <w:kern w:val="2"/>
                <w:sz w:val="24"/>
                <w:szCs w:val="24"/>
                <w:vertAlign w:val="baseline"/>
                <w:lang w:val="en-US" w:eastAsia="zh-CN" w:bidi="ar"/>
              </w:rPr>
            </w:pPr>
            <w:r>
              <w:rPr>
                <w:rFonts w:hint="eastAsia" w:ascii="楷体" w:hAnsi="楷体" w:eastAsia="楷体" w:cs="楷体"/>
                <w:sz w:val="24"/>
                <w:szCs w:val="24"/>
                <w:vertAlign w:val="baseline"/>
                <w:lang w:val="en-US" w:eastAsia="zh-CN" w:bidi="ar"/>
              </w:rPr>
              <w:t>支持建设现代化海洋牧场。</w:t>
            </w:r>
          </w:p>
        </w:tc>
      </w:tr>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23" w:hRule="atLeast"/>
          <w:jc w:val="center"/>
        </w:trPr>
        <w:tc>
          <w:tcPr>
            <w:tcW w:w="426"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楷体" w:hAnsi="楷体" w:eastAsia="楷体" w:cs="楷体"/>
                <w:kern w:val="2"/>
                <w:sz w:val="24"/>
                <w:szCs w:val="24"/>
                <w:vertAlign w:val="baseline"/>
                <w:lang w:val="en-US" w:eastAsia="zh-CN" w:bidi="ar-SA"/>
              </w:rPr>
            </w:pPr>
            <w:r>
              <w:rPr>
                <w:rFonts w:hint="eastAsia" w:ascii="楷体" w:hAnsi="楷体" w:eastAsia="楷体" w:cs="楷体"/>
                <w:sz w:val="24"/>
                <w:szCs w:val="24"/>
                <w:vertAlign w:val="baseline"/>
                <w:lang w:val="en-US" w:eastAsia="zh-CN"/>
              </w:rPr>
              <w:t>2</w:t>
            </w:r>
          </w:p>
        </w:tc>
        <w:tc>
          <w:tcPr>
            <w:tcW w:w="2698"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楷体" w:hAnsi="楷体" w:eastAsia="楷体" w:cs="楷体"/>
                <w:kern w:val="2"/>
                <w:sz w:val="24"/>
                <w:szCs w:val="24"/>
                <w:vertAlign w:val="baseline"/>
                <w:lang w:val="en-US" w:eastAsia="zh-CN" w:bidi="ar-SA"/>
              </w:rPr>
            </w:pPr>
            <w:r>
              <w:rPr>
                <w:rFonts w:hint="eastAsia" w:ascii="楷体" w:hAnsi="楷体" w:eastAsia="楷体" w:cs="楷体"/>
                <w:kern w:val="2"/>
                <w:sz w:val="24"/>
                <w:szCs w:val="24"/>
                <w:vertAlign w:val="baseline"/>
                <w:lang w:val="en-US" w:eastAsia="zh-CN" w:bidi="ar-SA"/>
              </w:rPr>
              <w:t>《海南省建设国际旅游消费中心的实施方案》</w:t>
            </w:r>
          </w:p>
        </w:tc>
        <w:tc>
          <w:tcPr>
            <w:tcW w:w="5398"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firstLine="480" w:firstLineChars="200"/>
              <w:textAlignment w:val="auto"/>
              <w:rPr>
                <w:rFonts w:hint="eastAsia" w:ascii="楷体" w:hAnsi="楷体" w:eastAsia="楷体" w:cs="楷体"/>
                <w:sz w:val="24"/>
                <w:szCs w:val="24"/>
                <w:vertAlign w:val="baseline"/>
                <w:lang w:val="en-US" w:eastAsia="zh-CN" w:bidi="ar"/>
              </w:rPr>
            </w:pPr>
            <w:r>
              <w:rPr>
                <w:rFonts w:hint="eastAsia" w:ascii="楷体" w:hAnsi="楷体" w:eastAsia="楷体" w:cs="楷体"/>
                <w:sz w:val="24"/>
                <w:szCs w:val="24"/>
                <w:vertAlign w:val="baseline"/>
                <w:lang w:val="en-US" w:eastAsia="zh-CN" w:bidi="ar"/>
              </w:rPr>
              <w:t>支持海南加快探索休闲渔业规范化管理，有序发展游艇游钓。</w:t>
            </w:r>
          </w:p>
        </w:tc>
      </w:tr>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23" w:hRule="atLeast"/>
          <w:jc w:val="center"/>
        </w:trPr>
        <w:tc>
          <w:tcPr>
            <w:tcW w:w="426"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楷体" w:hAnsi="楷体" w:eastAsia="楷体" w:cs="楷体"/>
                <w:kern w:val="2"/>
                <w:sz w:val="24"/>
                <w:szCs w:val="24"/>
                <w:vertAlign w:val="baseline"/>
                <w:lang w:val="en-US" w:eastAsia="zh-CN" w:bidi="ar-SA"/>
              </w:rPr>
            </w:pPr>
            <w:r>
              <w:rPr>
                <w:rFonts w:hint="eastAsia" w:ascii="楷体" w:hAnsi="楷体" w:eastAsia="楷体" w:cs="楷体"/>
                <w:sz w:val="24"/>
                <w:szCs w:val="24"/>
                <w:vertAlign w:val="baseline"/>
                <w:lang w:val="en-US" w:eastAsia="zh-CN"/>
              </w:rPr>
              <w:t>3</w:t>
            </w:r>
          </w:p>
        </w:tc>
        <w:tc>
          <w:tcPr>
            <w:tcW w:w="2698"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楷体" w:hAnsi="楷体" w:eastAsia="楷体" w:cs="楷体"/>
                <w:kern w:val="2"/>
                <w:sz w:val="24"/>
                <w:szCs w:val="24"/>
                <w:vertAlign w:val="baseline"/>
                <w:lang w:val="en-US" w:eastAsia="zh-CN" w:bidi="ar-SA"/>
              </w:rPr>
            </w:pPr>
            <w:r>
              <w:rPr>
                <w:rFonts w:hint="eastAsia" w:ascii="楷体" w:hAnsi="楷体" w:eastAsia="楷体" w:cs="楷体"/>
                <w:kern w:val="2"/>
                <w:sz w:val="24"/>
                <w:szCs w:val="24"/>
                <w:vertAlign w:val="baseline"/>
                <w:lang w:val="en-US" w:eastAsia="zh-CN" w:bidi="ar-SA"/>
              </w:rPr>
              <w:t>《国家生态文明试验区（海南）实施方案》</w:t>
            </w:r>
          </w:p>
        </w:tc>
        <w:tc>
          <w:tcPr>
            <w:tcW w:w="5398"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firstLine="480" w:firstLineChars="200"/>
              <w:textAlignment w:val="auto"/>
              <w:rPr>
                <w:rFonts w:hint="eastAsia" w:ascii="楷体" w:hAnsi="楷体" w:eastAsia="楷体" w:cs="楷体"/>
                <w:sz w:val="24"/>
                <w:szCs w:val="24"/>
                <w:vertAlign w:val="baseline"/>
                <w:lang w:val="en-US" w:eastAsia="zh-CN" w:bidi="ar"/>
              </w:rPr>
            </w:pPr>
            <w:r>
              <w:rPr>
                <w:rFonts w:hint="eastAsia" w:ascii="楷体" w:hAnsi="楷体" w:eastAsia="楷体" w:cs="楷体"/>
                <w:sz w:val="24"/>
                <w:szCs w:val="24"/>
                <w:vertAlign w:val="baseline"/>
                <w:lang w:val="en-US" w:eastAsia="zh-CN" w:bidi="ar"/>
              </w:rPr>
              <w:t>依法关闭禁养区内规模养殖场，做好搬迁或转产工作，鼓励养殖废弃物集中资源化利用。</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firstLine="480" w:firstLineChars="200"/>
              <w:textAlignment w:val="auto"/>
              <w:rPr>
                <w:rFonts w:hint="eastAsia" w:ascii="楷体" w:hAnsi="楷体" w:eastAsia="楷体" w:cs="楷体"/>
                <w:sz w:val="24"/>
                <w:szCs w:val="24"/>
                <w:vertAlign w:val="baseline"/>
                <w:lang w:val="en-US" w:eastAsia="zh-CN" w:bidi="ar"/>
              </w:rPr>
            </w:pPr>
            <w:r>
              <w:rPr>
                <w:rFonts w:hint="eastAsia" w:ascii="楷体" w:hAnsi="楷体" w:eastAsia="楷体" w:cs="楷体"/>
                <w:sz w:val="24"/>
                <w:szCs w:val="24"/>
                <w:vertAlign w:val="baseline"/>
                <w:lang w:val="en-US" w:eastAsia="zh-CN" w:bidi="ar"/>
              </w:rPr>
              <w:t>推行减船转产和近海捕捞限额管理，推动渔业生产由近岸向外海转移、由粗放型向生态型转变。</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firstLine="480" w:firstLineChars="200"/>
              <w:textAlignment w:val="auto"/>
              <w:rPr>
                <w:rFonts w:hint="eastAsia" w:ascii="楷体" w:hAnsi="楷体" w:eastAsia="楷体" w:cs="楷体"/>
                <w:sz w:val="24"/>
                <w:szCs w:val="24"/>
                <w:vertAlign w:val="baseline"/>
                <w:lang w:val="en-US" w:eastAsia="zh-CN" w:bidi="ar"/>
              </w:rPr>
            </w:pPr>
            <w:r>
              <w:rPr>
                <w:rFonts w:hint="eastAsia" w:ascii="楷体" w:hAnsi="楷体" w:eastAsia="楷体" w:cs="楷体"/>
                <w:sz w:val="24"/>
                <w:szCs w:val="24"/>
                <w:vertAlign w:val="baseline"/>
                <w:lang w:val="en-US" w:eastAsia="zh-CN" w:bidi="ar"/>
              </w:rPr>
              <w:t>支持海南建设现代化海洋牧场。</w:t>
            </w:r>
          </w:p>
        </w:tc>
      </w:tr>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23" w:hRule="atLeast"/>
          <w:jc w:val="center"/>
        </w:trPr>
        <w:tc>
          <w:tcPr>
            <w:tcW w:w="426"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楷体" w:hAnsi="楷体" w:eastAsia="楷体" w:cs="楷体"/>
                <w:kern w:val="2"/>
                <w:sz w:val="24"/>
                <w:szCs w:val="24"/>
                <w:vertAlign w:val="baseline"/>
                <w:lang w:val="en-US" w:eastAsia="zh-CN" w:bidi="ar-SA"/>
              </w:rPr>
            </w:pPr>
            <w:r>
              <w:rPr>
                <w:rFonts w:hint="eastAsia" w:ascii="楷体" w:hAnsi="楷体" w:eastAsia="楷体" w:cs="楷体"/>
                <w:sz w:val="24"/>
                <w:szCs w:val="24"/>
                <w:vertAlign w:val="baseline"/>
                <w:lang w:val="en-US" w:eastAsia="zh-CN"/>
              </w:rPr>
              <w:t>4</w:t>
            </w:r>
          </w:p>
        </w:tc>
        <w:tc>
          <w:tcPr>
            <w:tcW w:w="2698"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楷体" w:hAnsi="楷体" w:eastAsia="楷体" w:cs="楷体"/>
                <w:kern w:val="2"/>
                <w:sz w:val="24"/>
                <w:szCs w:val="24"/>
                <w:vertAlign w:val="baseline"/>
                <w:lang w:val="en-US" w:eastAsia="zh-CN" w:bidi="ar-SA"/>
              </w:rPr>
            </w:pPr>
            <w:r>
              <w:rPr>
                <w:rFonts w:hint="eastAsia" w:ascii="楷体" w:hAnsi="楷体" w:eastAsia="楷体" w:cs="楷体"/>
                <w:kern w:val="2"/>
                <w:sz w:val="24"/>
                <w:szCs w:val="24"/>
                <w:vertAlign w:val="baseline"/>
                <w:lang w:val="en-US" w:eastAsia="zh-CN" w:bidi="ar-SA"/>
              </w:rPr>
              <w:t>《全国沿海渔港建设规划（2018-2025年）》</w:t>
            </w:r>
          </w:p>
        </w:tc>
        <w:tc>
          <w:tcPr>
            <w:tcW w:w="5398"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firstLine="480" w:firstLineChars="200"/>
              <w:textAlignment w:val="auto"/>
              <w:rPr>
                <w:rFonts w:hint="eastAsia" w:ascii="楷体" w:hAnsi="楷体" w:eastAsia="楷体" w:cs="楷体"/>
                <w:sz w:val="24"/>
                <w:szCs w:val="24"/>
                <w:vertAlign w:val="baseline"/>
                <w:lang w:val="en-US" w:eastAsia="zh-CN" w:bidi="ar"/>
              </w:rPr>
            </w:pPr>
            <w:r>
              <w:rPr>
                <w:rFonts w:hint="eastAsia" w:ascii="楷体" w:hAnsi="楷体" w:eastAsia="楷体" w:cs="楷体"/>
                <w:sz w:val="24"/>
                <w:szCs w:val="24"/>
                <w:vertAlign w:val="baseline"/>
                <w:lang w:val="en-US" w:eastAsia="zh-CN" w:bidi="ar"/>
              </w:rPr>
              <w:t>将渔港经济区建设成为沿海经济社会发展的重要平台、产业融合发展的重要基地、防灾减灾的重要屏障、现代渔业管理的重要支撑和特色城镇建设的重要载体。</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firstLine="480" w:firstLineChars="200"/>
              <w:textAlignment w:val="auto"/>
              <w:rPr>
                <w:rFonts w:hint="eastAsia" w:ascii="楷体" w:hAnsi="楷体" w:eastAsia="楷体" w:cs="楷体"/>
                <w:sz w:val="24"/>
                <w:szCs w:val="24"/>
                <w:vertAlign w:val="baseline"/>
                <w:lang w:val="en-US" w:eastAsia="zh-CN" w:bidi="ar"/>
              </w:rPr>
            </w:pPr>
            <w:r>
              <w:rPr>
                <w:rFonts w:hint="eastAsia" w:ascii="楷体" w:hAnsi="楷体" w:eastAsia="楷体" w:cs="楷体"/>
                <w:sz w:val="24"/>
                <w:szCs w:val="24"/>
                <w:vertAlign w:val="baseline"/>
                <w:lang w:val="en-US" w:eastAsia="zh-CN" w:bidi="ar"/>
              </w:rPr>
              <w:t>完善渔港配套设施和基本服务功能，发展水产品加工、冷链物流、市场交易等渔区二、三产业，延伸渔业产业链条，促进渔业供给侧结构性改革和产业融合发展。</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firstLine="480" w:firstLineChars="200"/>
              <w:textAlignment w:val="auto"/>
              <w:rPr>
                <w:rFonts w:hint="eastAsia" w:ascii="楷体" w:hAnsi="楷体" w:eastAsia="楷体" w:cs="楷体"/>
                <w:sz w:val="24"/>
                <w:szCs w:val="24"/>
                <w:vertAlign w:val="baseline"/>
                <w:lang w:val="en-US" w:eastAsia="zh-CN" w:bidi="ar"/>
              </w:rPr>
            </w:pPr>
            <w:r>
              <w:rPr>
                <w:rFonts w:hint="eastAsia" w:ascii="楷体" w:hAnsi="楷体" w:eastAsia="楷体" w:cs="楷体"/>
                <w:sz w:val="24"/>
                <w:szCs w:val="24"/>
                <w:vertAlign w:val="baseline"/>
                <w:lang w:val="en-US" w:eastAsia="zh-CN" w:bidi="ar"/>
              </w:rPr>
              <w:t>推动形成沿海渔港经济区、保税渔港和南海渔港群，一方面为渔民、渔船和远洋渔业发展提供后方基地和安全保障，另一方面为推动海上丝绸之路建设、加强国际渔业合作、促进海洋渔业的可持续发展提供有效支撑。</w:t>
            </w:r>
          </w:p>
        </w:tc>
      </w:tr>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23" w:hRule="atLeast"/>
          <w:jc w:val="center"/>
        </w:trPr>
        <w:tc>
          <w:tcPr>
            <w:tcW w:w="426"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楷体" w:hAnsi="楷体" w:eastAsia="楷体" w:cs="楷体"/>
                <w:kern w:val="2"/>
                <w:sz w:val="24"/>
                <w:szCs w:val="24"/>
                <w:vertAlign w:val="baseline"/>
                <w:lang w:val="en-US" w:eastAsia="zh-CN" w:bidi="ar-SA"/>
              </w:rPr>
            </w:pPr>
            <w:r>
              <w:rPr>
                <w:rFonts w:hint="eastAsia" w:ascii="楷体" w:hAnsi="楷体" w:eastAsia="楷体" w:cs="楷体"/>
                <w:sz w:val="24"/>
                <w:szCs w:val="24"/>
                <w:vertAlign w:val="baseline"/>
                <w:lang w:val="en-US" w:eastAsia="zh-CN"/>
              </w:rPr>
              <w:t>5</w:t>
            </w:r>
          </w:p>
        </w:tc>
        <w:tc>
          <w:tcPr>
            <w:tcW w:w="2698"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楷体" w:hAnsi="楷体" w:eastAsia="楷体" w:cs="楷体"/>
                <w:kern w:val="2"/>
                <w:sz w:val="24"/>
                <w:szCs w:val="24"/>
                <w:vertAlign w:val="baseline"/>
                <w:lang w:val="en-US" w:eastAsia="zh-CN" w:bidi="ar-SA"/>
              </w:rPr>
            </w:pPr>
            <w:r>
              <w:rPr>
                <w:rFonts w:hint="eastAsia" w:ascii="楷体" w:hAnsi="楷体" w:eastAsia="楷体" w:cs="楷体"/>
                <w:kern w:val="2"/>
                <w:sz w:val="24"/>
                <w:szCs w:val="24"/>
                <w:vertAlign w:val="baseline"/>
                <w:lang w:val="en-US" w:eastAsia="zh-CN" w:bidi="ar-SA"/>
              </w:rPr>
              <w:t>自然资源部关于落实《中共中央国务院关于支持海南全面深化改革开放的指导意见》工作举措的函</w:t>
            </w:r>
          </w:p>
        </w:tc>
        <w:tc>
          <w:tcPr>
            <w:tcW w:w="5398"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firstLine="480" w:firstLineChars="200"/>
              <w:textAlignment w:val="auto"/>
              <w:rPr>
                <w:rFonts w:hint="eastAsia" w:ascii="楷体" w:hAnsi="楷体" w:eastAsia="楷体" w:cs="楷体"/>
                <w:sz w:val="24"/>
                <w:szCs w:val="24"/>
                <w:vertAlign w:val="baseline"/>
                <w:lang w:val="en-US" w:eastAsia="zh-CN" w:bidi="ar"/>
              </w:rPr>
            </w:pPr>
            <w:r>
              <w:rPr>
                <w:rFonts w:hint="eastAsia" w:ascii="楷体" w:hAnsi="楷体" w:eastAsia="楷体" w:cs="楷体"/>
                <w:sz w:val="24"/>
                <w:szCs w:val="24"/>
                <w:vertAlign w:val="baseline"/>
                <w:lang w:val="en-US" w:eastAsia="zh-CN" w:bidi="ar"/>
              </w:rPr>
              <w:t>鼓励海南建设现代化海洋牧场，重点加快深水区高值鱼类大型网箱健康养殖、海南热带海洋生态资源可持续利用等技术的应用示范。</w:t>
            </w:r>
          </w:p>
        </w:tc>
      </w:tr>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23" w:hRule="atLeast"/>
          <w:jc w:val="center"/>
        </w:trPr>
        <w:tc>
          <w:tcPr>
            <w:tcW w:w="426" w:type="dxa"/>
            <w:tcBorders>
              <w:bottom w:val="nil"/>
            </w:tcBorders>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楷体" w:hAnsi="楷体" w:eastAsia="楷体" w:cs="楷体"/>
                <w:kern w:val="2"/>
                <w:sz w:val="24"/>
                <w:szCs w:val="24"/>
                <w:vertAlign w:val="baseline"/>
                <w:lang w:val="en-US" w:eastAsia="zh-CN" w:bidi="ar-SA"/>
              </w:rPr>
            </w:pPr>
            <w:r>
              <w:rPr>
                <w:rFonts w:hint="eastAsia" w:ascii="楷体" w:hAnsi="楷体" w:eastAsia="楷体" w:cs="楷体"/>
                <w:sz w:val="24"/>
                <w:szCs w:val="24"/>
                <w:vertAlign w:val="baseline"/>
                <w:lang w:val="en-US" w:eastAsia="zh-CN"/>
              </w:rPr>
              <w:t>6</w:t>
            </w:r>
          </w:p>
        </w:tc>
        <w:tc>
          <w:tcPr>
            <w:tcW w:w="2698" w:type="dxa"/>
            <w:tcBorders>
              <w:bottom w:val="nil"/>
            </w:tcBorders>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楷体" w:hAnsi="楷体" w:eastAsia="楷体" w:cs="楷体"/>
                <w:kern w:val="2"/>
                <w:sz w:val="24"/>
                <w:szCs w:val="24"/>
                <w:vertAlign w:val="baseline"/>
                <w:lang w:val="en-US" w:eastAsia="zh-CN" w:bidi="ar-SA"/>
              </w:rPr>
            </w:pPr>
            <w:r>
              <w:rPr>
                <w:rFonts w:hint="eastAsia" w:ascii="楷体" w:hAnsi="楷体" w:eastAsia="楷体" w:cs="楷体"/>
                <w:kern w:val="2"/>
                <w:sz w:val="24"/>
                <w:szCs w:val="24"/>
                <w:vertAlign w:val="baseline"/>
                <w:lang w:val="en-US" w:eastAsia="zh-CN" w:bidi="ar-SA"/>
              </w:rPr>
              <w:t>农业农村部贯彻落实《中共中央国务院关于支持海南全面深化改革开放的指导意见》实施方案</w:t>
            </w:r>
          </w:p>
        </w:tc>
        <w:tc>
          <w:tcPr>
            <w:tcW w:w="5398" w:type="dxa"/>
            <w:tcBorders>
              <w:bottom w:val="nil"/>
            </w:tcBorders>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firstLine="480" w:firstLineChars="200"/>
              <w:textAlignment w:val="auto"/>
              <w:rPr>
                <w:rFonts w:hint="eastAsia" w:ascii="楷体" w:hAnsi="楷体" w:eastAsia="楷体" w:cs="楷体"/>
                <w:sz w:val="24"/>
                <w:szCs w:val="24"/>
                <w:vertAlign w:val="baseline"/>
                <w:lang w:val="en-US" w:eastAsia="zh-CN" w:bidi="ar"/>
              </w:rPr>
            </w:pPr>
            <w:r>
              <w:rPr>
                <w:rFonts w:hint="eastAsia" w:ascii="楷体" w:hAnsi="楷体" w:eastAsia="楷体" w:cs="楷体"/>
                <w:sz w:val="24"/>
                <w:szCs w:val="24"/>
                <w:vertAlign w:val="baseline"/>
                <w:lang w:val="en-US" w:eastAsia="zh-CN" w:bidi="ar"/>
              </w:rPr>
              <w:t>支持发展深水抗风浪网箱养殖。</w:t>
            </w:r>
          </w:p>
        </w:tc>
      </w:tr>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4046" w:hRule="atLeast"/>
          <w:jc w:val="center"/>
        </w:trPr>
        <w:tc>
          <w:tcPr>
            <w:tcW w:w="426"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楷体" w:hAnsi="楷体" w:eastAsia="楷体" w:cs="楷体"/>
                <w:kern w:val="2"/>
                <w:sz w:val="24"/>
                <w:szCs w:val="24"/>
                <w:vertAlign w:val="baseline"/>
                <w:lang w:val="en-US" w:eastAsia="zh-CN" w:bidi="ar-SA"/>
              </w:rPr>
            </w:pPr>
            <w:r>
              <w:rPr>
                <w:rFonts w:hint="eastAsia" w:ascii="楷体" w:hAnsi="楷体" w:eastAsia="楷体" w:cs="楷体"/>
                <w:sz w:val="24"/>
                <w:szCs w:val="24"/>
                <w:vertAlign w:val="baseline"/>
                <w:lang w:val="en-US" w:eastAsia="zh-CN"/>
              </w:rPr>
              <w:t>7</w:t>
            </w:r>
          </w:p>
        </w:tc>
        <w:tc>
          <w:tcPr>
            <w:tcW w:w="2698"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楷体" w:hAnsi="楷体" w:eastAsia="楷体" w:cs="楷体"/>
                <w:kern w:val="2"/>
                <w:sz w:val="24"/>
                <w:szCs w:val="24"/>
                <w:vertAlign w:val="baseline"/>
                <w:lang w:val="en-US" w:eastAsia="zh-CN" w:bidi="ar-SA"/>
              </w:rPr>
            </w:pPr>
            <w:r>
              <w:rPr>
                <w:rFonts w:hint="eastAsia" w:ascii="楷体" w:hAnsi="楷体" w:eastAsia="楷体" w:cs="楷体"/>
                <w:kern w:val="2"/>
                <w:sz w:val="24"/>
                <w:szCs w:val="24"/>
                <w:vertAlign w:val="baseline"/>
                <w:lang w:val="en-US" w:eastAsia="zh-CN" w:bidi="ar-SA"/>
              </w:rPr>
              <w:t>《关于促进水产养殖业绿色发展的指导意见》（海南省海洋与渔业厅）</w:t>
            </w:r>
          </w:p>
        </w:tc>
        <w:tc>
          <w:tcPr>
            <w:tcW w:w="5398" w:type="dxa"/>
            <w:tcBorders>
              <w:bottom w:val="thickThinSmallGap" w:color="A4A4A4" w:sz="12" w:space="0"/>
            </w:tcBorders>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firstLine="480" w:firstLineChars="200"/>
              <w:textAlignment w:val="auto"/>
              <w:rPr>
                <w:rFonts w:hint="eastAsia" w:ascii="楷体" w:hAnsi="楷体" w:eastAsia="楷体" w:cs="楷体"/>
                <w:sz w:val="24"/>
                <w:szCs w:val="24"/>
                <w:vertAlign w:val="baseline"/>
                <w:lang w:val="en-US" w:eastAsia="zh-CN" w:bidi="ar"/>
              </w:rPr>
            </w:pPr>
            <w:r>
              <w:rPr>
                <w:rFonts w:hint="eastAsia" w:ascii="楷体" w:hAnsi="楷体" w:eastAsia="楷体" w:cs="楷体"/>
                <w:sz w:val="24"/>
                <w:szCs w:val="24"/>
                <w:vertAlign w:val="baseline"/>
                <w:lang w:val="en-US" w:eastAsia="zh-CN" w:bidi="ar"/>
              </w:rPr>
              <w:t>调整优化产业发展结构。积极发展集约化工厂循环水养殖、深远海增养殖、热带水产苗种产业及生态特色品牌养殖，彻底转变水产养殖业发展方式。</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firstLine="480" w:firstLineChars="200"/>
              <w:textAlignment w:val="auto"/>
              <w:rPr>
                <w:rFonts w:hint="eastAsia" w:ascii="楷体" w:hAnsi="楷体" w:eastAsia="楷体" w:cs="楷体"/>
                <w:sz w:val="24"/>
                <w:szCs w:val="24"/>
                <w:vertAlign w:val="baseline"/>
                <w:lang w:val="en-US" w:eastAsia="zh-CN" w:bidi="ar"/>
              </w:rPr>
            </w:pPr>
            <w:r>
              <w:rPr>
                <w:rFonts w:hint="eastAsia" w:ascii="楷体" w:hAnsi="楷体" w:eastAsia="楷体" w:cs="楷体"/>
                <w:sz w:val="24"/>
                <w:szCs w:val="24"/>
                <w:vertAlign w:val="baseline"/>
                <w:lang w:val="en-US" w:eastAsia="zh-CN" w:bidi="ar"/>
              </w:rPr>
              <w:t>大力发展现代设施养殖业。积极拓展离岸深远海养殖，大力发展深水抗风浪网箱养殖，支持建设以智能化养殖渔场、养殖工船等为核心的深远海大型工程化装备化养殖项目，推进水产养殖工业化。</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480" w:firstLineChars="200"/>
              <w:textAlignment w:val="auto"/>
              <w:rPr>
                <w:rFonts w:hint="eastAsia" w:ascii="楷体" w:hAnsi="楷体" w:eastAsia="楷体" w:cs="楷体"/>
                <w:kern w:val="2"/>
                <w:sz w:val="24"/>
                <w:szCs w:val="24"/>
                <w:vertAlign w:val="baseline"/>
                <w:lang w:val="en-US" w:eastAsia="zh-CN" w:bidi="ar"/>
              </w:rPr>
            </w:pPr>
            <w:r>
              <w:rPr>
                <w:rFonts w:hint="eastAsia" w:ascii="楷体" w:hAnsi="楷体" w:eastAsia="楷体" w:cs="楷体"/>
                <w:sz w:val="24"/>
                <w:szCs w:val="24"/>
                <w:vertAlign w:val="baseline"/>
                <w:lang w:val="en-US" w:eastAsia="zh-CN" w:bidi="ar"/>
              </w:rPr>
              <w:t>积极支持热带水产苗种产业发展。重点在三亚等市县建设国家级和省级水产种质资源场、水产遗传育种中心、原良种场及规模化规范化良种繁育基地；可以划定特定区域作为水产苗种产业园区，引进国内外水产种业高端科研机构，建设国家渔业南繁育种基地。</w:t>
            </w:r>
          </w:p>
        </w:tc>
      </w:tr>
    </w:tbl>
    <w:p>
      <w:pPr>
        <w:pStyle w:val="3"/>
        <w:bidi w:val="0"/>
        <w:rPr>
          <w:rFonts w:hint="eastAsia"/>
          <w:lang w:val="en-US" w:eastAsia="zh-CN"/>
        </w:rPr>
      </w:pPr>
      <w:bookmarkStart w:id="182" w:name="_Toc21934"/>
      <w:bookmarkStart w:id="183" w:name="_Toc22753"/>
      <w:bookmarkStart w:id="184" w:name="_Toc18646"/>
      <w:r>
        <w:rPr>
          <w:rFonts w:hint="eastAsia"/>
          <w:lang w:val="en-US" w:eastAsia="zh-CN"/>
        </w:rPr>
        <w:t>第二节  发展条件分析</w:t>
      </w:r>
      <w:bookmarkEnd w:id="182"/>
      <w:bookmarkEnd w:id="183"/>
      <w:bookmarkEnd w:id="184"/>
    </w:p>
    <w:p>
      <w:pPr>
        <w:pStyle w:val="4"/>
        <w:bidi w:val="0"/>
        <w:rPr>
          <w:rFonts w:hint="eastAsia"/>
          <w:lang w:val="en-US" w:eastAsia="zh-CN"/>
        </w:rPr>
      </w:pPr>
      <w:bookmarkStart w:id="185" w:name="_Toc2513"/>
      <w:bookmarkStart w:id="186" w:name="_Toc23164"/>
      <w:bookmarkStart w:id="187" w:name="_Toc17954"/>
      <w:r>
        <w:rPr>
          <w:rFonts w:hint="eastAsia"/>
          <w:lang w:val="en-US" w:eastAsia="zh-CN"/>
        </w:rPr>
        <w:t>一、总体分析</w:t>
      </w:r>
      <w:bookmarkEnd w:id="185"/>
      <w:bookmarkEnd w:id="186"/>
      <w:bookmarkEnd w:id="187"/>
    </w:p>
    <w:p>
      <w:pPr>
        <w:pStyle w:val="5"/>
        <w:numPr>
          <w:ilvl w:val="0"/>
          <w:numId w:val="13"/>
        </w:numPr>
        <w:bidi w:val="0"/>
        <w:rPr>
          <w:rFonts w:hint="default"/>
          <w:lang w:val="en-US" w:eastAsia="zh-CN"/>
        </w:rPr>
      </w:pPr>
      <w:bookmarkStart w:id="188" w:name="_Toc5280"/>
      <w:bookmarkStart w:id="189" w:name="_Toc1240"/>
      <w:bookmarkStart w:id="190" w:name="_Toc21110"/>
      <w:r>
        <w:rPr>
          <w:rFonts w:hint="eastAsia"/>
          <w:lang w:val="en-US" w:eastAsia="zh-CN"/>
        </w:rPr>
        <w:t>一产增速放缓，低于三亚和全省，优势发挥不明显，</w:t>
      </w:r>
      <w:bookmarkEnd w:id="188"/>
      <w:r>
        <w:rPr>
          <w:rFonts w:hint="eastAsia"/>
          <w:lang w:val="en-US" w:eastAsia="zh-CN"/>
        </w:rPr>
        <w:t>支撑能力不足</w:t>
      </w:r>
      <w:bookmarkEnd w:id="189"/>
      <w:bookmarkEnd w:id="190"/>
    </w:p>
    <w:p>
      <w:pPr>
        <w:rPr>
          <w:rFonts w:hint="default"/>
          <w:lang w:val="en-US" w:eastAsia="zh-CN"/>
        </w:rPr>
      </w:pPr>
      <w:r>
        <w:rPr>
          <w:rFonts w:hint="eastAsia" w:ascii="仿宋_GB2312" w:eastAsia="仿宋_GB2312"/>
          <w:lang w:val="en-US" w:eastAsia="zh-CN"/>
        </w:rPr>
        <w:t>全区第一产业GDP占比由2015年的39.0%调整至20</w:t>
      </w:r>
      <w:r>
        <w:rPr>
          <w:rFonts w:hint="eastAsia"/>
          <w:lang w:val="en-US" w:eastAsia="zh-CN"/>
        </w:rPr>
        <w:t>20</w:t>
      </w:r>
      <w:r>
        <w:rPr>
          <w:rFonts w:hint="eastAsia" w:ascii="仿宋_GB2312" w:eastAsia="仿宋_GB2312"/>
          <w:lang w:val="en-US" w:eastAsia="zh-CN"/>
        </w:rPr>
        <w:t>年的32.0%，绝对值由17.7亿元增长到2</w:t>
      </w:r>
      <w:r>
        <w:rPr>
          <w:rFonts w:hint="eastAsia"/>
          <w:lang w:val="en-US" w:eastAsia="zh-CN"/>
        </w:rPr>
        <w:t>1.2</w:t>
      </w:r>
      <w:r>
        <w:rPr>
          <w:rFonts w:hint="eastAsia" w:ascii="仿宋_GB2312" w:eastAsia="仿宋_GB2312"/>
          <w:lang w:val="en-US" w:eastAsia="zh-CN"/>
        </w:rPr>
        <w:t>亿元，年均增速仅为3.</w:t>
      </w:r>
      <w:r>
        <w:rPr>
          <w:rFonts w:hint="eastAsia"/>
          <w:lang w:val="en-US" w:eastAsia="zh-CN"/>
        </w:rPr>
        <w:t>7</w:t>
      </w:r>
      <w:r>
        <w:rPr>
          <w:rFonts w:hint="eastAsia" w:ascii="仿宋_GB2312" w:eastAsia="仿宋_GB2312"/>
          <w:lang w:val="en-US" w:eastAsia="zh-CN"/>
        </w:rPr>
        <w:t>%，远低于</w:t>
      </w:r>
      <w:r>
        <w:rPr>
          <w:rFonts w:hint="eastAsia"/>
          <w:lang w:val="en-US" w:eastAsia="zh-CN"/>
        </w:rPr>
        <w:t>7.9</w:t>
      </w:r>
      <w:r>
        <w:rPr>
          <w:rFonts w:hint="eastAsia" w:ascii="仿宋_GB2312" w:eastAsia="仿宋_GB2312"/>
          <w:lang w:val="en-US" w:eastAsia="zh-CN"/>
        </w:rPr>
        <w:t>%的同期全区GDP</w:t>
      </w:r>
      <w:r>
        <w:rPr>
          <w:rFonts w:hint="eastAsia"/>
          <w:lang w:val="en-US" w:eastAsia="zh-CN"/>
        </w:rPr>
        <w:t>名义</w:t>
      </w:r>
      <w:r>
        <w:rPr>
          <w:rFonts w:hint="eastAsia" w:ascii="仿宋_GB2312" w:eastAsia="仿宋_GB2312"/>
          <w:lang w:val="en-US" w:eastAsia="zh-CN"/>
        </w:rPr>
        <w:t>增速，也低于同期全省一产</w:t>
      </w:r>
      <w:r>
        <w:rPr>
          <w:rFonts w:hint="eastAsia"/>
          <w:lang w:val="en-US" w:eastAsia="zh-CN"/>
        </w:rPr>
        <w:t>5.8</w:t>
      </w:r>
      <w:r>
        <w:rPr>
          <w:rFonts w:hint="eastAsia" w:ascii="仿宋_GB2312" w:eastAsia="仿宋_GB2312"/>
          <w:lang w:val="en-US" w:eastAsia="zh-CN"/>
        </w:rPr>
        <w:t>%、三亚一产</w:t>
      </w:r>
      <w:r>
        <w:rPr>
          <w:rFonts w:hint="eastAsia"/>
          <w:lang w:val="en-US" w:eastAsia="zh-CN"/>
        </w:rPr>
        <w:t>5.9</w:t>
      </w:r>
      <w:r>
        <w:rPr>
          <w:rFonts w:hint="eastAsia" w:ascii="仿宋_GB2312" w:eastAsia="仿宋_GB2312"/>
          <w:lang w:val="en-US" w:eastAsia="zh-CN"/>
        </w:rPr>
        <w:t>%的增速。</w:t>
      </w:r>
      <w:r>
        <w:rPr>
          <w:rFonts w:hint="eastAsia"/>
          <w:lang w:val="en-US" w:eastAsia="zh-CN"/>
        </w:rPr>
        <w:t>考虑到消费者物价指数（CPI）年均增幅在2-3%左右，崖州农业经济的实际年均增速仅为1-2%。</w:t>
      </w:r>
    </w:p>
    <w:p>
      <w:pPr>
        <w:rPr>
          <w:rFonts w:hint="eastAsia"/>
          <w:lang w:val="en-US" w:eastAsia="zh-CN"/>
        </w:rPr>
      </w:pPr>
      <w:r>
        <w:rPr>
          <w:rFonts w:hint="eastAsia" w:ascii="仿宋_GB2312" w:eastAsia="仿宋_GB2312"/>
          <w:lang w:val="en-US" w:eastAsia="zh-CN"/>
        </w:rPr>
        <w:t>崖州区一产发展基础条件优越，冬季瓜菜、热带水果、南繁育种等种植业名声斐然，是三亚乃至海南的传统优势产业，应成为经济增长的主要动力，至少不拖累经济增长。但近年来一产GDP增速过低，导致</w:t>
      </w:r>
      <w:r>
        <w:rPr>
          <w:rFonts w:hint="eastAsia" w:ascii="仿宋_GB2312" w:eastAsia="仿宋_GB2312"/>
          <w:b/>
          <w:bCs/>
          <w:lang w:val="en-US" w:eastAsia="zh-CN"/>
        </w:rPr>
        <w:t>一产占比被动型下降、而非主动型优化调整</w:t>
      </w:r>
      <w:r>
        <w:rPr>
          <w:rFonts w:hint="eastAsia" w:ascii="仿宋_GB2312" w:eastAsia="仿宋_GB2312"/>
          <w:lang w:val="en-US" w:eastAsia="zh-CN"/>
        </w:rPr>
        <w:t>。南繁科技以育制繁种为主，对崖州热带瓜果蔬菜种植的带动作用较少，全区农渔业亟需通过提高生产效率、提高产出效益、做好现代农业转型升级、一二三产业融合发展推动一产增效，“十四五”时期全区一产GDP增速应接近或超过全区整体GDP增速。</w:t>
      </w:r>
    </w:p>
    <w:p>
      <w:pPr>
        <w:rPr>
          <w:rFonts w:hint="eastAsia"/>
          <w:lang w:val="en-US" w:eastAsia="zh-CN"/>
        </w:rPr>
      </w:pPr>
      <w:r>
        <w:rPr>
          <w:rFonts w:hint="eastAsia"/>
          <w:lang w:val="en-US" w:eastAsia="zh-CN"/>
        </w:rPr>
        <w:t>对比分析大三亚地区各区县三次产业结构，崖州第一产业比重为32.0%，比保亭、乐东等农业县低，与陵水接近，对比看农业占比仍然较高，仍属于农业大区，农业转型升级对全区经济发展十分重要。</w:t>
      </w:r>
    </w:p>
    <w:p>
      <w:pPr>
        <w:pStyle w:val="4"/>
        <w:bidi w:val="0"/>
        <w:rPr>
          <w:rFonts w:hint="eastAsia"/>
          <w:lang w:val="en-US" w:eastAsia="zh-CN"/>
        </w:rPr>
      </w:pPr>
      <w:bookmarkStart w:id="191" w:name="_Toc778"/>
      <w:bookmarkStart w:id="192" w:name="_Toc6200"/>
      <w:bookmarkStart w:id="193" w:name="_Toc15078"/>
      <w:r>
        <w:rPr>
          <w:rFonts w:hint="eastAsia"/>
          <w:lang w:val="en-US" w:eastAsia="zh-CN"/>
        </w:rPr>
        <w:t>二、热带农业分析</w:t>
      </w:r>
      <w:bookmarkEnd w:id="191"/>
      <w:bookmarkEnd w:id="192"/>
      <w:bookmarkEnd w:id="193"/>
    </w:p>
    <w:p>
      <w:pPr>
        <w:pStyle w:val="5"/>
        <w:numPr>
          <w:ilvl w:val="0"/>
          <w:numId w:val="13"/>
        </w:numPr>
        <w:bidi w:val="0"/>
        <w:rPr>
          <w:rFonts w:hint="default"/>
          <w:lang w:val="en-US" w:eastAsia="zh-CN"/>
        </w:rPr>
      </w:pPr>
      <w:bookmarkStart w:id="194" w:name="_Toc32531"/>
      <w:bookmarkStart w:id="195" w:name="_Toc31810"/>
      <w:bookmarkStart w:id="196" w:name="_Toc5207"/>
      <w:r>
        <w:rPr>
          <w:rFonts w:hint="eastAsia"/>
          <w:lang w:val="en-US" w:eastAsia="zh-CN"/>
        </w:rPr>
        <w:t>中国南繁在三亚，三亚南繁在崖州，崖州南繁在价值链曲线底端</w:t>
      </w:r>
      <w:bookmarkEnd w:id="194"/>
      <w:bookmarkEnd w:id="195"/>
      <w:bookmarkEnd w:id="196"/>
    </w:p>
    <w:p>
      <w:pPr>
        <w:rPr>
          <w:rFonts w:hint="eastAsia" w:ascii="仿宋_GB2312" w:eastAsia="仿宋_GB2312"/>
          <w:lang w:val="en-US" w:eastAsia="zh-CN"/>
        </w:rPr>
      </w:pPr>
      <w:r>
        <w:rPr>
          <w:rFonts w:hint="eastAsia" w:ascii="仿宋_GB2312" w:eastAsia="仿宋_GB2312"/>
          <w:lang w:val="en-US" w:eastAsia="zh-CN"/>
        </w:rPr>
        <w:t>南繁</w:t>
      </w:r>
      <w:r>
        <w:rPr>
          <w:rFonts w:hint="eastAsia"/>
          <w:lang w:val="en-US" w:eastAsia="zh-CN"/>
        </w:rPr>
        <w:t>向</w:t>
      </w:r>
      <w:r>
        <w:rPr>
          <w:rFonts w:hint="eastAsia" w:ascii="仿宋_GB2312" w:eastAsia="仿宋_GB2312"/>
          <w:lang w:val="en-US" w:eastAsia="zh-CN"/>
        </w:rPr>
        <w:t>全国选育</w:t>
      </w:r>
      <w:r>
        <w:rPr>
          <w:rFonts w:hint="eastAsia"/>
          <w:lang w:val="en-US" w:eastAsia="zh-CN"/>
        </w:rPr>
        <w:t>供应</w:t>
      </w:r>
      <w:r>
        <w:rPr>
          <w:rFonts w:hint="eastAsia" w:ascii="仿宋_GB2312" w:eastAsia="仿宋_GB2312"/>
          <w:lang w:val="en-US" w:eastAsia="zh-CN"/>
        </w:rPr>
        <w:t>大量农作物新品种，全国70%</w:t>
      </w:r>
      <w:r>
        <w:rPr>
          <w:rFonts w:hint="eastAsia"/>
          <w:lang w:val="en-US" w:eastAsia="zh-CN"/>
        </w:rPr>
        <w:t>的</w:t>
      </w:r>
      <w:r>
        <w:rPr>
          <w:rFonts w:hint="eastAsia" w:ascii="仿宋_GB2312" w:eastAsia="仿宋_GB2312"/>
          <w:lang w:val="en-US" w:eastAsia="zh-CN"/>
        </w:rPr>
        <w:t>农作物新品种经过南繁</w:t>
      </w:r>
      <w:r>
        <w:rPr>
          <w:rFonts w:hint="eastAsia"/>
          <w:lang w:val="en-US" w:eastAsia="zh-CN"/>
        </w:rPr>
        <w:t>培育</w:t>
      </w:r>
      <w:r>
        <w:rPr>
          <w:rFonts w:hint="eastAsia" w:ascii="仿宋_GB2312" w:eastAsia="仿宋_GB2312"/>
          <w:lang w:val="en-US" w:eastAsia="zh-CN"/>
        </w:rPr>
        <w:t>。自1956年全国各地到海南开展南繁工作以来，到目前29个省（市、自治区）的700多家科研单位、高等院校、种子企业，7000多名农业专家集聚大三亚开展南繁育种工作，其中在三亚开展南繁的有26个省（市、自治区）的340多家南繁单位，人员逾5000人，180余家建立固定基地。2018年，三亚建成南繁育种基地约2.55万亩、制种基地约1.8万亩，科研育种作物主要为水稻、棉花、玉米、花生、高粱、向日葵、西甜瓜、马铃薯、大豆、甘蔗、番薯、蔬菜、烟草、亚麻、黄（红）麻、胡麻、油沙豆和牧草等</w:t>
      </w:r>
      <w:r>
        <w:rPr>
          <w:rFonts w:hint="eastAsia"/>
          <w:lang w:val="en-US" w:eastAsia="zh-CN"/>
        </w:rPr>
        <w:t>，</w:t>
      </w:r>
      <w:r>
        <w:rPr>
          <w:rFonts w:hint="eastAsia" w:ascii="仿宋_GB2312" w:eastAsia="仿宋_GB2312"/>
          <w:lang w:val="en-US" w:eastAsia="zh-CN"/>
        </w:rPr>
        <w:t>近年增加了水草、鱼、蜜蜂、蛇等繁殖，涉及农林牧渔多个领域，南繁已成为三亚特色产业和城市名片。</w:t>
      </w:r>
    </w:p>
    <w:p>
      <w:pPr>
        <w:rPr>
          <w:rFonts w:hint="eastAsia"/>
          <w:lang w:val="en-US" w:eastAsia="zh-CN"/>
        </w:rPr>
      </w:pPr>
      <w:r>
        <w:rPr>
          <w:rFonts w:hint="eastAsia" w:ascii="仿宋_GB2312" w:eastAsia="仿宋_GB2312"/>
          <w:lang w:val="en-US" w:eastAsia="zh-CN"/>
        </w:rPr>
        <w:t>崖州区是三亚市光热资源最丰富地区，冬季气温弱高于三亚其它区域，是稀缺的战略性资源，早在上个世纪50年代我国种业科学家就在崖州开展南繁育种加代工作，袁隆平、谢华安、戴景瑞、吴明珠等院士均在崖州区开展南繁加代繁育工作。</w:t>
      </w:r>
      <w:r>
        <w:rPr>
          <w:rFonts w:hint="eastAsia" w:ascii="仿宋_GB2312" w:eastAsia="仿宋_GB2312"/>
          <w:b/>
          <w:bCs/>
          <w:lang w:val="en-US" w:eastAsia="zh-CN"/>
        </w:rPr>
        <w:t>崖州育成新品种约占三亚的80%和全国的50%</w:t>
      </w:r>
      <w:r>
        <w:rPr>
          <w:rFonts w:hint="eastAsia" w:ascii="仿宋_GB2312" w:eastAsia="仿宋_GB2312"/>
          <w:lang w:val="en-US" w:eastAsia="zh-CN"/>
        </w:rPr>
        <w:t>，有力推进了我国农业科技创新进程，是南繁自然条件最优越、历史最长、科研成果最显著的区域，在国家南繁产业中占据着举足轻重的地位。</w:t>
      </w:r>
    </w:p>
    <w:p>
      <w:pPr>
        <w:rPr>
          <w:rFonts w:hint="eastAsia"/>
          <w:lang w:val="en-US" w:eastAsia="zh-CN"/>
        </w:rPr>
      </w:pPr>
      <w:r>
        <w:rPr>
          <w:rFonts w:hint="eastAsia" w:ascii="仿宋_GB2312" w:eastAsia="仿宋_GB2312"/>
          <w:lang w:val="en-US" w:eastAsia="zh-CN"/>
        </w:rPr>
        <w:t>崖州全区南繁育种用地面积约2.3万亩，冬季瓜菜种植面积约</w:t>
      </w:r>
      <w:r>
        <w:rPr>
          <w:rFonts w:hint="eastAsia"/>
          <w:lang w:val="en-US" w:eastAsia="zh-CN"/>
        </w:rPr>
        <w:t>7</w:t>
      </w:r>
      <w:r>
        <w:rPr>
          <w:rFonts w:hint="eastAsia" w:ascii="仿宋_GB2312" w:eastAsia="仿宋_GB2312"/>
          <w:lang w:val="en-US" w:eastAsia="zh-CN"/>
        </w:rPr>
        <w:t>万亩。据统计，2018年三亚全市南繁种业创造了410亿元的产值，其中</w:t>
      </w:r>
      <w:r>
        <w:rPr>
          <w:rFonts w:hint="eastAsia"/>
          <w:lang w:val="en-US" w:eastAsia="zh-CN"/>
        </w:rPr>
        <w:t>本地</w:t>
      </w:r>
      <w:r>
        <w:rPr>
          <w:rFonts w:hint="eastAsia" w:ascii="仿宋_GB2312" w:eastAsia="仿宋_GB2312"/>
          <w:lang w:val="en-US" w:eastAsia="zh-CN"/>
        </w:rPr>
        <w:t>直接产值10亿元，</w:t>
      </w:r>
      <w:r>
        <w:rPr>
          <w:rFonts w:hint="eastAsia"/>
          <w:lang w:val="en-US" w:eastAsia="zh-CN"/>
        </w:rPr>
        <w:t>为全国贡献的</w:t>
      </w:r>
      <w:r>
        <w:rPr>
          <w:rFonts w:hint="eastAsia" w:ascii="仿宋_GB2312" w:eastAsia="仿宋_GB2312"/>
          <w:lang w:val="en-US" w:eastAsia="zh-CN"/>
        </w:rPr>
        <w:t>间接产值400亿元以上，南繁富裕了全国的农业农村农民，</w:t>
      </w:r>
      <w:r>
        <w:rPr>
          <w:rFonts w:hint="eastAsia"/>
          <w:lang w:val="en-US" w:eastAsia="zh-CN"/>
        </w:rPr>
        <w:t>但</w:t>
      </w:r>
      <w:r>
        <w:rPr>
          <w:rFonts w:hint="eastAsia" w:ascii="仿宋_GB2312" w:eastAsia="仿宋_GB2312"/>
          <w:lang w:val="en-US" w:eastAsia="zh-CN"/>
        </w:rPr>
        <w:t>本地只留下很小部分</w:t>
      </w:r>
      <w:r>
        <w:rPr>
          <w:rFonts w:hint="eastAsia"/>
          <w:lang w:val="en-US" w:eastAsia="zh-CN"/>
        </w:rPr>
        <w:t>收益</w:t>
      </w:r>
      <w:r>
        <w:rPr>
          <w:rFonts w:hint="eastAsia" w:ascii="仿宋_GB2312" w:eastAsia="仿宋_GB2312"/>
          <w:lang w:val="en-US" w:eastAsia="zh-CN"/>
        </w:rPr>
        <w:t>。主要原因是</w:t>
      </w:r>
      <w:r>
        <w:rPr>
          <w:rFonts w:hint="eastAsia" w:ascii="仿宋_GB2312" w:eastAsia="仿宋_GB2312"/>
          <w:b/>
          <w:bCs/>
          <w:lang w:val="en-US" w:eastAsia="zh-CN"/>
        </w:rPr>
        <w:t>南繁产业链条过短</w:t>
      </w:r>
      <w:r>
        <w:rPr>
          <w:rFonts w:hint="eastAsia" w:ascii="仿宋_GB2312" w:eastAsia="仿宋_GB2312"/>
          <w:lang w:val="en-US" w:eastAsia="zh-CN"/>
        </w:rPr>
        <w:t>，基本处在育种和制种的种植环节，仍属于</w:t>
      </w:r>
      <w:r>
        <w:rPr>
          <w:rFonts w:hint="eastAsia" w:ascii="仿宋_GB2312" w:eastAsia="仿宋_GB2312"/>
          <w:b/>
          <w:bCs/>
          <w:lang w:val="en-US" w:eastAsia="zh-CN"/>
        </w:rPr>
        <w:t>种植业范畴</w:t>
      </w:r>
      <w:r>
        <w:rPr>
          <w:rFonts w:hint="eastAsia" w:ascii="仿宋_GB2312" w:eastAsia="仿宋_GB2312"/>
          <w:lang w:val="en-US" w:eastAsia="zh-CN"/>
        </w:rPr>
        <w:t>，距离习总书记的专门嘱托“一定要建成集科研、生产、销售、科技交流、成果转化为一体的服务全国的‘南繁硅谷’”仍有很长的路要走。</w:t>
      </w:r>
    </w:p>
    <w:p>
      <w:pPr>
        <w:rPr>
          <w:rFonts w:hint="eastAsia"/>
          <w:lang w:val="en-US" w:eastAsia="zh-CN"/>
        </w:rPr>
      </w:pPr>
      <w:r>
        <w:rPr>
          <w:rFonts w:hint="eastAsia" w:ascii="仿宋_GB2312" w:eastAsia="仿宋_GB2312"/>
          <w:lang w:val="en-US" w:eastAsia="zh-CN"/>
        </w:rPr>
        <w:t>种业是严监管行业，高利润位于研发环节（科研院所）和销售环节（各地种子公司），崖州贡献了</w:t>
      </w:r>
      <w:r>
        <w:rPr>
          <w:rFonts w:hint="eastAsia"/>
          <w:lang w:val="en-US" w:eastAsia="zh-CN"/>
        </w:rPr>
        <w:t>不可缺少的</w:t>
      </w:r>
      <w:r>
        <w:rPr>
          <w:rFonts w:hint="eastAsia" w:ascii="仿宋_GB2312" w:eastAsia="仿宋_GB2312"/>
          <w:lang w:val="en-US" w:eastAsia="zh-CN"/>
        </w:rPr>
        <w:t>气候条件和土地资源，</w:t>
      </w:r>
      <w:r>
        <w:rPr>
          <w:rFonts w:hint="eastAsia"/>
          <w:lang w:val="en-US" w:eastAsia="zh-CN"/>
        </w:rPr>
        <w:t>但只能获取</w:t>
      </w:r>
      <w:r>
        <w:rPr>
          <w:rFonts w:hint="eastAsia" w:ascii="仿宋_GB2312" w:eastAsia="仿宋_GB2312"/>
          <w:lang w:val="en-US" w:eastAsia="zh-CN"/>
        </w:rPr>
        <w:t>种植环节</w:t>
      </w:r>
      <w:r>
        <w:rPr>
          <w:rFonts w:hint="eastAsia"/>
          <w:lang w:val="en-US" w:eastAsia="zh-CN"/>
        </w:rPr>
        <w:t>的较低收益</w:t>
      </w:r>
      <w:r>
        <w:rPr>
          <w:rFonts w:hint="eastAsia" w:ascii="仿宋_GB2312" w:eastAsia="仿宋_GB2312"/>
          <w:lang w:val="en-US" w:eastAsia="zh-CN"/>
        </w:rPr>
        <w:t>，</w:t>
      </w:r>
      <w:r>
        <w:rPr>
          <w:rFonts w:hint="eastAsia" w:ascii="仿宋_GB2312" w:eastAsia="仿宋_GB2312"/>
          <w:b/>
          <w:bCs/>
          <w:lang w:val="en-US" w:eastAsia="zh-CN"/>
        </w:rPr>
        <w:t>处于南繁育种U型价值链的底端</w:t>
      </w:r>
      <w:r>
        <w:rPr>
          <w:rFonts w:hint="eastAsia" w:ascii="仿宋_GB2312" w:eastAsia="仿宋_GB2312"/>
          <w:lang w:val="en-US" w:eastAsia="zh-CN"/>
        </w:rPr>
        <w:t>，</w:t>
      </w:r>
      <w:r>
        <w:rPr>
          <w:rFonts w:hint="eastAsia"/>
          <w:lang w:val="en-US" w:eastAsia="zh-CN"/>
        </w:rPr>
        <w:t>在成果转化、销售环节少有参与，</w:t>
      </w:r>
      <w:r>
        <w:rPr>
          <w:rFonts w:hint="eastAsia" w:ascii="仿宋_GB2312" w:eastAsia="仿宋_GB2312"/>
          <w:lang w:val="en-US" w:eastAsia="zh-CN"/>
        </w:rPr>
        <w:t>这也是除海垦南繁集团（南滨农场）外，崖州本地要素参与少、积极性不高的主要原因。</w:t>
      </w:r>
    </w:p>
    <w:p>
      <w:pPr>
        <w:pStyle w:val="5"/>
        <w:numPr>
          <w:ilvl w:val="0"/>
          <w:numId w:val="13"/>
        </w:numPr>
        <w:bidi w:val="0"/>
        <w:rPr>
          <w:rFonts w:hint="eastAsia"/>
          <w:lang w:val="en-US" w:eastAsia="zh-CN"/>
        </w:rPr>
      </w:pPr>
      <w:bookmarkStart w:id="197" w:name="_Toc29810"/>
      <w:bookmarkStart w:id="198" w:name="_Toc8024"/>
      <w:bookmarkStart w:id="199" w:name="_Toc6609"/>
      <w:r>
        <w:rPr>
          <w:rFonts w:hint="eastAsia"/>
          <w:lang w:val="en-US" w:eastAsia="zh-CN"/>
        </w:rPr>
        <w:t>冬季瓜菜面临气候变暖、竞争激烈、物流成本高等不确定性</w:t>
      </w:r>
      <w:bookmarkEnd w:id="197"/>
      <w:bookmarkEnd w:id="198"/>
      <w:bookmarkEnd w:id="199"/>
    </w:p>
    <w:p>
      <w:pPr>
        <w:rPr>
          <w:rFonts w:hint="eastAsia" w:ascii="仿宋_GB2312" w:eastAsia="仿宋_GB2312"/>
          <w:lang w:val="en-US" w:eastAsia="zh-CN"/>
        </w:rPr>
      </w:pPr>
      <w:r>
        <w:rPr>
          <w:rFonts w:hint="eastAsia" w:ascii="仿宋_GB2312" w:eastAsia="仿宋_GB2312"/>
          <w:lang w:val="en-US" w:eastAsia="zh-CN"/>
        </w:rPr>
        <w:t>2019-2020年度</w:t>
      </w:r>
      <w:r>
        <w:rPr>
          <w:rFonts w:hint="eastAsia"/>
          <w:lang w:val="en-US" w:eastAsia="zh-CN"/>
        </w:rPr>
        <w:t>，</w:t>
      </w:r>
      <w:r>
        <w:rPr>
          <w:rFonts w:hint="eastAsia" w:ascii="仿宋_GB2312" w:eastAsia="仿宋_GB2312"/>
          <w:lang w:val="en-US" w:eastAsia="zh-CN"/>
        </w:rPr>
        <w:t>崖州区冬季瓜菜种植面积</w:t>
      </w:r>
      <w:r>
        <w:rPr>
          <w:rFonts w:hint="eastAsia"/>
          <w:lang w:val="en-US" w:eastAsia="zh-CN"/>
        </w:rPr>
        <w:t>达3.0</w:t>
      </w:r>
      <w:r>
        <w:rPr>
          <w:rFonts w:hint="eastAsia" w:ascii="仿宋_GB2312" w:eastAsia="仿宋_GB2312"/>
          <w:lang w:val="en-US" w:eastAsia="zh-CN"/>
        </w:rPr>
        <w:t>万亩</w:t>
      </w:r>
      <w:r>
        <w:rPr>
          <w:rFonts w:hint="eastAsia"/>
          <w:lang w:val="en-US" w:eastAsia="zh-CN"/>
        </w:rPr>
        <w:t>、</w:t>
      </w:r>
      <w:r>
        <w:rPr>
          <w:rFonts w:hint="eastAsia" w:ascii="仿宋_GB2312" w:eastAsia="仿宋_GB2312"/>
          <w:lang w:val="en-US" w:eastAsia="zh-CN"/>
        </w:rPr>
        <w:t>产量</w:t>
      </w:r>
      <w:r>
        <w:rPr>
          <w:rFonts w:hint="eastAsia"/>
          <w:lang w:val="en-US" w:eastAsia="zh-CN"/>
        </w:rPr>
        <w:t>达7.1</w:t>
      </w:r>
      <w:r>
        <w:rPr>
          <w:rFonts w:hint="eastAsia" w:ascii="仿宋_GB2312" w:eastAsia="仿宋_GB2312"/>
          <w:lang w:val="en-US" w:eastAsia="zh-CN"/>
        </w:rPr>
        <w:t>万吨，主要种植地点在坡田洋、白超田洋、水南田洋、郎芒田洋，其中城东、城西、水南、拱北村</w:t>
      </w:r>
      <w:r>
        <w:rPr>
          <w:rFonts w:hint="eastAsia"/>
          <w:lang w:val="en-US" w:eastAsia="zh-CN"/>
        </w:rPr>
        <w:t>居多。芒果种植面积达14.2万亩、产量达22.7万吨，主要种植地点在南滨居（南滨农场）。蜜瓜种植面积达0.5万亩、产量达1.4万吨，主要种植地点在梅山。</w:t>
      </w:r>
      <w:r>
        <w:rPr>
          <w:rFonts w:hint="eastAsia" w:ascii="仿宋_GB2312" w:eastAsia="仿宋_GB2312"/>
          <w:lang w:val="en-US" w:eastAsia="zh-CN"/>
        </w:rPr>
        <w:t>崖州冬季瓜菜</w:t>
      </w:r>
      <w:r>
        <w:rPr>
          <w:rFonts w:hint="eastAsia"/>
          <w:lang w:val="en-US" w:eastAsia="zh-CN"/>
        </w:rPr>
        <w:t>和热带水果种植</w:t>
      </w:r>
      <w:r>
        <w:rPr>
          <w:rFonts w:hint="eastAsia" w:ascii="仿宋_GB2312" w:eastAsia="仿宋_GB2312"/>
          <w:lang w:val="en-US" w:eastAsia="zh-CN"/>
        </w:rPr>
        <w:t>规模大，带动一方百姓致富，但面临较多不确定性。</w:t>
      </w:r>
    </w:p>
    <w:p>
      <w:pPr>
        <w:rPr>
          <w:rFonts w:hint="eastAsia" w:ascii="仿宋_GB2312" w:eastAsia="仿宋_GB2312"/>
          <w:lang w:val="en-US" w:eastAsia="zh-CN"/>
        </w:rPr>
      </w:pPr>
      <w:r>
        <w:rPr>
          <w:rFonts w:hint="eastAsia" w:ascii="仿宋_GB2312" w:eastAsia="仿宋_GB2312"/>
          <w:b/>
          <w:bCs/>
          <w:lang w:val="en-US" w:eastAsia="zh-CN"/>
        </w:rPr>
        <w:t>一是</w:t>
      </w:r>
      <w:r>
        <w:rPr>
          <w:rFonts w:hint="eastAsia" w:ascii="仿宋_GB2312" w:eastAsia="仿宋_GB2312"/>
          <w:lang w:val="en-US" w:eastAsia="zh-CN"/>
        </w:rPr>
        <w:t>全球气候变暖削弱崖州（包括海南）的</w:t>
      </w:r>
      <w:r>
        <w:rPr>
          <w:rFonts w:hint="eastAsia"/>
          <w:lang w:val="en-US" w:eastAsia="zh-CN"/>
        </w:rPr>
        <w:t>气候</w:t>
      </w:r>
      <w:r>
        <w:rPr>
          <w:rFonts w:hint="eastAsia" w:ascii="仿宋_GB2312" w:eastAsia="仿宋_GB2312"/>
          <w:lang w:val="en-US" w:eastAsia="zh-CN"/>
        </w:rPr>
        <w:t>优势，如</w:t>
      </w:r>
      <w:r>
        <w:rPr>
          <w:rFonts w:hint="eastAsia"/>
          <w:lang w:val="en-US" w:eastAsia="zh-CN"/>
        </w:rPr>
        <w:t>2020</w:t>
      </w:r>
      <w:r>
        <w:rPr>
          <w:rFonts w:hint="eastAsia" w:ascii="仿宋_GB2312" w:eastAsia="仿宋_GB2312"/>
          <w:lang w:val="en-US" w:eastAsia="zh-CN"/>
        </w:rPr>
        <w:t>年广东、广西荔枝与海南荔枝同步上市</w:t>
      </w:r>
      <w:r>
        <w:rPr>
          <w:rFonts w:hint="eastAsia"/>
          <w:lang w:val="en-US" w:eastAsia="zh-CN"/>
        </w:rPr>
        <w:t>，海南荔枝由于过海成本较高导致市场竞争力下降</w:t>
      </w:r>
      <w:r>
        <w:rPr>
          <w:rFonts w:hint="eastAsia" w:ascii="仿宋_GB2312" w:eastAsia="仿宋_GB2312"/>
          <w:lang w:val="en-US" w:eastAsia="zh-CN"/>
        </w:rPr>
        <w:t>。</w:t>
      </w:r>
    </w:p>
    <w:p>
      <w:pPr>
        <w:rPr>
          <w:rFonts w:hint="eastAsia" w:ascii="仿宋_GB2312" w:eastAsia="仿宋_GB2312"/>
          <w:lang w:val="en-US" w:eastAsia="zh-CN"/>
        </w:rPr>
      </w:pPr>
      <w:r>
        <w:rPr>
          <w:rFonts w:hint="eastAsia" w:ascii="仿宋_GB2312" w:eastAsia="仿宋_GB2312"/>
          <w:b/>
          <w:bCs/>
          <w:lang w:val="en-US" w:eastAsia="zh-CN"/>
        </w:rPr>
        <w:t>二是</w:t>
      </w:r>
      <w:r>
        <w:rPr>
          <w:rFonts w:hint="eastAsia" w:ascii="仿宋_GB2312" w:eastAsia="仿宋_GB2312"/>
          <w:lang w:val="en-US" w:eastAsia="zh-CN"/>
        </w:rPr>
        <w:t>全国各地大力发展设施农业</w:t>
      </w:r>
      <w:r>
        <w:rPr>
          <w:rFonts w:hint="eastAsia"/>
          <w:lang w:val="en-US" w:eastAsia="zh-CN"/>
        </w:rPr>
        <w:t>，冬季瓜菜市场竞争激烈</w:t>
      </w:r>
      <w:r>
        <w:rPr>
          <w:rFonts w:hint="eastAsia" w:ascii="仿宋_GB2312" w:eastAsia="仿宋_GB2312"/>
          <w:lang w:val="en-US" w:eastAsia="zh-CN"/>
        </w:rPr>
        <w:t>，如江苏、安徽、河南、山东等省万亩大棚连片种植，</w:t>
      </w:r>
      <w:r>
        <w:rPr>
          <w:rFonts w:hint="eastAsia"/>
          <w:lang w:val="en-US" w:eastAsia="zh-CN"/>
        </w:rPr>
        <w:t>这些地区种植技术高、</w:t>
      </w:r>
      <w:r>
        <w:rPr>
          <w:rFonts w:hint="eastAsia" w:ascii="仿宋_GB2312" w:eastAsia="仿宋_GB2312"/>
          <w:lang w:val="en-US" w:eastAsia="zh-CN"/>
        </w:rPr>
        <w:t>距离市场近、物流成本低，抵消了设施农业</w:t>
      </w:r>
      <w:r>
        <w:rPr>
          <w:rFonts w:hint="eastAsia"/>
          <w:lang w:val="en-US" w:eastAsia="zh-CN"/>
        </w:rPr>
        <w:t>投入的</w:t>
      </w:r>
      <w:r>
        <w:rPr>
          <w:rFonts w:hint="eastAsia" w:ascii="仿宋_GB2312" w:eastAsia="仿宋_GB2312"/>
          <w:lang w:val="en-US" w:eastAsia="zh-CN"/>
        </w:rPr>
        <w:t>成本。</w:t>
      </w:r>
    </w:p>
    <w:p>
      <w:pPr>
        <w:rPr>
          <w:rFonts w:hint="eastAsia" w:ascii="仿宋_GB2312" w:eastAsia="仿宋_GB2312"/>
          <w:lang w:val="en-US" w:eastAsia="zh-CN"/>
        </w:rPr>
      </w:pPr>
      <w:r>
        <w:rPr>
          <w:rFonts w:hint="eastAsia" w:ascii="仿宋_GB2312" w:eastAsia="仿宋_GB2312"/>
          <w:b/>
          <w:bCs/>
          <w:lang w:val="en-US" w:eastAsia="zh-CN"/>
        </w:rPr>
        <w:t>三是</w:t>
      </w:r>
      <w:r>
        <w:rPr>
          <w:rFonts w:hint="eastAsia" w:ascii="仿宋_GB2312" w:eastAsia="仿宋_GB2312"/>
          <w:lang w:val="en-US" w:eastAsia="zh-CN"/>
        </w:rPr>
        <w:t>崖州瓜菜运距长、出岛慢、气温高，导致物流成本高、运输时常长、</w:t>
      </w:r>
      <w:r>
        <w:rPr>
          <w:rFonts w:hint="eastAsia"/>
          <w:lang w:val="en-US" w:eastAsia="zh-CN"/>
        </w:rPr>
        <w:t>运输</w:t>
      </w:r>
      <w:r>
        <w:rPr>
          <w:rFonts w:hint="eastAsia" w:ascii="仿宋_GB2312" w:eastAsia="仿宋_GB2312"/>
          <w:lang w:val="en-US" w:eastAsia="zh-CN"/>
        </w:rPr>
        <w:t>损耗高，产品竞争力</w:t>
      </w:r>
      <w:r>
        <w:rPr>
          <w:rFonts w:hint="eastAsia"/>
          <w:lang w:val="en-US" w:eastAsia="zh-CN"/>
        </w:rPr>
        <w:t>受到</w:t>
      </w:r>
      <w:r>
        <w:rPr>
          <w:rFonts w:hint="eastAsia" w:ascii="仿宋_GB2312" w:eastAsia="仿宋_GB2312"/>
          <w:lang w:val="en-US" w:eastAsia="zh-CN"/>
        </w:rPr>
        <w:t>影响。</w:t>
      </w:r>
    </w:p>
    <w:p>
      <w:pPr>
        <w:rPr>
          <w:rFonts w:hint="eastAsia" w:ascii="仿宋_GB2312" w:eastAsia="仿宋_GB2312"/>
          <w:lang w:val="en-US" w:eastAsia="zh-CN"/>
        </w:rPr>
      </w:pPr>
      <w:r>
        <w:rPr>
          <w:rFonts w:hint="eastAsia" w:ascii="仿宋_GB2312" w:eastAsia="仿宋_GB2312"/>
          <w:b/>
          <w:bCs/>
          <w:lang w:val="en-US" w:eastAsia="zh-CN"/>
        </w:rPr>
        <w:t>四是</w:t>
      </w:r>
      <w:r>
        <w:rPr>
          <w:rFonts w:hint="eastAsia"/>
          <w:b w:val="0"/>
          <w:bCs w:val="0"/>
          <w:lang w:val="en-US" w:eastAsia="zh-CN"/>
        </w:rPr>
        <w:t>三亚及海南本地</w:t>
      </w:r>
      <w:r>
        <w:rPr>
          <w:rFonts w:hint="eastAsia" w:ascii="仿宋_GB2312" w:eastAsia="仿宋_GB2312"/>
          <w:b w:val="0"/>
          <w:bCs w:val="0"/>
          <w:lang w:val="en-US" w:eastAsia="zh-CN"/>
        </w:rPr>
        <w:t>市场</w:t>
      </w:r>
      <w:r>
        <w:rPr>
          <w:rFonts w:hint="eastAsia"/>
          <w:b w:val="0"/>
          <w:bCs w:val="0"/>
          <w:lang w:val="en-US" w:eastAsia="zh-CN"/>
        </w:rPr>
        <w:t>开拓不足</w:t>
      </w:r>
      <w:r>
        <w:rPr>
          <w:rFonts w:hint="eastAsia" w:ascii="仿宋_GB2312" w:eastAsia="仿宋_GB2312"/>
          <w:b w:val="0"/>
          <w:bCs w:val="0"/>
          <w:lang w:val="en-US" w:eastAsia="zh-CN"/>
        </w:rPr>
        <w:t>，瓜菜</w:t>
      </w:r>
      <w:r>
        <w:rPr>
          <w:rFonts w:hint="eastAsia"/>
          <w:b w:val="0"/>
          <w:bCs w:val="0"/>
          <w:lang w:val="en-US" w:eastAsia="zh-CN"/>
        </w:rPr>
        <w:t>主要</w:t>
      </w:r>
      <w:r>
        <w:rPr>
          <w:rFonts w:hint="eastAsia" w:ascii="仿宋_GB2312" w:eastAsia="仿宋_GB2312"/>
          <w:b w:val="0"/>
          <w:bCs w:val="0"/>
          <w:lang w:val="en-US" w:eastAsia="zh-CN"/>
        </w:rPr>
        <w:t>依赖岛外市场，遇到类似“新冠疫情”、海面大雾等突发事件，直接影响农产品对外销售，损失</w:t>
      </w:r>
      <w:r>
        <w:rPr>
          <w:rFonts w:hint="eastAsia"/>
          <w:b w:val="0"/>
          <w:bCs w:val="0"/>
          <w:lang w:val="en-US" w:eastAsia="zh-CN"/>
        </w:rPr>
        <w:t>直接由农民承担</w:t>
      </w:r>
      <w:r>
        <w:rPr>
          <w:rFonts w:hint="eastAsia" w:ascii="仿宋_GB2312" w:eastAsia="仿宋_GB2312"/>
          <w:lang w:val="en-US" w:eastAsia="zh-CN"/>
        </w:rPr>
        <w:t>。</w:t>
      </w:r>
    </w:p>
    <w:p>
      <w:pPr>
        <w:rPr>
          <w:rFonts w:hint="eastAsia"/>
          <w:b w:val="0"/>
          <w:bCs w:val="0"/>
          <w:lang w:val="en-US" w:eastAsia="zh-CN"/>
        </w:rPr>
      </w:pPr>
      <w:r>
        <w:rPr>
          <w:rFonts w:hint="eastAsia"/>
          <w:b/>
          <w:bCs/>
          <w:lang w:val="en-US" w:eastAsia="zh-CN"/>
        </w:rPr>
        <w:t>五是</w:t>
      </w:r>
      <w:r>
        <w:rPr>
          <w:rFonts w:hint="eastAsia"/>
          <w:b w:val="0"/>
          <w:bCs w:val="0"/>
          <w:lang w:val="en-US" w:eastAsia="zh-CN"/>
        </w:rPr>
        <w:t>品种较单一，瓜菜以豇豆为主，种植面积占冬季瓜菜（不含水果）60%、产量占51%，其他9种主要瓜菜产量合计占49%，种植结构过于依赖单一品种不利于应对市场波动。</w:t>
      </w:r>
    </w:p>
    <w:p>
      <w:pPr>
        <w:rPr>
          <w:rFonts w:hint="default"/>
          <w:b w:val="0"/>
          <w:bCs w:val="0"/>
          <w:lang w:val="en-US" w:eastAsia="zh-CN"/>
        </w:rPr>
      </w:pPr>
      <w:r>
        <w:rPr>
          <w:rFonts w:hint="eastAsia"/>
          <w:b/>
          <w:bCs/>
          <w:lang w:val="en-US" w:eastAsia="zh-CN"/>
        </w:rPr>
        <w:t>六是</w:t>
      </w:r>
      <w:r>
        <w:rPr>
          <w:rFonts w:hint="eastAsia"/>
          <w:b w:val="0"/>
          <w:bCs w:val="0"/>
          <w:lang w:val="en-US" w:eastAsia="zh-CN"/>
        </w:rPr>
        <w:t>种植户</w:t>
      </w:r>
      <w:r>
        <w:rPr>
          <w:rFonts w:hint="default"/>
          <w:b w:val="0"/>
          <w:bCs w:val="0"/>
          <w:lang w:val="en-US" w:eastAsia="zh-CN"/>
        </w:rPr>
        <w:t>缺乏绿色农业</w:t>
      </w:r>
      <w:r>
        <w:rPr>
          <w:rFonts w:hint="eastAsia"/>
          <w:b w:val="0"/>
          <w:bCs w:val="0"/>
          <w:lang w:val="en-US" w:eastAsia="zh-CN"/>
        </w:rPr>
        <w:t>理念，</w:t>
      </w:r>
      <w:r>
        <w:rPr>
          <w:rFonts w:hint="default"/>
          <w:b w:val="0"/>
          <w:bCs w:val="0"/>
          <w:lang w:val="en-US" w:eastAsia="zh-CN"/>
        </w:rPr>
        <w:t>对无公害农产品认同感相对落后，</w:t>
      </w:r>
      <w:r>
        <w:rPr>
          <w:rFonts w:hint="eastAsia"/>
          <w:b w:val="0"/>
          <w:bCs w:val="0"/>
          <w:lang w:val="en-US" w:eastAsia="zh-CN"/>
        </w:rPr>
        <w:t>由于</w:t>
      </w:r>
      <w:r>
        <w:rPr>
          <w:rFonts w:hint="default"/>
          <w:b w:val="0"/>
          <w:bCs w:val="0"/>
          <w:lang w:val="en-US" w:eastAsia="zh-CN"/>
        </w:rPr>
        <w:t>土壤</w:t>
      </w:r>
      <w:r>
        <w:rPr>
          <w:rFonts w:hint="eastAsia"/>
          <w:b w:val="0"/>
          <w:bCs w:val="0"/>
          <w:lang w:val="en-US" w:eastAsia="zh-CN"/>
        </w:rPr>
        <w:t>常年耕作</w:t>
      </w:r>
      <w:r>
        <w:rPr>
          <w:rFonts w:hint="default"/>
          <w:b w:val="0"/>
          <w:bCs w:val="0"/>
          <w:lang w:val="en-US" w:eastAsia="zh-CN"/>
        </w:rPr>
        <w:t>得不到休养，作物产量</w:t>
      </w:r>
      <w:r>
        <w:rPr>
          <w:rFonts w:hint="eastAsia"/>
          <w:b w:val="0"/>
          <w:bCs w:val="0"/>
          <w:lang w:val="en-US" w:eastAsia="zh-CN"/>
        </w:rPr>
        <w:t>走低，</w:t>
      </w:r>
      <w:r>
        <w:rPr>
          <w:rFonts w:hint="default"/>
          <w:b w:val="0"/>
          <w:bCs w:val="0"/>
          <w:lang w:val="en-US" w:eastAsia="zh-CN"/>
        </w:rPr>
        <w:t>对农药化肥依赖过大，</w:t>
      </w:r>
      <w:r>
        <w:rPr>
          <w:rFonts w:hint="eastAsia"/>
          <w:b w:val="0"/>
          <w:bCs w:val="0"/>
          <w:lang w:val="en-US" w:eastAsia="zh-CN"/>
        </w:rPr>
        <w:t>进一步导致</w:t>
      </w:r>
      <w:r>
        <w:rPr>
          <w:rFonts w:hint="default"/>
          <w:b w:val="0"/>
          <w:bCs w:val="0"/>
          <w:lang w:val="en-US" w:eastAsia="zh-CN"/>
        </w:rPr>
        <w:t>土壤质量</w:t>
      </w:r>
      <w:r>
        <w:rPr>
          <w:rFonts w:hint="eastAsia"/>
          <w:b w:val="0"/>
          <w:bCs w:val="0"/>
          <w:lang w:val="en-US" w:eastAsia="zh-CN"/>
        </w:rPr>
        <w:t>下降</w:t>
      </w:r>
      <w:r>
        <w:rPr>
          <w:rFonts w:hint="default"/>
          <w:b w:val="0"/>
          <w:bCs w:val="0"/>
          <w:lang w:val="en-US" w:eastAsia="zh-CN"/>
        </w:rPr>
        <w:t>，超标使用药物、使用违禁药物问题偶尔发生</w:t>
      </w:r>
      <w:r>
        <w:rPr>
          <w:rFonts w:hint="eastAsia"/>
          <w:b w:val="0"/>
          <w:bCs w:val="0"/>
          <w:lang w:val="en-US" w:eastAsia="zh-CN"/>
        </w:rPr>
        <w:t>。</w:t>
      </w:r>
    </w:p>
    <w:p>
      <w:pPr>
        <w:bidi w:val="0"/>
        <w:spacing w:line="240" w:lineRule="auto"/>
        <w:ind w:firstLine="0" w:firstLineChars="0"/>
        <w:jc w:val="center"/>
        <w:rPr>
          <w:rFonts w:hint="default" w:ascii="楷体" w:hAnsi="楷体" w:eastAsia="楷体" w:cs="楷体"/>
          <w:b w:val="0"/>
          <w:bCs w:val="0"/>
          <w:sz w:val="28"/>
          <w:szCs w:val="28"/>
          <w:lang w:val="en-US" w:eastAsia="zh-CN"/>
        </w:rPr>
      </w:pPr>
      <w:r>
        <w:rPr>
          <w:rFonts w:hint="eastAsia" w:ascii="楷体" w:hAnsi="楷体" w:eastAsia="楷体" w:cs="楷体"/>
          <w:b w:val="0"/>
          <w:bCs w:val="0"/>
          <w:sz w:val="28"/>
          <w:szCs w:val="28"/>
          <w:lang w:val="en-US" w:eastAsia="zh-CN"/>
        </w:rPr>
        <w:t>表10  崖州区冬季瓜菜、水果种植情况（亩、万吨）</w:t>
      </w:r>
    </w:p>
    <w:tbl>
      <w:tblPr>
        <w:tblStyle w:val="18"/>
        <w:tblW w:w="5190" w:type="pct"/>
        <w:jc w:val="center"/>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34"/>
        <w:gridCol w:w="1247"/>
        <w:gridCol w:w="850"/>
        <w:gridCol w:w="1247"/>
        <w:gridCol w:w="850"/>
        <w:gridCol w:w="1247"/>
        <w:gridCol w:w="850"/>
        <w:gridCol w:w="1122"/>
      </w:tblGrid>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0" w:hRule="atLeast"/>
          <w:tblHeader/>
          <w:jc w:val="center"/>
        </w:trPr>
        <w:tc>
          <w:tcPr>
            <w:tcW w:w="1434"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年份</w:t>
            </w:r>
          </w:p>
        </w:tc>
        <w:tc>
          <w:tcPr>
            <w:tcW w:w="2097" w:type="dxa"/>
            <w:gridSpan w:val="2"/>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2017-2018</w:t>
            </w:r>
          </w:p>
        </w:tc>
        <w:tc>
          <w:tcPr>
            <w:tcW w:w="2097" w:type="dxa"/>
            <w:gridSpan w:val="2"/>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2018-2019</w:t>
            </w:r>
          </w:p>
        </w:tc>
        <w:tc>
          <w:tcPr>
            <w:tcW w:w="2097" w:type="dxa"/>
            <w:gridSpan w:val="2"/>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2019-2020</w:t>
            </w:r>
          </w:p>
        </w:tc>
        <w:tc>
          <w:tcPr>
            <w:tcW w:w="1122"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亩均</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年产量</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0" w:hRule="atLeast"/>
          <w:tblHeader/>
          <w:jc w:val="center"/>
        </w:trPr>
        <w:tc>
          <w:tcPr>
            <w:tcW w:w="1434"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iCs w:val="0"/>
                <w:color w:val="000000"/>
                <w:kern w:val="2"/>
                <w:sz w:val="24"/>
                <w:szCs w:val="24"/>
                <w:u w:val="none"/>
                <w:lang w:val="en-US" w:eastAsia="zh-CN" w:bidi="ar"/>
              </w:rPr>
            </w:pPr>
          </w:p>
        </w:tc>
        <w:tc>
          <w:tcPr>
            <w:tcW w:w="124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面积</w:t>
            </w:r>
          </w:p>
        </w:tc>
        <w:tc>
          <w:tcPr>
            <w:tcW w:w="85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产量</w:t>
            </w:r>
          </w:p>
        </w:tc>
        <w:tc>
          <w:tcPr>
            <w:tcW w:w="124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面积</w:t>
            </w:r>
          </w:p>
        </w:tc>
        <w:tc>
          <w:tcPr>
            <w:tcW w:w="85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产量</w:t>
            </w:r>
          </w:p>
        </w:tc>
        <w:tc>
          <w:tcPr>
            <w:tcW w:w="124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面积</w:t>
            </w:r>
          </w:p>
        </w:tc>
        <w:tc>
          <w:tcPr>
            <w:tcW w:w="85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产量</w:t>
            </w:r>
          </w:p>
        </w:tc>
        <w:tc>
          <w:tcPr>
            <w:tcW w:w="1122"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iCs w:val="0"/>
                <w:color w:val="000000"/>
                <w:kern w:val="2"/>
                <w:sz w:val="24"/>
                <w:szCs w:val="24"/>
                <w:u w:val="none"/>
                <w:lang w:val="en-US" w:eastAsia="zh-CN" w:bidi="ar"/>
              </w:rPr>
            </w:pP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0" w:hRule="atLeast"/>
          <w:jc w:val="center"/>
        </w:trPr>
        <w:tc>
          <w:tcPr>
            <w:tcW w:w="143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豆角（豇豆）</w:t>
            </w:r>
          </w:p>
        </w:tc>
        <w:tc>
          <w:tcPr>
            <w:tcW w:w="124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16088.9</w:t>
            </w:r>
          </w:p>
        </w:tc>
        <w:tc>
          <w:tcPr>
            <w:tcW w:w="85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3.22</w:t>
            </w:r>
          </w:p>
        </w:tc>
        <w:tc>
          <w:tcPr>
            <w:tcW w:w="124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17296.8</w:t>
            </w:r>
          </w:p>
        </w:tc>
        <w:tc>
          <w:tcPr>
            <w:tcW w:w="85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3.46</w:t>
            </w:r>
          </w:p>
        </w:tc>
        <w:tc>
          <w:tcPr>
            <w:tcW w:w="124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18285.8</w:t>
            </w:r>
          </w:p>
        </w:tc>
        <w:tc>
          <w:tcPr>
            <w:tcW w:w="85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3.66</w:t>
            </w:r>
          </w:p>
        </w:tc>
        <w:tc>
          <w:tcPr>
            <w:tcW w:w="1122"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4千斤</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0" w:hRule="atLeast"/>
          <w:jc w:val="center"/>
        </w:trPr>
        <w:tc>
          <w:tcPr>
            <w:tcW w:w="143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苦瓜</w:t>
            </w:r>
          </w:p>
        </w:tc>
        <w:tc>
          <w:tcPr>
            <w:tcW w:w="124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2342.9</w:t>
            </w:r>
          </w:p>
        </w:tc>
        <w:tc>
          <w:tcPr>
            <w:tcW w:w="85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0.82</w:t>
            </w:r>
          </w:p>
        </w:tc>
        <w:tc>
          <w:tcPr>
            <w:tcW w:w="124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2701.8</w:t>
            </w:r>
          </w:p>
        </w:tc>
        <w:tc>
          <w:tcPr>
            <w:tcW w:w="85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0.47</w:t>
            </w:r>
          </w:p>
        </w:tc>
        <w:tc>
          <w:tcPr>
            <w:tcW w:w="124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4022.3</w:t>
            </w:r>
          </w:p>
        </w:tc>
        <w:tc>
          <w:tcPr>
            <w:tcW w:w="85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0.70</w:t>
            </w:r>
          </w:p>
        </w:tc>
        <w:tc>
          <w:tcPr>
            <w:tcW w:w="1122"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4.4千斤</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0" w:hRule="atLeast"/>
          <w:jc w:val="center"/>
        </w:trPr>
        <w:tc>
          <w:tcPr>
            <w:tcW w:w="143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茄子</w:t>
            </w:r>
          </w:p>
        </w:tc>
        <w:tc>
          <w:tcPr>
            <w:tcW w:w="124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1803.3</w:t>
            </w:r>
          </w:p>
        </w:tc>
        <w:tc>
          <w:tcPr>
            <w:tcW w:w="85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0.54</w:t>
            </w:r>
          </w:p>
        </w:tc>
        <w:tc>
          <w:tcPr>
            <w:tcW w:w="124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2114.2</w:t>
            </w:r>
          </w:p>
        </w:tc>
        <w:tc>
          <w:tcPr>
            <w:tcW w:w="85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0.63</w:t>
            </w:r>
          </w:p>
        </w:tc>
        <w:tc>
          <w:tcPr>
            <w:tcW w:w="124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1993.1</w:t>
            </w:r>
          </w:p>
        </w:tc>
        <w:tc>
          <w:tcPr>
            <w:tcW w:w="85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0.60</w:t>
            </w:r>
          </w:p>
        </w:tc>
        <w:tc>
          <w:tcPr>
            <w:tcW w:w="1122"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6千斤</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0" w:hRule="atLeast"/>
          <w:jc w:val="center"/>
        </w:trPr>
        <w:tc>
          <w:tcPr>
            <w:tcW w:w="143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青瓜</w:t>
            </w:r>
          </w:p>
        </w:tc>
        <w:tc>
          <w:tcPr>
            <w:tcW w:w="124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3105.6</w:t>
            </w:r>
          </w:p>
        </w:tc>
        <w:tc>
          <w:tcPr>
            <w:tcW w:w="85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0.82</w:t>
            </w:r>
          </w:p>
        </w:tc>
        <w:tc>
          <w:tcPr>
            <w:tcW w:w="124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1771.7</w:t>
            </w:r>
          </w:p>
        </w:tc>
        <w:tc>
          <w:tcPr>
            <w:tcW w:w="85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0.62</w:t>
            </w:r>
          </w:p>
        </w:tc>
        <w:tc>
          <w:tcPr>
            <w:tcW w:w="124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1812.8</w:t>
            </w:r>
          </w:p>
        </w:tc>
        <w:tc>
          <w:tcPr>
            <w:tcW w:w="85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0.63</w:t>
            </w:r>
          </w:p>
        </w:tc>
        <w:tc>
          <w:tcPr>
            <w:tcW w:w="1122"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6.2千斤</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0" w:hRule="atLeast"/>
          <w:jc w:val="center"/>
        </w:trPr>
        <w:tc>
          <w:tcPr>
            <w:tcW w:w="143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丝瓜（水瓜）</w:t>
            </w:r>
          </w:p>
        </w:tc>
        <w:tc>
          <w:tcPr>
            <w:tcW w:w="124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1613.1</w:t>
            </w:r>
          </w:p>
        </w:tc>
        <w:tc>
          <w:tcPr>
            <w:tcW w:w="85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0.81</w:t>
            </w:r>
          </w:p>
        </w:tc>
        <w:tc>
          <w:tcPr>
            <w:tcW w:w="124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1424.6</w:t>
            </w:r>
          </w:p>
        </w:tc>
        <w:tc>
          <w:tcPr>
            <w:tcW w:w="85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0.71</w:t>
            </w:r>
          </w:p>
        </w:tc>
        <w:tc>
          <w:tcPr>
            <w:tcW w:w="124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1347.6</w:t>
            </w:r>
          </w:p>
        </w:tc>
        <w:tc>
          <w:tcPr>
            <w:tcW w:w="85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0.67</w:t>
            </w:r>
          </w:p>
        </w:tc>
        <w:tc>
          <w:tcPr>
            <w:tcW w:w="1122"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1万斤</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0" w:hRule="atLeast"/>
          <w:jc w:val="center"/>
        </w:trPr>
        <w:tc>
          <w:tcPr>
            <w:tcW w:w="143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尖椒</w:t>
            </w:r>
          </w:p>
        </w:tc>
        <w:tc>
          <w:tcPr>
            <w:tcW w:w="124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432.0</w:t>
            </w:r>
          </w:p>
        </w:tc>
        <w:tc>
          <w:tcPr>
            <w:tcW w:w="85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0.08</w:t>
            </w:r>
          </w:p>
        </w:tc>
        <w:tc>
          <w:tcPr>
            <w:tcW w:w="124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617.0</w:t>
            </w:r>
          </w:p>
        </w:tc>
        <w:tc>
          <w:tcPr>
            <w:tcW w:w="85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0.11</w:t>
            </w:r>
          </w:p>
        </w:tc>
        <w:tc>
          <w:tcPr>
            <w:tcW w:w="124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1087.5</w:t>
            </w:r>
          </w:p>
        </w:tc>
        <w:tc>
          <w:tcPr>
            <w:tcW w:w="85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0.19</w:t>
            </w:r>
          </w:p>
        </w:tc>
        <w:tc>
          <w:tcPr>
            <w:tcW w:w="1122"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3.6千斤</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0" w:hRule="atLeast"/>
          <w:jc w:val="center"/>
        </w:trPr>
        <w:tc>
          <w:tcPr>
            <w:tcW w:w="143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四季豆</w:t>
            </w:r>
          </w:p>
        </w:tc>
        <w:tc>
          <w:tcPr>
            <w:tcW w:w="124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1108.4</w:t>
            </w:r>
          </w:p>
        </w:tc>
        <w:tc>
          <w:tcPr>
            <w:tcW w:w="85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0.11</w:t>
            </w:r>
          </w:p>
        </w:tc>
        <w:tc>
          <w:tcPr>
            <w:tcW w:w="124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838.8</w:t>
            </w:r>
          </w:p>
        </w:tc>
        <w:tc>
          <w:tcPr>
            <w:tcW w:w="85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0.08</w:t>
            </w:r>
          </w:p>
        </w:tc>
        <w:tc>
          <w:tcPr>
            <w:tcW w:w="124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782.4</w:t>
            </w:r>
          </w:p>
        </w:tc>
        <w:tc>
          <w:tcPr>
            <w:tcW w:w="85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0.08</w:t>
            </w:r>
          </w:p>
        </w:tc>
        <w:tc>
          <w:tcPr>
            <w:tcW w:w="1122"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2千斤</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0" w:hRule="atLeast"/>
          <w:jc w:val="center"/>
        </w:trPr>
        <w:tc>
          <w:tcPr>
            <w:tcW w:w="143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冬瓜</w:t>
            </w:r>
          </w:p>
        </w:tc>
        <w:tc>
          <w:tcPr>
            <w:tcW w:w="124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99.0</w:t>
            </w:r>
          </w:p>
        </w:tc>
        <w:tc>
          <w:tcPr>
            <w:tcW w:w="85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0.10</w:t>
            </w:r>
          </w:p>
        </w:tc>
        <w:tc>
          <w:tcPr>
            <w:tcW w:w="124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66.0</w:t>
            </w:r>
          </w:p>
        </w:tc>
        <w:tc>
          <w:tcPr>
            <w:tcW w:w="85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0.07</w:t>
            </w:r>
          </w:p>
        </w:tc>
        <w:tc>
          <w:tcPr>
            <w:tcW w:w="124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425.8</w:t>
            </w:r>
          </w:p>
        </w:tc>
        <w:tc>
          <w:tcPr>
            <w:tcW w:w="85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0.43</w:t>
            </w:r>
          </w:p>
        </w:tc>
        <w:tc>
          <w:tcPr>
            <w:tcW w:w="1122"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2万斤</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0" w:hRule="atLeast"/>
          <w:jc w:val="center"/>
        </w:trPr>
        <w:tc>
          <w:tcPr>
            <w:tcW w:w="143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葫芦瓜</w:t>
            </w:r>
          </w:p>
        </w:tc>
        <w:tc>
          <w:tcPr>
            <w:tcW w:w="124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103.2</w:t>
            </w:r>
          </w:p>
        </w:tc>
        <w:tc>
          <w:tcPr>
            <w:tcW w:w="85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0.03</w:t>
            </w:r>
          </w:p>
        </w:tc>
        <w:tc>
          <w:tcPr>
            <w:tcW w:w="124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119.6</w:t>
            </w:r>
          </w:p>
        </w:tc>
        <w:tc>
          <w:tcPr>
            <w:tcW w:w="85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0.03</w:t>
            </w:r>
          </w:p>
        </w:tc>
        <w:tc>
          <w:tcPr>
            <w:tcW w:w="124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371.9</w:t>
            </w:r>
          </w:p>
        </w:tc>
        <w:tc>
          <w:tcPr>
            <w:tcW w:w="85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0.09</w:t>
            </w:r>
          </w:p>
        </w:tc>
        <w:tc>
          <w:tcPr>
            <w:tcW w:w="1122"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5千斤</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0" w:hRule="atLeast"/>
          <w:jc w:val="center"/>
        </w:trPr>
        <w:tc>
          <w:tcPr>
            <w:tcW w:w="143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黄秋葵</w:t>
            </w:r>
          </w:p>
        </w:tc>
        <w:tc>
          <w:tcPr>
            <w:tcW w:w="124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104.0</w:t>
            </w:r>
          </w:p>
        </w:tc>
        <w:tc>
          <w:tcPr>
            <w:tcW w:w="85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0.02</w:t>
            </w:r>
          </w:p>
        </w:tc>
        <w:tc>
          <w:tcPr>
            <w:tcW w:w="124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230.0</w:t>
            </w:r>
          </w:p>
        </w:tc>
        <w:tc>
          <w:tcPr>
            <w:tcW w:w="85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0.05</w:t>
            </w:r>
          </w:p>
        </w:tc>
        <w:tc>
          <w:tcPr>
            <w:tcW w:w="124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355.0</w:t>
            </w:r>
          </w:p>
        </w:tc>
        <w:tc>
          <w:tcPr>
            <w:tcW w:w="85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0.07</w:t>
            </w:r>
          </w:p>
        </w:tc>
        <w:tc>
          <w:tcPr>
            <w:tcW w:w="1122"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4千斤</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0" w:hRule="atLeast"/>
          <w:jc w:val="center"/>
        </w:trPr>
        <w:tc>
          <w:tcPr>
            <w:tcW w:w="143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bCs/>
                <w:i/>
                <w:iCs/>
                <w:color w:val="000000"/>
                <w:kern w:val="2"/>
                <w:sz w:val="24"/>
                <w:szCs w:val="24"/>
                <w:u w:val="none"/>
                <w:lang w:val="en-US" w:eastAsia="zh-CN" w:bidi="ar"/>
              </w:rPr>
            </w:pPr>
            <w:r>
              <w:rPr>
                <w:rFonts w:hint="eastAsia" w:ascii="楷体" w:hAnsi="楷体" w:eastAsia="楷体" w:cs="楷体"/>
                <w:b/>
                <w:bCs/>
                <w:i/>
                <w:iCs/>
                <w:color w:val="000000"/>
                <w:kern w:val="2"/>
                <w:sz w:val="24"/>
                <w:szCs w:val="24"/>
                <w:u w:val="none"/>
                <w:lang w:val="en-US" w:eastAsia="zh-CN" w:bidi="ar"/>
              </w:rPr>
              <w:t>瓜菜小计</w:t>
            </w:r>
          </w:p>
        </w:tc>
        <w:tc>
          <w:tcPr>
            <w:tcW w:w="124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bCs/>
                <w:i/>
                <w:iCs/>
                <w:color w:val="000000"/>
                <w:kern w:val="2"/>
                <w:sz w:val="24"/>
                <w:szCs w:val="24"/>
                <w:u w:val="none"/>
                <w:lang w:val="en-US" w:eastAsia="zh-CN" w:bidi="ar"/>
              </w:rPr>
            </w:pPr>
            <w:r>
              <w:rPr>
                <w:rFonts w:hint="eastAsia" w:ascii="楷体" w:hAnsi="楷体" w:eastAsia="楷体" w:cs="楷体"/>
                <w:b/>
                <w:bCs/>
                <w:i/>
                <w:iCs/>
                <w:color w:val="000000"/>
                <w:kern w:val="2"/>
                <w:sz w:val="24"/>
                <w:szCs w:val="24"/>
                <w:u w:val="none"/>
                <w:lang w:val="en-US" w:eastAsia="zh-CN" w:bidi="ar"/>
              </w:rPr>
              <w:t>26800.4</w:t>
            </w:r>
          </w:p>
        </w:tc>
        <w:tc>
          <w:tcPr>
            <w:tcW w:w="85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bCs/>
                <w:i/>
                <w:iCs/>
                <w:color w:val="000000"/>
                <w:kern w:val="2"/>
                <w:sz w:val="24"/>
                <w:szCs w:val="24"/>
                <w:u w:val="none"/>
                <w:lang w:val="en-US" w:eastAsia="zh-CN" w:bidi="ar"/>
              </w:rPr>
            </w:pPr>
            <w:r>
              <w:rPr>
                <w:rFonts w:hint="eastAsia" w:ascii="楷体" w:hAnsi="楷体" w:eastAsia="楷体" w:cs="楷体"/>
                <w:b/>
                <w:bCs/>
                <w:i/>
                <w:iCs/>
                <w:color w:val="000000"/>
                <w:kern w:val="2"/>
                <w:sz w:val="24"/>
                <w:szCs w:val="24"/>
                <w:u w:val="none"/>
                <w:lang w:val="en-US" w:eastAsia="zh-CN" w:bidi="ar"/>
              </w:rPr>
              <w:t>6.55</w:t>
            </w:r>
          </w:p>
        </w:tc>
        <w:tc>
          <w:tcPr>
            <w:tcW w:w="124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bCs/>
                <w:i/>
                <w:iCs/>
                <w:color w:val="000000"/>
                <w:kern w:val="2"/>
                <w:sz w:val="24"/>
                <w:szCs w:val="24"/>
                <w:u w:val="none"/>
                <w:lang w:val="en-US" w:eastAsia="zh-CN" w:bidi="ar"/>
              </w:rPr>
            </w:pPr>
            <w:r>
              <w:rPr>
                <w:rFonts w:hint="eastAsia" w:ascii="楷体" w:hAnsi="楷体" w:eastAsia="楷体" w:cs="楷体"/>
                <w:b/>
                <w:bCs/>
                <w:i/>
                <w:iCs/>
                <w:color w:val="000000"/>
                <w:kern w:val="2"/>
                <w:sz w:val="24"/>
                <w:szCs w:val="24"/>
                <w:u w:val="none"/>
                <w:lang w:val="en-US" w:eastAsia="zh-CN" w:bidi="ar"/>
              </w:rPr>
              <w:t>27180.5</w:t>
            </w:r>
          </w:p>
        </w:tc>
        <w:tc>
          <w:tcPr>
            <w:tcW w:w="85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bCs/>
                <w:i/>
                <w:iCs/>
                <w:color w:val="000000"/>
                <w:kern w:val="2"/>
                <w:sz w:val="24"/>
                <w:szCs w:val="24"/>
                <w:u w:val="none"/>
                <w:lang w:val="en-US" w:eastAsia="zh-CN" w:bidi="ar"/>
              </w:rPr>
            </w:pPr>
            <w:r>
              <w:rPr>
                <w:rFonts w:hint="eastAsia" w:ascii="楷体" w:hAnsi="楷体" w:eastAsia="楷体" w:cs="楷体"/>
                <w:b/>
                <w:bCs/>
                <w:i/>
                <w:iCs/>
                <w:color w:val="000000"/>
                <w:kern w:val="2"/>
                <w:sz w:val="24"/>
                <w:szCs w:val="24"/>
                <w:u w:val="none"/>
                <w:lang w:val="en-US" w:eastAsia="zh-CN" w:bidi="ar"/>
              </w:rPr>
              <w:t>6.23</w:t>
            </w:r>
          </w:p>
        </w:tc>
        <w:tc>
          <w:tcPr>
            <w:tcW w:w="124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bCs/>
                <w:i/>
                <w:iCs/>
                <w:color w:val="000000"/>
                <w:kern w:val="2"/>
                <w:sz w:val="24"/>
                <w:szCs w:val="24"/>
                <w:u w:val="none"/>
                <w:lang w:val="en-US" w:eastAsia="zh-CN" w:bidi="ar"/>
              </w:rPr>
            </w:pPr>
            <w:r>
              <w:rPr>
                <w:rFonts w:hint="eastAsia" w:ascii="楷体" w:hAnsi="楷体" w:eastAsia="楷体" w:cs="楷体"/>
                <w:b/>
                <w:bCs/>
                <w:i/>
                <w:iCs/>
                <w:color w:val="000000"/>
                <w:kern w:val="2"/>
                <w:sz w:val="24"/>
                <w:szCs w:val="24"/>
                <w:u w:val="none"/>
                <w:lang w:val="en-US" w:eastAsia="zh-CN" w:bidi="ar"/>
              </w:rPr>
              <w:t>30484.2</w:t>
            </w:r>
          </w:p>
        </w:tc>
        <w:tc>
          <w:tcPr>
            <w:tcW w:w="85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bCs/>
                <w:i/>
                <w:iCs/>
                <w:color w:val="000000"/>
                <w:kern w:val="2"/>
                <w:sz w:val="24"/>
                <w:szCs w:val="24"/>
                <w:u w:val="none"/>
                <w:lang w:val="en-US" w:eastAsia="zh-CN" w:bidi="ar"/>
              </w:rPr>
            </w:pPr>
            <w:r>
              <w:rPr>
                <w:rFonts w:hint="eastAsia" w:ascii="楷体" w:hAnsi="楷体" w:eastAsia="楷体" w:cs="楷体"/>
                <w:b/>
                <w:bCs/>
                <w:i/>
                <w:iCs/>
                <w:color w:val="000000"/>
                <w:kern w:val="2"/>
                <w:sz w:val="24"/>
                <w:szCs w:val="24"/>
                <w:u w:val="none"/>
                <w:lang w:val="en-US" w:eastAsia="zh-CN" w:bidi="ar"/>
              </w:rPr>
              <w:t>7.12</w:t>
            </w:r>
          </w:p>
        </w:tc>
        <w:tc>
          <w:tcPr>
            <w:tcW w:w="1122"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65" w:hRule="atLeast"/>
          <w:jc w:val="center"/>
        </w:trPr>
        <w:tc>
          <w:tcPr>
            <w:tcW w:w="143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芒果</w:t>
            </w:r>
          </w:p>
        </w:tc>
        <w:tc>
          <w:tcPr>
            <w:tcW w:w="124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140000.0</w:t>
            </w:r>
          </w:p>
        </w:tc>
        <w:tc>
          <w:tcPr>
            <w:tcW w:w="85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22.40</w:t>
            </w:r>
          </w:p>
        </w:tc>
        <w:tc>
          <w:tcPr>
            <w:tcW w:w="124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140000.0</w:t>
            </w:r>
          </w:p>
        </w:tc>
        <w:tc>
          <w:tcPr>
            <w:tcW w:w="85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22.40</w:t>
            </w:r>
          </w:p>
        </w:tc>
        <w:tc>
          <w:tcPr>
            <w:tcW w:w="124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142100.0</w:t>
            </w:r>
          </w:p>
        </w:tc>
        <w:tc>
          <w:tcPr>
            <w:tcW w:w="85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22.73</w:t>
            </w:r>
          </w:p>
        </w:tc>
        <w:tc>
          <w:tcPr>
            <w:tcW w:w="1122"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3.2千斤</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0" w:hRule="atLeast"/>
          <w:jc w:val="center"/>
        </w:trPr>
        <w:tc>
          <w:tcPr>
            <w:tcW w:w="143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密瓜</w:t>
            </w:r>
          </w:p>
        </w:tc>
        <w:tc>
          <w:tcPr>
            <w:tcW w:w="124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2384.0</w:t>
            </w:r>
          </w:p>
        </w:tc>
        <w:tc>
          <w:tcPr>
            <w:tcW w:w="85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0.65</w:t>
            </w:r>
          </w:p>
        </w:tc>
        <w:tc>
          <w:tcPr>
            <w:tcW w:w="124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5346.0</w:t>
            </w:r>
          </w:p>
        </w:tc>
        <w:tc>
          <w:tcPr>
            <w:tcW w:w="85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1.47</w:t>
            </w:r>
          </w:p>
        </w:tc>
        <w:tc>
          <w:tcPr>
            <w:tcW w:w="124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5079.0</w:t>
            </w:r>
          </w:p>
        </w:tc>
        <w:tc>
          <w:tcPr>
            <w:tcW w:w="85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1.40</w:t>
            </w:r>
          </w:p>
        </w:tc>
        <w:tc>
          <w:tcPr>
            <w:tcW w:w="1122"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5.5千斤</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0" w:hRule="atLeast"/>
          <w:jc w:val="center"/>
        </w:trPr>
        <w:tc>
          <w:tcPr>
            <w:tcW w:w="143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iCs/>
                <w:color w:val="000000"/>
                <w:kern w:val="2"/>
                <w:sz w:val="24"/>
                <w:szCs w:val="24"/>
                <w:u w:val="none"/>
                <w:lang w:val="en-US" w:eastAsia="zh-CN" w:bidi="ar"/>
              </w:rPr>
            </w:pPr>
            <w:r>
              <w:rPr>
                <w:rFonts w:hint="eastAsia" w:ascii="楷体" w:hAnsi="楷体" w:eastAsia="楷体" w:cs="楷体"/>
                <w:b/>
                <w:bCs/>
                <w:i/>
                <w:iCs/>
                <w:color w:val="000000"/>
                <w:kern w:val="2"/>
                <w:sz w:val="24"/>
                <w:szCs w:val="24"/>
                <w:u w:val="none"/>
                <w:lang w:val="en-US" w:eastAsia="zh-CN" w:bidi="ar"/>
              </w:rPr>
              <w:t>合计</w:t>
            </w:r>
          </w:p>
        </w:tc>
        <w:tc>
          <w:tcPr>
            <w:tcW w:w="124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bCs/>
                <w:i/>
                <w:iCs/>
                <w:color w:val="000000"/>
                <w:kern w:val="2"/>
                <w:sz w:val="24"/>
                <w:szCs w:val="24"/>
                <w:u w:val="none"/>
                <w:lang w:val="en-US" w:eastAsia="zh-CN" w:bidi="ar"/>
              </w:rPr>
            </w:pPr>
            <w:r>
              <w:rPr>
                <w:rFonts w:hint="eastAsia" w:ascii="楷体" w:hAnsi="楷体" w:eastAsia="楷体" w:cs="楷体"/>
                <w:b/>
                <w:bCs/>
                <w:i/>
                <w:iCs/>
                <w:color w:val="000000"/>
                <w:kern w:val="2"/>
                <w:sz w:val="24"/>
                <w:szCs w:val="24"/>
                <w:u w:val="none"/>
                <w:lang w:val="en-US" w:eastAsia="zh-CN" w:bidi="ar"/>
              </w:rPr>
              <w:t>169184.4</w:t>
            </w:r>
          </w:p>
        </w:tc>
        <w:tc>
          <w:tcPr>
            <w:tcW w:w="85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bCs/>
                <w:i/>
                <w:iCs/>
                <w:color w:val="000000"/>
                <w:kern w:val="2"/>
                <w:sz w:val="24"/>
                <w:szCs w:val="24"/>
                <w:u w:val="none"/>
                <w:lang w:val="en-US" w:eastAsia="zh-CN" w:bidi="ar"/>
              </w:rPr>
            </w:pPr>
            <w:r>
              <w:rPr>
                <w:rFonts w:hint="eastAsia" w:ascii="楷体" w:hAnsi="楷体" w:eastAsia="楷体" w:cs="楷体"/>
                <w:b/>
                <w:bCs/>
                <w:i/>
                <w:iCs/>
                <w:color w:val="000000"/>
                <w:kern w:val="2"/>
                <w:sz w:val="24"/>
                <w:szCs w:val="24"/>
                <w:u w:val="none"/>
                <w:lang w:val="en-US" w:eastAsia="zh-CN" w:bidi="ar"/>
              </w:rPr>
              <w:t>29.6</w:t>
            </w:r>
          </w:p>
        </w:tc>
        <w:tc>
          <w:tcPr>
            <w:tcW w:w="124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bCs/>
                <w:i/>
                <w:iCs/>
                <w:color w:val="000000"/>
                <w:kern w:val="2"/>
                <w:sz w:val="24"/>
                <w:szCs w:val="24"/>
                <w:u w:val="none"/>
                <w:lang w:val="en-US" w:eastAsia="zh-CN" w:bidi="ar"/>
              </w:rPr>
            </w:pPr>
            <w:r>
              <w:rPr>
                <w:rFonts w:hint="eastAsia" w:ascii="楷体" w:hAnsi="楷体" w:eastAsia="楷体" w:cs="楷体"/>
                <w:b/>
                <w:bCs/>
                <w:i/>
                <w:iCs/>
                <w:color w:val="000000"/>
                <w:kern w:val="2"/>
                <w:sz w:val="24"/>
                <w:szCs w:val="24"/>
                <w:u w:val="none"/>
                <w:lang w:val="en-US" w:eastAsia="zh-CN" w:bidi="ar"/>
              </w:rPr>
              <w:t>172526.5</w:t>
            </w:r>
          </w:p>
        </w:tc>
        <w:tc>
          <w:tcPr>
            <w:tcW w:w="85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bCs/>
                <w:i/>
                <w:iCs/>
                <w:color w:val="000000"/>
                <w:kern w:val="2"/>
                <w:sz w:val="24"/>
                <w:szCs w:val="24"/>
                <w:u w:val="none"/>
                <w:lang w:val="en-US" w:eastAsia="zh-CN" w:bidi="ar"/>
              </w:rPr>
            </w:pPr>
            <w:r>
              <w:rPr>
                <w:rFonts w:hint="eastAsia" w:ascii="楷体" w:hAnsi="楷体" w:eastAsia="楷体" w:cs="楷体"/>
                <w:b/>
                <w:bCs/>
                <w:i/>
                <w:iCs/>
                <w:color w:val="000000"/>
                <w:kern w:val="2"/>
                <w:sz w:val="24"/>
                <w:szCs w:val="24"/>
                <w:u w:val="none"/>
                <w:lang w:val="en-US" w:eastAsia="zh-CN" w:bidi="ar"/>
              </w:rPr>
              <w:t>30.1</w:t>
            </w:r>
          </w:p>
        </w:tc>
        <w:tc>
          <w:tcPr>
            <w:tcW w:w="124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bCs/>
                <w:i/>
                <w:iCs/>
                <w:color w:val="000000"/>
                <w:kern w:val="2"/>
                <w:sz w:val="24"/>
                <w:szCs w:val="24"/>
                <w:u w:val="none"/>
                <w:lang w:val="en-US" w:eastAsia="zh-CN" w:bidi="ar"/>
              </w:rPr>
            </w:pPr>
            <w:r>
              <w:rPr>
                <w:rFonts w:hint="eastAsia" w:ascii="楷体" w:hAnsi="楷体" w:eastAsia="楷体" w:cs="楷体"/>
                <w:b/>
                <w:bCs/>
                <w:i/>
                <w:iCs/>
                <w:color w:val="000000"/>
                <w:kern w:val="2"/>
                <w:sz w:val="24"/>
                <w:szCs w:val="24"/>
                <w:u w:val="none"/>
                <w:lang w:val="en-US" w:eastAsia="zh-CN" w:bidi="ar"/>
              </w:rPr>
              <w:t>177663.2</w:t>
            </w:r>
          </w:p>
        </w:tc>
        <w:tc>
          <w:tcPr>
            <w:tcW w:w="85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bCs/>
                <w:i/>
                <w:iCs/>
                <w:color w:val="000000"/>
                <w:kern w:val="2"/>
                <w:sz w:val="24"/>
                <w:szCs w:val="24"/>
                <w:u w:val="none"/>
                <w:lang w:val="en-US" w:eastAsia="zh-CN" w:bidi="ar"/>
              </w:rPr>
            </w:pPr>
            <w:r>
              <w:rPr>
                <w:rFonts w:hint="eastAsia" w:ascii="楷体" w:hAnsi="楷体" w:eastAsia="楷体" w:cs="楷体"/>
                <w:b/>
                <w:bCs/>
                <w:i/>
                <w:iCs/>
                <w:color w:val="000000"/>
                <w:kern w:val="2"/>
                <w:sz w:val="24"/>
                <w:szCs w:val="24"/>
                <w:u w:val="none"/>
                <w:lang w:val="en-US" w:eastAsia="zh-CN" w:bidi="ar"/>
              </w:rPr>
              <w:t>31.25</w:t>
            </w:r>
          </w:p>
        </w:tc>
        <w:tc>
          <w:tcPr>
            <w:tcW w:w="1122"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w:t>
            </w:r>
          </w:p>
        </w:tc>
      </w:tr>
    </w:tbl>
    <w:p>
      <w:pPr>
        <w:pStyle w:val="5"/>
        <w:numPr>
          <w:ilvl w:val="0"/>
          <w:numId w:val="13"/>
        </w:numPr>
        <w:bidi w:val="0"/>
        <w:rPr>
          <w:rFonts w:hint="default"/>
          <w:lang w:val="en-US" w:eastAsia="zh-CN"/>
        </w:rPr>
      </w:pPr>
      <w:bookmarkStart w:id="200" w:name="_Toc15108"/>
      <w:bookmarkStart w:id="201" w:name="_Toc23343"/>
      <w:bookmarkStart w:id="202" w:name="_Toc1275"/>
      <w:r>
        <w:rPr>
          <w:rFonts w:hint="eastAsia"/>
          <w:lang w:val="en-US" w:eastAsia="zh-CN"/>
        </w:rPr>
        <w:t>土地租金高、短工工资高，规模化农业企业望“崖”生叹</w:t>
      </w:r>
      <w:bookmarkEnd w:id="200"/>
      <w:bookmarkEnd w:id="201"/>
      <w:bookmarkEnd w:id="202"/>
    </w:p>
    <w:p>
      <w:pPr>
        <w:rPr>
          <w:rFonts w:hint="default"/>
          <w:lang w:val="en-US" w:eastAsia="zh-CN"/>
        </w:rPr>
      </w:pPr>
      <w:r>
        <w:rPr>
          <w:rFonts w:hint="default"/>
          <w:lang w:val="en-US" w:eastAsia="zh-CN"/>
        </w:rPr>
        <w:t>冬季瓜菜种植给崖州农民带来</w:t>
      </w:r>
      <w:r>
        <w:rPr>
          <w:rFonts w:hint="eastAsia"/>
          <w:lang w:val="en-US" w:eastAsia="zh-CN"/>
        </w:rPr>
        <w:t>较高</w:t>
      </w:r>
      <w:r>
        <w:rPr>
          <w:rFonts w:hint="default"/>
          <w:lang w:val="en-US" w:eastAsia="zh-CN"/>
        </w:rPr>
        <w:t>收入，</w:t>
      </w:r>
      <w:r>
        <w:rPr>
          <w:rFonts w:hint="eastAsia"/>
          <w:lang w:val="en-US" w:eastAsia="zh-CN"/>
        </w:rPr>
        <w:t>以种植豇豆为例，根据田洋条件和田间管理的不同，</w:t>
      </w:r>
      <w:r>
        <w:rPr>
          <w:rFonts w:hint="default"/>
          <w:lang w:val="en-US" w:eastAsia="zh-CN"/>
        </w:rPr>
        <w:t>每亩净利润可达0.</w:t>
      </w:r>
      <w:r>
        <w:rPr>
          <w:rFonts w:hint="eastAsia"/>
          <w:lang w:val="en-US" w:eastAsia="zh-CN"/>
        </w:rPr>
        <w:t>5</w:t>
      </w:r>
      <w:r>
        <w:rPr>
          <w:rFonts w:hint="default"/>
          <w:lang w:val="en-US" w:eastAsia="zh-CN"/>
        </w:rPr>
        <w:t>-1.5万元</w:t>
      </w:r>
      <w:r>
        <w:rPr>
          <w:rFonts w:hint="eastAsia"/>
          <w:lang w:val="en-US" w:eastAsia="zh-CN"/>
        </w:rPr>
        <w:t>。较高的种植收益推高了</w:t>
      </w:r>
      <w:r>
        <w:rPr>
          <w:rFonts w:hint="default"/>
          <w:lang w:val="en-US" w:eastAsia="zh-CN"/>
        </w:rPr>
        <w:t>农地流转租金</w:t>
      </w:r>
      <w:r>
        <w:rPr>
          <w:rFonts w:hint="eastAsia"/>
          <w:lang w:val="en-US" w:eastAsia="zh-CN"/>
        </w:rPr>
        <w:t>，</w:t>
      </w:r>
      <w:r>
        <w:rPr>
          <w:rFonts w:hint="default"/>
          <w:lang w:val="en-US" w:eastAsia="zh-CN"/>
        </w:rPr>
        <w:t>条件较好田洋</w:t>
      </w:r>
      <w:r>
        <w:rPr>
          <w:rFonts w:hint="eastAsia"/>
          <w:lang w:val="en-US" w:eastAsia="zh-CN"/>
        </w:rPr>
        <w:t>的</w:t>
      </w:r>
      <w:r>
        <w:rPr>
          <w:rFonts w:hint="default"/>
          <w:lang w:val="en-US" w:eastAsia="zh-CN"/>
        </w:rPr>
        <w:t>每亩</w:t>
      </w:r>
      <w:r>
        <w:rPr>
          <w:rFonts w:hint="eastAsia"/>
          <w:lang w:val="en-US" w:eastAsia="zh-CN"/>
        </w:rPr>
        <w:t>每年</w:t>
      </w:r>
      <w:r>
        <w:rPr>
          <w:rFonts w:hint="default"/>
          <w:lang w:val="en-US" w:eastAsia="zh-CN"/>
        </w:rPr>
        <w:t>转租价格达2500-3000元，</w:t>
      </w:r>
      <w:r>
        <w:rPr>
          <w:rFonts w:hint="eastAsia" w:ascii="仿宋_GB2312" w:eastAsia="仿宋_GB2312"/>
          <w:lang w:val="en-US" w:eastAsia="zh-CN"/>
        </w:rPr>
        <w:t>显著</w:t>
      </w:r>
      <w:r>
        <w:rPr>
          <w:rFonts w:hint="default"/>
          <w:lang w:val="en-US" w:eastAsia="zh-CN"/>
        </w:rPr>
        <w:t>高于临近乐东县每亩800-1000多元</w:t>
      </w:r>
      <w:r>
        <w:rPr>
          <w:rFonts w:hint="eastAsia" w:ascii="仿宋_GB2312" w:eastAsia="仿宋_GB2312"/>
          <w:lang w:val="en-US" w:eastAsia="zh-CN"/>
        </w:rPr>
        <w:t>的价格</w:t>
      </w:r>
      <w:r>
        <w:rPr>
          <w:rFonts w:hint="default"/>
          <w:lang w:val="en-US" w:eastAsia="zh-CN"/>
        </w:rPr>
        <w:t>。</w:t>
      </w:r>
    </w:p>
    <w:p>
      <w:pPr>
        <w:rPr>
          <w:rFonts w:hint="default"/>
          <w:lang w:val="en-US" w:eastAsia="zh-CN"/>
        </w:rPr>
      </w:pPr>
      <w:r>
        <w:rPr>
          <w:rFonts w:hint="eastAsia" w:ascii="仿宋_GB2312" w:eastAsia="仿宋_GB2312"/>
          <w:lang w:val="en-US" w:eastAsia="zh-CN"/>
        </w:rPr>
        <w:t>另一方面，</w:t>
      </w:r>
      <w:r>
        <w:rPr>
          <w:rFonts w:hint="default"/>
          <w:lang w:val="en-US" w:eastAsia="zh-CN"/>
        </w:rPr>
        <w:t>崖州区内临时用工单位较多，如崖州中心渔港、南繁育种基地、科技城建设工地等，农忙时节</w:t>
      </w:r>
      <w:r>
        <w:rPr>
          <w:rFonts w:hint="eastAsia"/>
          <w:lang w:val="en-US" w:eastAsia="zh-CN"/>
        </w:rPr>
        <w:t>短工</w:t>
      </w:r>
      <w:r>
        <w:rPr>
          <w:rFonts w:hint="eastAsia" w:ascii="仿宋_GB2312" w:eastAsia="仿宋_GB2312"/>
          <w:lang w:val="en-US" w:eastAsia="zh-CN"/>
        </w:rPr>
        <w:t>供不应求，</w:t>
      </w:r>
      <w:r>
        <w:rPr>
          <w:rFonts w:hint="default"/>
          <w:lang w:val="en-US" w:eastAsia="zh-CN"/>
        </w:rPr>
        <w:t>日结工资男工</w:t>
      </w:r>
      <w:r>
        <w:rPr>
          <w:rFonts w:hint="eastAsia" w:ascii="仿宋_GB2312" w:eastAsia="仿宋_GB2312"/>
          <w:lang w:val="en-US" w:eastAsia="zh-CN"/>
        </w:rPr>
        <w:t>可达</w:t>
      </w:r>
      <w:r>
        <w:rPr>
          <w:rFonts w:hint="default"/>
          <w:lang w:val="en-US" w:eastAsia="zh-CN"/>
        </w:rPr>
        <w:t>350元、女工</w:t>
      </w:r>
      <w:r>
        <w:rPr>
          <w:rFonts w:hint="eastAsia" w:ascii="仿宋_GB2312" w:eastAsia="仿宋_GB2312"/>
          <w:lang w:val="en-US" w:eastAsia="zh-CN"/>
        </w:rPr>
        <w:t>可达</w:t>
      </w:r>
      <w:r>
        <w:rPr>
          <w:rFonts w:hint="default"/>
          <w:lang w:val="en-US" w:eastAsia="zh-CN"/>
        </w:rPr>
        <w:t>220-250元，芒果包装等简单工作也要200元以上，</w:t>
      </w:r>
      <w:r>
        <w:rPr>
          <w:rFonts w:hint="eastAsia" w:ascii="仿宋_GB2312" w:eastAsia="仿宋_GB2312"/>
          <w:lang w:val="en-US" w:eastAsia="zh-CN"/>
        </w:rPr>
        <w:t>工资标准明显高于</w:t>
      </w:r>
      <w:r>
        <w:rPr>
          <w:rFonts w:hint="eastAsia"/>
          <w:lang w:val="en-US" w:eastAsia="zh-CN"/>
        </w:rPr>
        <w:t>周边</w:t>
      </w:r>
      <w:r>
        <w:rPr>
          <w:rFonts w:hint="eastAsia" w:ascii="仿宋_GB2312" w:eastAsia="仿宋_GB2312"/>
          <w:lang w:val="en-US" w:eastAsia="zh-CN"/>
        </w:rPr>
        <w:t>地区，形成黄流、九所、育才等地农民来崖州寻找工作机会的现象</w:t>
      </w:r>
      <w:r>
        <w:rPr>
          <w:rFonts w:hint="eastAsia"/>
          <w:lang w:val="en-US" w:eastAsia="zh-CN"/>
        </w:rPr>
        <w:t>。</w:t>
      </w:r>
    </w:p>
    <w:p>
      <w:pPr>
        <w:rPr>
          <w:rFonts w:hint="default"/>
          <w:lang w:val="en-US" w:eastAsia="zh-CN"/>
        </w:rPr>
      </w:pPr>
      <w:r>
        <w:rPr>
          <w:rFonts w:hint="eastAsia" w:ascii="仿宋_GB2312" w:eastAsia="仿宋_GB2312"/>
          <w:lang w:val="en-US" w:eastAsia="zh-CN"/>
        </w:rPr>
        <w:t>崖州种植条件非常好，但</w:t>
      </w:r>
      <w:r>
        <w:rPr>
          <w:rFonts w:hint="eastAsia" w:ascii="仿宋_GB2312" w:eastAsia="仿宋_GB2312"/>
          <w:b/>
          <w:bCs/>
          <w:lang w:val="en-US" w:eastAsia="zh-CN"/>
        </w:rPr>
        <w:t>农地流转租金和</w:t>
      </w:r>
      <w:r>
        <w:rPr>
          <w:rFonts w:hint="eastAsia"/>
          <w:b/>
          <w:bCs/>
          <w:lang w:val="en-US" w:eastAsia="zh-CN"/>
        </w:rPr>
        <w:t>短工</w:t>
      </w:r>
      <w:r>
        <w:rPr>
          <w:rFonts w:hint="eastAsia" w:ascii="仿宋_GB2312" w:eastAsia="仿宋_GB2312"/>
          <w:b/>
          <w:bCs/>
          <w:lang w:val="en-US" w:eastAsia="zh-CN"/>
        </w:rPr>
        <w:t>工资显著高于周边地区</w:t>
      </w:r>
      <w:r>
        <w:rPr>
          <w:rFonts w:hint="eastAsia" w:ascii="仿宋_GB2312" w:eastAsia="仿宋_GB2312"/>
          <w:lang w:val="en-US" w:eastAsia="zh-CN"/>
        </w:rPr>
        <w:t>，除南繁育种基地流转大片土地</w:t>
      </w:r>
      <w:r>
        <w:rPr>
          <w:rFonts w:hint="eastAsia"/>
          <w:lang w:val="en-US" w:eastAsia="zh-CN"/>
        </w:rPr>
        <w:t>、芒果水果种植承包大片山坡地</w:t>
      </w:r>
      <w:r>
        <w:rPr>
          <w:rFonts w:hint="eastAsia" w:ascii="仿宋_GB2312" w:eastAsia="仿宋_GB2312"/>
          <w:lang w:val="en-US" w:eastAsia="zh-CN"/>
        </w:rPr>
        <w:t>，冬季瓜菜</w:t>
      </w:r>
      <w:r>
        <w:rPr>
          <w:rFonts w:hint="eastAsia"/>
          <w:lang w:val="en-US" w:eastAsia="zh-CN"/>
        </w:rPr>
        <w:t>种植的土地流转比例较低，缺少种植业龙头企业，缺少农业联合社，农民仍然小家小户、单打独斗，生产方式已经落后时代发展，难以直接参与市场竞争。</w:t>
      </w:r>
    </w:p>
    <w:tbl>
      <w:tblPr>
        <w:tblStyle w:val="19"/>
        <w:tblW w:w="5000" w:type="pct"/>
        <w:tblInd w:w="0" w:type="dxa"/>
        <w:tblBorders>
          <w:top w:val="thinThickSmallGap" w:color="auto" w:sz="2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thinThickSmallGap" w:color="auto" w:sz="2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22" w:type="dxa"/>
            <w:tcBorders>
              <w:top w:val="thinThickSmallGap" w:color="A4A4A4" w:sz="12" w:space="0"/>
              <w:bottom w:val="thickThinSmallGap" w:color="A4A4A4" w:sz="12" w:space="0"/>
            </w:tcBorders>
            <w:vAlign w:val="top"/>
          </w:tcPr>
          <w:p>
            <w:pPr>
              <w:pStyle w:val="31"/>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b/>
                <w:bCs/>
                <w:sz w:val="24"/>
                <w:szCs w:val="24"/>
                <w:lang w:val="en-US" w:eastAsia="zh-CN"/>
              </w:rPr>
            </w:pPr>
            <w:r>
              <w:rPr>
                <w:rFonts w:hint="eastAsia"/>
                <w:b/>
                <w:bCs/>
                <w:sz w:val="24"/>
                <w:szCs w:val="24"/>
                <w:lang w:val="en-US" w:eastAsia="zh-CN"/>
              </w:rPr>
              <w:t>专栏10  案例借鉴：近邻乐东县的农业“五化”进程</w:t>
            </w:r>
          </w:p>
          <w:p>
            <w:pPr>
              <w:pStyle w:val="3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val="0"/>
                <w:bCs w:val="0"/>
                <w:sz w:val="24"/>
                <w:szCs w:val="24"/>
                <w:lang w:val="en-US" w:eastAsia="zh-CN"/>
              </w:rPr>
            </w:pPr>
            <w:r>
              <w:rPr>
                <w:rFonts w:hint="eastAsia"/>
                <w:b w:val="0"/>
                <w:bCs w:val="0"/>
                <w:sz w:val="24"/>
                <w:szCs w:val="24"/>
                <w:lang w:val="en-US" w:eastAsia="zh-CN"/>
              </w:rPr>
              <w:t>乐东县受水文地形地貌和气候条件影响，农业发展条件不及崖州，近年来始终大力推进农业“五化”发展（品牌化、无害化、标准化、规模化、效益化），乐东农业已走在全省前列。乐东县第一产业GDP达77.5亿元，“十三五”开局以来年均增速达到5.7%，同期崖州第一产业GDP年均增速为3.9%。乐东的主要做法有：</w:t>
            </w:r>
          </w:p>
          <w:p>
            <w:pPr>
              <w:pStyle w:val="3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val="0"/>
                <w:bCs w:val="0"/>
                <w:sz w:val="24"/>
                <w:szCs w:val="24"/>
                <w:lang w:val="en-US" w:eastAsia="zh-CN"/>
              </w:rPr>
            </w:pPr>
            <w:r>
              <w:rPr>
                <w:rFonts w:hint="eastAsia"/>
                <w:b w:val="0"/>
                <w:bCs w:val="0"/>
                <w:sz w:val="24"/>
                <w:szCs w:val="24"/>
                <w:lang w:val="en-US" w:eastAsia="zh-CN"/>
              </w:rPr>
              <w:t>（1）到2019年底创建100个“五化”示范基地，优质农产品覆盖率达95%以上，沿海各镇各建设5个以上规模的设施农业种植基地，打造大棚密瓜现代设施农业产业带、热带花卉现代设施农业产业带、常年蔬菜现代设施农业产业带。</w:t>
            </w:r>
          </w:p>
          <w:p>
            <w:pPr>
              <w:pStyle w:val="3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val="0"/>
                <w:bCs w:val="0"/>
                <w:sz w:val="24"/>
                <w:szCs w:val="24"/>
                <w:lang w:val="en-US" w:eastAsia="zh-CN"/>
              </w:rPr>
            </w:pPr>
            <w:r>
              <w:rPr>
                <w:rFonts w:hint="eastAsia"/>
                <w:b w:val="0"/>
                <w:bCs w:val="0"/>
                <w:sz w:val="24"/>
                <w:szCs w:val="24"/>
                <w:lang w:val="en-US" w:eastAsia="zh-CN"/>
              </w:rPr>
              <w:t>（2）建设蔬菜标准园，推广蔬菜标准化生产，建成连片冬季瓜菜基地50个，平均规模1000亩以上，建成冬季瓜菜、热带水果、热带经济作物等标准化示范园53家。</w:t>
            </w:r>
          </w:p>
          <w:p>
            <w:pPr>
              <w:pStyle w:val="3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val="0"/>
                <w:bCs w:val="0"/>
                <w:sz w:val="24"/>
                <w:szCs w:val="24"/>
                <w:lang w:val="en-US" w:eastAsia="zh-CN"/>
              </w:rPr>
            </w:pPr>
            <w:r>
              <w:rPr>
                <w:rFonts w:hint="eastAsia"/>
                <w:b w:val="0"/>
                <w:bCs w:val="0"/>
                <w:sz w:val="24"/>
                <w:szCs w:val="24"/>
                <w:lang w:val="en-US" w:eastAsia="zh-CN"/>
              </w:rPr>
              <w:t>（3）探索“一产接二连三”发展模式，加强产加销整体构建和区域分工，打造一批产加销一体化、产业链条完整的现代农业园区。</w:t>
            </w:r>
          </w:p>
          <w:p>
            <w:pPr>
              <w:pStyle w:val="3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val="0"/>
                <w:bCs w:val="0"/>
                <w:sz w:val="24"/>
                <w:szCs w:val="24"/>
                <w:lang w:val="en-US" w:eastAsia="zh-CN"/>
              </w:rPr>
            </w:pPr>
            <w:r>
              <w:rPr>
                <w:rFonts w:hint="eastAsia"/>
                <w:b w:val="0"/>
                <w:bCs w:val="0"/>
                <w:sz w:val="24"/>
                <w:szCs w:val="24"/>
                <w:lang w:val="en-US" w:eastAsia="zh-CN"/>
              </w:rPr>
              <w:t>（4）依托中国热带农业科学院、省农科院、省林业研究所和南繁基地等科研单位，引进、试验、示范和推广新品种新技术</w:t>
            </w:r>
          </w:p>
          <w:p>
            <w:pPr>
              <w:pStyle w:val="3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val="0"/>
                <w:bCs w:val="0"/>
                <w:sz w:val="24"/>
                <w:szCs w:val="24"/>
                <w:lang w:val="en-US" w:eastAsia="zh-CN"/>
              </w:rPr>
            </w:pPr>
            <w:r>
              <w:rPr>
                <w:rFonts w:hint="eastAsia"/>
                <w:b w:val="0"/>
                <w:bCs w:val="0"/>
                <w:sz w:val="24"/>
                <w:szCs w:val="24"/>
                <w:lang w:val="en-US" w:eastAsia="zh-CN"/>
              </w:rPr>
              <w:t>（5）打造一批实力强、成长性好、竞争优势明显、示范带动能力突出的农业产业化龙头企业，培育一批互联网应用型农业经营主体。</w:t>
            </w:r>
          </w:p>
          <w:p>
            <w:pPr>
              <w:pStyle w:val="3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b w:val="0"/>
                <w:bCs w:val="0"/>
                <w:sz w:val="24"/>
                <w:szCs w:val="24"/>
                <w:lang w:val="en-US" w:eastAsia="zh-CN"/>
              </w:rPr>
            </w:pPr>
            <w:r>
              <w:rPr>
                <w:rFonts w:hint="eastAsia"/>
                <w:b w:val="0"/>
                <w:bCs w:val="0"/>
                <w:sz w:val="24"/>
                <w:szCs w:val="24"/>
                <w:lang w:val="en-US" w:eastAsia="zh-CN"/>
              </w:rPr>
              <w:t>（6）打响柔鸣火龙果、天池白菜、黎家五脚猪、春姑娘密瓜、景棠莲雾、九所茄子等瓜菜品牌，培育豇豆、玉豆、毛豆等新品牌，拓展乐罗盐渍菜等加工产品品牌，创建黎家五脚猪、黄流老鸭、佛罗昌厚鹅、九所咯咯香、乐东黑米、尖峰岭黄花梨等农副产品品牌。</w:t>
            </w:r>
          </w:p>
        </w:tc>
      </w:tr>
    </w:tbl>
    <w:p>
      <w:pPr>
        <w:pStyle w:val="5"/>
        <w:numPr>
          <w:ilvl w:val="0"/>
          <w:numId w:val="13"/>
        </w:numPr>
        <w:bidi w:val="0"/>
        <w:rPr>
          <w:rFonts w:hint="default"/>
          <w:lang w:val="en-US" w:eastAsia="zh-CN"/>
        </w:rPr>
      </w:pPr>
      <w:bookmarkStart w:id="203" w:name="_Toc6528"/>
      <w:bookmarkStart w:id="204" w:name="_Toc17537"/>
      <w:bookmarkStart w:id="205" w:name="_Toc27115"/>
      <w:r>
        <w:rPr>
          <w:rFonts w:hint="eastAsia"/>
          <w:lang w:val="en-US" w:eastAsia="zh-CN"/>
        </w:rPr>
        <w:t>自然条件优越，但农业</w:t>
      </w:r>
      <w:r>
        <w:rPr>
          <w:rFonts w:hint="default"/>
          <w:lang w:val="en-US" w:eastAsia="zh-CN"/>
        </w:rPr>
        <w:t>现代化</w:t>
      </w:r>
      <w:r>
        <w:rPr>
          <w:rFonts w:hint="eastAsia"/>
          <w:lang w:val="en-US" w:eastAsia="zh-CN"/>
        </w:rPr>
        <w:t>水平</w:t>
      </w:r>
      <w:r>
        <w:rPr>
          <w:rFonts w:hint="default"/>
          <w:lang w:val="en-US" w:eastAsia="zh-CN"/>
        </w:rPr>
        <w:t>不高，</w:t>
      </w:r>
      <w:r>
        <w:rPr>
          <w:rFonts w:hint="eastAsia"/>
          <w:lang w:val="en-US" w:eastAsia="zh-CN"/>
        </w:rPr>
        <w:t>要</w:t>
      </w:r>
      <w:r>
        <w:rPr>
          <w:rFonts w:hint="default"/>
          <w:lang w:val="en-US" w:eastAsia="zh-CN"/>
        </w:rPr>
        <w:t>警惕“资源诅咒”现象</w:t>
      </w:r>
      <w:bookmarkEnd w:id="203"/>
      <w:bookmarkEnd w:id="204"/>
      <w:bookmarkEnd w:id="205"/>
    </w:p>
    <w:p>
      <w:pPr>
        <w:rPr>
          <w:rFonts w:hint="eastAsia" w:ascii="仿宋_GB2312" w:eastAsia="仿宋_GB2312"/>
          <w:lang w:val="en-US" w:eastAsia="zh-CN"/>
        </w:rPr>
      </w:pPr>
      <w:r>
        <w:rPr>
          <w:rFonts w:hint="eastAsia" w:ascii="仿宋_GB2312" w:eastAsia="仿宋_GB2312"/>
          <w:lang w:val="en-US" w:eastAsia="zh-CN"/>
        </w:rPr>
        <w:t>崖州北高南低、田洋广布、水系丰富、土壤肥沃，气温和光照条件好于海南北部，降水条件好于海南西部，南繁汇聚了全国的农业研发力量，</w:t>
      </w:r>
      <w:r>
        <w:rPr>
          <w:rFonts w:hint="eastAsia"/>
          <w:lang w:val="en-US" w:eastAsia="zh-CN"/>
        </w:rPr>
        <w:t>具备</w:t>
      </w:r>
      <w:r>
        <w:rPr>
          <w:rFonts w:hint="eastAsia" w:ascii="仿宋_GB2312" w:eastAsia="仿宋_GB2312"/>
          <w:lang w:val="en-US" w:eastAsia="zh-CN"/>
        </w:rPr>
        <w:t>农业规模化、标准化、现代化、品牌化的</w:t>
      </w:r>
      <w:r>
        <w:rPr>
          <w:rFonts w:hint="eastAsia"/>
          <w:lang w:val="en-US" w:eastAsia="zh-CN"/>
        </w:rPr>
        <w:t>条件</w:t>
      </w:r>
      <w:r>
        <w:rPr>
          <w:rFonts w:hint="eastAsia" w:ascii="仿宋_GB2312" w:eastAsia="仿宋_GB2312"/>
          <w:lang w:val="en-US" w:eastAsia="zh-CN"/>
        </w:rPr>
        <w:t>。优越的自然条件非常适宜冬季瓜菜</w:t>
      </w:r>
      <w:r>
        <w:rPr>
          <w:rFonts w:hint="eastAsia"/>
          <w:lang w:val="en-US" w:eastAsia="zh-CN"/>
        </w:rPr>
        <w:t>生长</w:t>
      </w:r>
      <w:r>
        <w:rPr>
          <w:rFonts w:hint="eastAsia" w:ascii="仿宋_GB2312" w:eastAsia="仿宋_GB2312"/>
          <w:lang w:val="en-US" w:eastAsia="zh-CN"/>
        </w:rPr>
        <w:t>，</w:t>
      </w:r>
      <w:r>
        <w:rPr>
          <w:rFonts w:hint="eastAsia"/>
          <w:lang w:val="en-US" w:eastAsia="zh-CN"/>
        </w:rPr>
        <w:t>农户在基本的资金投入和简单的田间管理基础上，就能够获得较好的收益。而</w:t>
      </w:r>
      <w:r>
        <w:rPr>
          <w:rFonts w:hint="eastAsia" w:ascii="仿宋_GB2312" w:eastAsia="仿宋_GB2312"/>
          <w:lang w:val="en-US" w:eastAsia="zh-CN"/>
        </w:rPr>
        <w:t>设施农业</w:t>
      </w:r>
      <w:r>
        <w:rPr>
          <w:rFonts w:hint="eastAsia"/>
          <w:lang w:val="en-US" w:eastAsia="zh-CN"/>
        </w:rPr>
        <w:t>初期资金</w:t>
      </w:r>
      <w:r>
        <w:rPr>
          <w:rFonts w:hint="eastAsia" w:ascii="仿宋_GB2312" w:eastAsia="仿宋_GB2312"/>
          <w:lang w:val="en-US" w:eastAsia="zh-CN"/>
        </w:rPr>
        <w:t>投入大、</w:t>
      </w:r>
      <w:r>
        <w:rPr>
          <w:rFonts w:hint="eastAsia"/>
          <w:lang w:val="en-US" w:eastAsia="zh-CN"/>
        </w:rPr>
        <w:t>日常运营技术要求高、投资</w:t>
      </w:r>
      <w:r>
        <w:rPr>
          <w:rFonts w:hint="eastAsia" w:ascii="仿宋_GB2312" w:eastAsia="仿宋_GB2312"/>
          <w:lang w:val="en-US" w:eastAsia="zh-CN"/>
        </w:rPr>
        <w:t>风险较高，</w:t>
      </w:r>
      <w:r>
        <w:rPr>
          <w:rFonts w:hint="eastAsia"/>
          <w:lang w:val="en-US" w:eastAsia="zh-CN"/>
        </w:rPr>
        <w:t>加之崖州缺少农业合作社的农业组织角色，使得农户</w:t>
      </w:r>
      <w:r>
        <w:rPr>
          <w:rFonts w:hint="eastAsia" w:ascii="仿宋_GB2312" w:eastAsia="仿宋_GB2312"/>
          <w:lang w:val="en-US" w:eastAsia="zh-CN"/>
        </w:rPr>
        <w:t>积极性不高</w:t>
      </w:r>
      <w:r>
        <w:rPr>
          <w:rFonts w:hint="eastAsia"/>
          <w:lang w:val="en-US" w:eastAsia="zh-CN"/>
        </w:rPr>
        <w:t>。</w:t>
      </w:r>
      <w:r>
        <w:rPr>
          <w:rFonts w:hint="eastAsia" w:ascii="仿宋_GB2312" w:eastAsia="仿宋_GB2312"/>
          <w:lang w:val="en-US" w:eastAsia="zh-CN"/>
        </w:rPr>
        <w:t>崖州冬季瓜菜种植现代化水平与寿光、以色列等相比有很大差距，与乐东等邻近相比差距也</w:t>
      </w:r>
      <w:r>
        <w:rPr>
          <w:rFonts w:hint="eastAsia"/>
          <w:lang w:val="en-US" w:eastAsia="zh-CN"/>
        </w:rPr>
        <w:t>很</w:t>
      </w:r>
      <w:r>
        <w:rPr>
          <w:rFonts w:hint="eastAsia" w:ascii="仿宋_GB2312" w:eastAsia="仿宋_GB2312"/>
          <w:lang w:val="en-US" w:eastAsia="zh-CN"/>
        </w:rPr>
        <w:t>明显，</w:t>
      </w:r>
      <w:r>
        <w:rPr>
          <w:rFonts w:hint="eastAsia" w:ascii="仿宋_GB2312" w:eastAsia="仿宋_GB2312"/>
          <w:b/>
          <w:bCs/>
          <w:lang w:val="en-US" w:eastAsia="zh-CN"/>
        </w:rPr>
        <w:t>崖州</w:t>
      </w:r>
      <w:r>
        <w:rPr>
          <w:rFonts w:hint="eastAsia"/>
          <w:b/>
          <w:bCs/>
          <w:lang w:val="en-US" w:eastAsia="zh-CN"/>
        </w:rPr>
        <w:t>瓜菜</w:t>
      </w:r>
      <w:r>
        <w:rPr>
          <w:rFonts w:hint="eastAsia" w:ascii="仿宋_GB2312" w:eastAsia="仿宋_GB2312"/>
          <w:b/>
          <w:bCs/>
          <w:lang w:val="en-US" w:eastAsia="zh-CN"/>
        </w:rPr>
        <w:t>种植</w:t>
      </w:r>
      <w:r>
        <w:rPr>
          <w:rFonts w:hint="eastAsia"/>
          <w:b/>
          <w:bCs/>
          <w:lang w:val="en-US" w:eastAsia="zh-CN"/>
        </w:rPr>
        <w:t>的</w:t>
      </w:r>
      <w:r>
        <w:rPr>
          <w:rFonts w:hint="eastAsia" w:ascii="仿宋_GB2312" w:eastAsia="仿宋_GB2312"/>
          <w:b/>
          <w:bCs/>
          <w:lang w:val="en-US" w:eastAsia="zh-CN"/>
        </w:rPr>
        <w:t>现代化水平有很大提升空间</w:t>
      </w:r>
      <w:r>
        <w:rPr>
          <w:rFonts w:hint="eastAsia" w:ascii="仿宋_GB2312" w:eastAsia="仿宋_GB2312"/>
          <w:lang w:val="en-US" w:eastAsia="zh-CN"/>
        </w:rPr>
        <w:t>。</w:t>
      </w:r>
    </w:p>
    <w:p>
      <w:pPr>
        <w:rPr>
          <w:rFonts w:hint="eastAsia"/>
          <w:lang w:val="en-US" w:eastAsia="zh-CN"/>
        </w:rPr>
      </w:pPr>
      <w:r>
        <w:rPr>
          <w:rFonts w:hint="eastAsia"/>
          <w:lang w:val="en-US" w:eastAsia="zh-CN"/>
        </w:rPr>
        <w:t>2020年，崖州第一产业GDP为21.2亿元，占三亚第一产业GDP（79.3亿元）的26.6%。</w:t>
      </w:r>
      <w:r>
        <w:rPr>
          <w:rFonts w:hint="eastAsia" w:ascii="仿宋_GB2312" w:eastAsia="仿宋_GB2312"/>
          <w:lang w:val="en-US" w:eastAsia="zh-CN"/>
        </w:rPr>
        <w:t>崖州</w:t>
      </w:r>
      <w:r>
        <w:rPr>
          <w:rFonts w:hint="default" w:ascii="仿宋_GB2312" w:eastAsia="仿宋_GB2312"/>
          <w:lang w:val="en-US" w:eastAsia="zh-CN"/>
        </w:rPr>
        <w:t>第一产业</w:t>
      </w:r>
      <w:r>
        <w:rPr>
          <w:rFonts w:hint="eastAsia" w:ascii="仿宋_GB2312" w:eastAsia="仿宋_GB2312"/>
          <w:lang w:val="en-US" w:eastAsia="zh-CN"/>
        </w:rPr>
        <w:t>GDP</w:t>
      </w:r>
      <w:r>
        <w:rPr>
          <w:rFonts w:hint="eastAsia"/>
          <w:lang w:val="en-US" w:eastAsia="zh-CN"/>
        </w:rPr>
        <w:t>自</w:t>
      </w:r>
      <w:r>
        <w:rPr>
          <w:rFonts w:hint="eastAsia" w:ascii="仿宋_GB2312" w:eastAsia="仿宋_GB2312"/>
          <w:lang w:val="en-US" w:eastAsia="zh-CN"/>
        </w:rPr>
        <w:t>2015年以来年均</w:t>
      </w:r>
      <w:r>
        <w:rPr>
          <w:rFonts w:hint="default" w:ascii="仿宋_GB2312" w:eastAsia="仿宋_GB2312"/>
          <w:lang w:val="en-US" w:eastAsia="zh-CN"/>
        </w:rPr>
        <w:t>增速</w:t>
      </w:r>
      <w:r>
        <w:rPr>
          <w:rFonts w:hint="eastAsia"/>
          <w:lang w:val="en-US" w:eastAsia="zh-CN"/>
        </w:rPr>
        <w:t>为</w:t>
      </w:r>
      <w:r>
        <w:rPr>
          <w:rFonts w:hint="eastAsia" w:ascii="仿宋_GB2312" w:eastAsia="仿宋_GB2312"/>
          <w:lang w:val="en-US" w:eastAsia="zh-CN"/>
        </w:rPr>
        <w:t>3.9%，</w:t>
      </w:r>
      <w:r>
        <w:rPr>
          <w:rFonts w:hint="default" w:ascii="仿宋_GB2312" w:eastAsia="仿宋_GB2312"/>
          <w:lang w:val="en-US" w:eastAsia="zh-CN"/>
        </w:rPr>
        <w:t>低于三亚</w:t>
      </w:r>
      <w:r>
        <w:rPr>
          <w:rFonts w:hint="eastAsia"/>
          <w:lang w:val="en-US" w:eastAsia="zh-CN"/>
        </w:rPr>
        <w:t>（5.9%）</w:t>
      </w:r>
      <w:r>
        <w:rPr>
          <w:rFonts w:hint="default" w:ascii="仿宋_GB2312" w:eastAsia="仿宋_GB2312"/>
          <w:lang w:val="en-US" w:eastAsia="zh-CN"/>
        </w:rPr>
        <w:t>和全省</w:t>
      </w:r>
      <w:r>
        <w:rPr>
          <w:rFonts w:hint="eastAsia"/>
          <w:lang w:val="en-US" w:eastAsia="zh-CN"/>
        </w:rPr>
        <w:t>（5.8%）</w:t>
      </w:r>
      <w:r>
        <w:rPr>
          <w:rFonts w:hint="eastAsia" w:ascii="仿宋_GB2312" w:eastAsia="仿宋_GB2312"/>
          <w:lang w:val="en-US" w:eastAsia="zh-CN"/>
        </w:rPr>
        <w:t>，第一产业</w:t>
      </w:r>
      <w:r>
        <w:rPr>
          <w:rFonts w:hint="eastAsia"/>
          <w:b/>
          <w:bCs/>
          <w:lang w:val="en-US" w:eastAsia="zh-CN"/>
        </w:rPr>
        <w:t>增速较慢的主要原因在于产业转型升级步伐较慢</w:t>
      </w:r>
      <w:r>
        <w:rPr>
          <w:rFonts w:hint="eastAsia"/>
          <w:lang w:val="en-US" w:eastAsia="zh-CN"/>
        </w:rPr>
        <w:t>。崖州自然条件十分优越，水土光热配比少有出其右者，要避免“资源诅咒”，贻误产业转型升级的良好时机。</w:t>
      </w:r>
    </w:p>
    <w:p>
      <w:pPr>
        <w:rPr>
          <w:rFonts w:hint="eastAsia"/>
          <w:lang w:val="en-US" w:eastAsia="zh-CN"/>
        </w:rPr>
      </w:pPr>
      <w:r>
        <w:rPr>
          <w:rFonts w:hint="eastAsia" w:ascii="仿宋_GB2312" w:eastAsia="仿宋_GB2312"/>
          <w:b/>
          <w:bCs/>
          <w:lang w:val="en-US" w:eastAsia="zh-CN"/>
        </w:rPr>
        <w:t>从要素投入来看</w:t>
      </w:r>
      <w:r>
        <w:rPr>
          <w:rFonts w:hint="eastAsia"/>
          <w:lang w:val="en-US" w:eastAsia="zh-CN"/>
        </w:rPr>
        <w:t>。</w:t>
      </w:r>
      <w:r>
        <w:rPr>
          <w:rFonts w:hint="eastAsia" w:ascii="仿宋_GB2312" w:eastAsia="仿宋_GB2312"/>
          <w:lang w:val="en-US" w:eastAsia="zh-CN"/>
        </w:rPr>
        <w:t>崖州</w:t>
      </w:r>
      <w:r>
        <w:rPr>
          <w:rFonts w:hint="eastAsia"/>
          <w:lang w:val="en-US" w:eastAsia="zh-CN"/>
        </w:rPr>
        <w:t>种植业每年重复性</w:t>
      </w:r>
      <w:r>
        <w:rPr>
          <w:rFonts w:hint="eastAsia" w:ascii="仿宋_GB2312" w:eastAsia="仿宋_GB2312"/>
          <w:lang w:val="en-US" w:eastAsia="zh-CN"/>
        </w:rPr>
        <w:t>投入土地、劳动力、农资</w:t>
      </w:r>
      <w:r>
        <w:rPr>
          <w:rFonts w:hint="eastAsia"/>
          <w:lang w:val="en-US" w:eastAsia="zh-CN"/>
        </w:rPr>
        <w:t>，重复投入低端发展要素只能维持产业现状，带来</w:t>
      </w:r>
      <w:r>
        <w:rPr>
          <w:rFonts w:hint="eastAsia"/>
          <w:b/>
          <w:bCs/>
          <w:lang w:val="en-US" w:eastAsia="zh-CN"/>
        </w:rPr>
        <w:t>低速增长和低效增长</w:t>
      </w:r>
      <w:r>
        <w:rPr>
          <w:rFonts w:hint="eastAsia"/>
          <w:lang w:val="en-US" w:eastAsia="zh-CN"/>
        </w:rPr>
        <w:t>，并导致</w:t>
      </w:r>
      <w:r>
        <w:rPr>
          <w:rFonts w:hint="eastAsia" w:ascii="仿宋_GB2312" w:eastAsia="仿宋_GB2312"/>
          <w:b w:val="0"/>
          <w:bCs w:val="0"/>
          <w:lang w:val="en-US" w:eastAsia="zh-CN"/>
        </w:rPr>
        <w:t>边际收益显著递减</w:t>
      </w:r>
      <w:r>
        <w:rPr>
          <w:rFonts w:hint="eastAsia" w:ascii="仿宋_GB2312" w:eastAsia="仿宋_GB2312"/>
          <w:lang w:val="en-US" w:eastAsia="zh-CN"/>
        </w:rPr>
        <w:t>。</w:t>
      </w:r>
      <w:r>
        <w:rPr>
          <w:rFonts w:hint="eastAsia"/>
          <w:lang w:val="en-US" w:eastAsia="zh-CN"/>
        </w:rPr>
        <w:t>在种植面积稳定的前提下，崖州农业</w:t>
      </w:r>
      <w:r>
        <w:rPr>
          <w:rFonts w:hint="eastAsia"/>
          <w:b/>
          <w:bCs/>
          <w:lang w:val="en-US" w:eastAsia="zh-CN"/>
        </w:rPr>
        <w:t>只能通过提高发展质量实现快速增长</w:t>
      </w:r>
      <w:r>
        <w:rPr>
          <w:rFonts w:hint="eastAsia"/>
          <w:lang w:val="en-US" w:eastAsia="zh-CN"/>
        </w:rPr>
        <w:t>，而投入规模化、设施化、现代化、品牌化要素是提高发展质量的前提，否则崖州种植业只能在低位徘徊。</w:t>
      </w:r>
    </w:p>
    <w:p>
      <w:pPr>
        <w:rPr>
          <w:rFonts w:hint="default" w:ascii="仿宋_GB2312" w:eastAsia="仿宋_GB2312"/>
          <w:lang w:val="en-US" w:eastAsia="zh-CN"/>
        </w:rPr>
      </w:pPr>
      <w:r>
        <w:rPr>
          <w:rFonts w:hint="eastAsia"/>
          <w:b/>
          <w:bCs/>
          <w:lang w:val="en-US" w:eastAsia="zh-CN"/>
        </w:rPr>
        <w:t>从生产组织看</w:t>
      </w:r>
      <w:r>
        <w:rPr>
          <w:rFonts w:hint="eastAsia"/>
          <w:lang w:val="en-US" w:eastAsia="zh-CN"/>
        </w:rPr>
        <w:t>。崖州种植业以分散经营和小农小户经营为主，农业联合体和龙头企业较少，整体带动效果不明显，</w:t>
      </w:r>
      <w:r>
        <w:rPr>
          <w:rFonts w:hint="eastAsia"/>
          <w:b/>
          <w:bCs/>
          <w:lang w:val="en-US" w:eastAsia="zh-CN"/>
        </w:rPr>
        <w:t>农业组织程度不高</w:t>
      </w:r>
      <w:r>
        <w:rPr>
          <w:rFonts w:hint="eastAsia"/>
          <w:lang w:val="en-US" w:eastAsia="zh-CN"/>
        </w:rPr>
        <w:t>，提高农业组织程度与投入高端要素相辅相成、一体两面，需要共同推进。</w:t>
      </w:r>
    </w:p>
    <w:p>
      <w:pPr>
        <w:pStyle w:val="5"/>
        <w:numPr>
          <w:ilvl w:val="0"/>
          <w:numId w:val="13"/>
        </w:numPr>
        <w:bidi w:val="0"/>
        <w:rPr>
          <w:rFonts w:hint="default"/>
          <w:lang w:val="en-US" w:eastAsia="zh-CN"/>
        </w:rPr>
      </w:pPr>
      <w:bookmarkStart w:id="206" w:name="_Toc25956"/>
      <w:bookmarkStart w:id="207" w:name="_Toc22494"/>
      <w:bookmarkStart w:id="208" w:name="_Toc344"/>
      <w:r>
        <w:rPr>
          <w:rFonts w:hint="eastAsia"/>
          <w:lang w:val="en-US" w:eastAsia="zh-CN"/>
        </w:rPr>
        <w:t>知海南不知崖州，存在“有品无牌”现象，酒香也怕巷子深</w:t>
      </w:r>
      <w:bookmarkEnd w:id="206"/>
      <w:bookmarkEnd w:id="207"/>
      <w:bookmarkEnd w:id="208"/>
    </w:p>
    <w:p>
      <w:pPr>
        <w:rPr>
          <w:rFonts w:hint="eastAsia" w:ascii="仿宋_GB2312" w:eastAsia="仿宋_GB2312"/>
          <w:lang w:val="en-US" w:eastAsia="zh-CN"/>
        </w:rPr>
      </w:pPr>
      <w:r>
        <w:rPr>
          <w:rFonts w:hint="eastAsia" w:ascii="仿宋_GB2312" w:eastAsia="仿宋_GB2312"/>
          <w:lang w:val="en-US" w:eastAsia="zh-CN"/>
        </w:rPr>
        <w:t>崖州是冬季瓜菜和热带水果的生产种植基地，2019-2020年冬季种植季共出产各类瓜菜水果31.25万吨</w:t>
      </w:r>
      <w:r>
        <w:rPr>
          <w:rFonts w:hint="eastAsia"/>
          <w:lang w:val="en-US" w:eastAsia="zh-CN"/>
        </w:rPr>
        <w:t>合</w:t>
      </w:r>
      <w:r>
        <w:rPr>
          <w:rFonts w:hint="eastAsia" w:ascii="仿宋_GB2312" w:eastAsia="仿宋_GB2312"/>
          <w:lang w:val="en-US" w:eastAsia="zh-CN"/>
        </w:rPr>
        <w:t>（6.25亿斤），</w:t>
      </w:r>
      <w:r>
        <w:rPr>
          <w:rFonts w:hint="eastAsia"/>
          <w:lang w:val="en-US" w:eastAsia="zh-CN"/>
        </w:rPr>
        <w:t>崖州</w:t>
      </w:r>
      <w:r>
        <w:rPr>
          <w:rFonts w:hint="eastAsia" w:ascii="仿宋_GB2312" w:eastAsia="仿宋_GB2312"/>
          <w:b w:val="0"/>
          <w:bCs w:val="0"/>
          <w:lang w:val="en-US" w:eastAsia="zh-CN"/>
        </w:rPr>
        <w:t>每年</w:t>
      </w:r>
      <w:r>
        <w:rPr>
          <w:rFonts w:hint="eastAsia" w:ascii="仿宋_GB2312" w:eastAsia="仿宋_GB2312"/>
          <w:b/>
          <w:bCs/>
          <w:lang w:val="en-US" w:eastAsia="zh-CN"/>
        </w:rPr>
        <w:t>向每个国人供应0.5斤瓜菜水果</w:t>
      </w:r>
      <w:r>
        <w:rPr>
          <w:rFonts w:hint="eastAsia" w:ascii="仿宋_GB2312" w:eastAsia="仿宋_GB2312"/>
          <w:lang w:val="en-US" w:eastAsia="zh-CN"/>
        </w:rPr>
        <w:t>。崖州是琼南地区农产品物流集散交易基地，农产品辐射大半个中国，但</w:t>
      </w:r>
      <w:r>
        <w:rPr>
          <w:rFonts w:hint="eastAsia"/>
          <w:lang w:val="en-US" w:eastAsia="zh-CN"/>
        </w:rPr>
        <w:t>本地农业组织缺位，</w:t>
      </w:r>
      <w:r>
        <w:rPr>
          <w:rFonts w:hint="eastAsia" w:ascii="仿宋_GB2312" w:eastAsia="仿宋_GB2312"/>
          <w:lang w:val="en-US" w:eastAsia="zh-CN"/>
        </w:rPr>
        <w:t>小农户难以对接市场，出岛渠道被外地流通商把控</w:t>
      </w:r>
      <w:r>
        <w:rPr>
          <w:rFonts w:hint="eastAsia"/>
          <w:lang w:val="en-US" w:eastAsia="zh-CN"/>
        </w:rPr>
        <w:t>。外地流通商没有动力打造崖州品牌，</w:t>
      </w:r>
      <w:r>
        <w:rPr>
          <w:rFonts w:hint="eastAsia" w:ascii="仿宋_GB2312" w:eastAsia="仿宋_GB2312"/>
          <w:lang w:val="en-US" w:eastAsia="zh-CN"/>
        </w:rPr>
        <w:t>导致</w:t>
      </w:r>
      <w:r>
        <w:rPr>
          <w:rFonts w:hint="eastAsia" w:ascii="仿宋_GB2312" w:eastAsia="仿宋_GB2312"/>
          <w:b w:val="0"/>
          <w:bCs w:val="0"/>
          <w:lang w:val="en-US" w:eastAsia="zh-CN"/>
        </w:rPr>
        <w:t>消费者</w:t>
      </w:r>
      <w:r>
        <w:rPr>
          <w:rFonts w:hint="eastAsia" w:ascii="仿宋_GB2312" w:eastAsia="仿宋_GB2312"/>
          <w:b/>
          <w:bCs/>
          <w:lang w:val="en-US" w:eastAsia="zh-CN"/>
        </w:rPr>
        <w:t>知海南不知崖州</w:t>
      </w:r>
      <w:r>
        <w:rPr>
          <w:rFonts w:hint="eastAsia" w:ascii="仿宋_GB2312" w:eastAsia="仿宋_GB2312"/>
          <w:lang w:val="en-US" w:eastAsia="zh-CN"/>
        </w:rPr>
        <w:t>，甚至瓜菜水果</w:t>
      </w:r>
      <w:r>
        <w:rPr>
          <w:rFonts w:hint="eastAsia"/>
          <w:lang w:val="en-US" w:eastAsia="zh-CN"/>
        </w:rPr>
        <w:t>出岛</w:t>
      </w:r>
      <w:r>
        <w:rPr>
          <w:rFonts w:hint="eastAsia" w:ascii="仿宋_GB2312" w:eastAsia="仿宋_GB2312"/>
          <w:lang w:val="en-US" w:eastAsia="zh-CN"/>
        </w:rPr>
        <w:t>包装摇身一变成为广东货。分析海南</w:t>
      </w:r>
      <w:r>
        <w:rPr>
          <w:rFonts w:hint="eastAsia"/>
          <w:lang w:val="en-US" w:eastAsia="zh-CN"/>
        </w:rPr>
        <w:t>认证的37个</w:t>
      </w:r>
      <w:r>
        <w:rPr>
          <w:rFonts w:hint="eastAsia" w:ascii="仿宋_GB2312" w:eastAsia="仿宋_GB2312"/>
          <w:lang w:val="en-US" w:eastAsia="zh-CN"/>
        </w:rPr>
        <w:t>国家农产品地理标志产品，可以发现崖州农业品牌</w:t>
      </w:r>
      <w:r>
        <w:rPr>
          <w:rFonts w:hint="eastAsia"/>
          <w:lang w:val="en-US" w:eastAsia="zh-CN"/>
        </w:rPr>
        <w:t>化</w:t>
      </w:r>
      <w:r>
        <w:rPr>
          <w:rFonts w:hint="eastAsia" w:ascii="仿宋_GB2312" w:eastAsia="仿宋_GB2312"/>
          <w:lang w:val="en-US" w:eastAsia="zh-CN"/>
        </w:rPr>
        <w:t>发展</w:t>
      </w:r>
      <w:r>
        <w:rPr>
          <w:rFonts w:hint="eastAsia"/>
          <w:lang w:val="en-US" w:eastAsia="zh-CN"/>
        </w:rPr>
        <w:t>的</w:t>
      </w:r>
      <w:r>
        <w:rPr>
          <w:rFonts w:hint="eastAsia" w:ascii="仿宋_GB2312" w:eastAsia="仿宋_GB2312"/>
          <w:lang w:val="en-US" w:eastAsia="zh-CN"/>
        </w:rPr>
        <w:t>不足。</w:t>
      </w:r>
    </w:p>
    <w:p>
      <w:pPr>
        <w:rPr>
          <w:rFonts w:hint="eastAsia" w:ascii="仿宋_GB2312" w:eastAsia="仿宋_GB2312"/>
          <w:lang w:val="en-US" w:eastAsia="zh-CN"/>
        </w:rPr>
      </w:pPr>
      <w:r>
        <w:rPr>
          <w:rFonts w:hint="eastAsia" w:ascii="仿宋_GB2312" w:eastAsia="仿宋_GB2312"/>
          <w:b/>
          <w:bCs/>
          <w:lang w:val="en-US" w:eastAsia="zh-CN"/>
        </w:rPr>
        <w:t>一是突出三亚</w:t>
      </w:r>
      <w:r>
        <w:rPr>
          <w:rFonts w:hint="eastAsia"/>
          <w:b/>
          <w:bCs/>
          <w:lang w:val="en-US" w:eastAsia="zh-CN"/>
        </w:rPr>
        <w:t>弱化</w:t>
      </w:r>
      <w:r>
        <w:rPr>
          <w:rFonts w:hint="eastAsia" w:ascii="仿宋_GB2312" w:eastAsia="仿宋_GB2312"/>
          <w:b/>
          <w:bCs/>
          <w:lang w:val="en-US" w:eastAsia="zh-CN"/>
        </w:rPr>
        <w:t>崖州</w:t>
      </w:r>
      <w:r>
        <w:rPr>
          <w:rFonts w:hint="eastAsia"/>
          <w:b/>
          <w:bCs/>
          <w:lang w:val="en-US" w:eastAsia="zh-CN"/>
        </w:rPr>
        <w:t>。</w:t>
      </w:r>
      <w:r>
        <w:rPr>
          <w:rFonts w:hint="eastAsia" w:ascii="仿宋_GB2312" w:eastAsia="仿宋_GB2312"/>
          <w:lang w:val="en-US" w:eastAsia="zh-CN"/>
        </w:rPr>
        <w:t>崖州是三亚3个地理标志产品</w:t>
      </w:r>
      <w:r>
        <w:rPr>
          <w:rFonts w:hint="eastAsia"/>
          <w:lang w:val="en-US" w:eastAsia="zh-CN"/>
        </w:rPr>
        <w:t>（</w:t>
      </w:r>
      <w:r>
        <w:rPr>
          <w:rFonts w:hint="eastAsia" w:ascii="仿宋_GB2312" w:eastAsia="仿宋_GB2312"/>
          <w:lang w:val="en-US" w:eastAsia="zh-CN"/>
        </w:rPr>
        <w:t>三亚芒果、三亚莲雾、三亚甜瓜</w:t>
      </w:r>
      <w:r>
        <w:rPr>
          <w:rFonts w:hint="eastAsia"/>
          <w:lang w:val="en-US" w:eastAsia="zh-CN"/>
        </w:rPr>
        <w:t>）的</w:t>
      </w:r>
      <w:r>
        <w:rPr>
          <w:rFonts w:hint="eastAsia" w:ascii="仿宋_GB2312" w:eastAsia="仿宋_GB2312"/>
          <w:lang w:val="en-US" w:eastAsia="zh-CN"/>
        </w:rPr>
        <w:t>主产地，芒果产量2</w:t>
      </w:r>
      <w:r>
        <w:rPr>
          <w:rFonts w:hint="eastAsia"/>
          <w:lang w:val="en-US" w:eastAsia="zh-CN"/>
        </w:rPr>
        <w:t>2.7</w:t>
      </w:r>
      <w:r>
        <w:rPr>
          <w:rFonts w:hint="eastAsia" w:ascii="仿宋_GB2312" w:eastAsia="仿宋_GB2312"/>
          <w:lang w:val="en-US" w:eastAsia="zh-CN"/>
        </w:rPr>
        <w:t>万吨、哈密瓜</w:t>
      </w:r>
      <w:r>
        <w:rPr>
          <w:rFonts w:hint="eastAsia"/>
          <w:lang w:val="en-US" w:eastAsia="zh-CN"/>
        </w:rPr>
        <w:t>产量</w:t>
      </w:r>
      <w:r>
        <w:rPr>
          <w:rFonts w:hint="eastAsia" w:ascii="仿宋_GB2312" w:eastAsia="仿宋_GB2312"/>
          <w:lang w:val="en-US" w:eastAsia="zh-CN"/>
        </w:rPr>
        <w:t>1.4万吨，但在</w:t>
      </w:r>
      <w:r>
        <w:rPr>
          <w:rFonts w:hint="eastAsia"/>
          <w:lang w:val="en-US" w:eastAsia="zh-CN"/>
        </w:rPr>
        <w:t>地标</w:t>
      </w:r>
      <w:r>
        <w:rPr>
          <w:rFonts w:hint="eastAsia" w:ascii="仿宋_GB2312" w:eastAsia="仿宋_GB2312"/>
          <w:lang w:val="en-US" w:eastAsia="zh-CN"/>
        </w:rPr>
        <w:t>名称中</w:t>
      </w:r>
      <w:r>
        <w:rPr>
          <w:rFonts w:hint="eastAsia"/>
          <w:lang w:val="en-US" w:eastAsia="zh-CN"/>
        </w:rPr>
        <w:t>没有</w:t>
      </w:r>
      <w:r>
        <w:rPr>
          <w:rFonts w:hint="eastAsia" w:ascii="仿宋_GB2312" w:eastAsia="仿宋_GB2312"/>
          <w:lang w:val="en-US" w:eastAsia="zh-CN"/>
        </w:rPr>
        <w:t>体现</w:t>
      </w:r>
      <w:r>
        <w:rPr>
          <w:rFonts w:hint="eastAsia"/>
          <w:lang w:val="en-US" w:eastAsia="zh-CN"/>
        </w:rPr>
        <w:t>崖州</w:t>
      </w:r>
      <w:r>
        <w:rPr>
          <w:rFonts w:hint="eastAsia" w:ascii="仿宋_GB2312" w:eastAsia="仿宋_GB2312"/>
          <w:lang w:val="en-US" w:eastAsia="zh-CN"/>
        </w:rPr>
        <w:t>。</w:t>
      </w:r>
    </w:p>
    <w:p>
      <w:pPr>
        <w:rPr>
          <w:rFonts w:hint="eastAsia"/>
          <w:lang w:val="en-US" w:eastAsia="zh-CN"/>
        </w:rPr>
      </w:pPr>
      <w:r>
        <w:rPr>
          <w:rFonts w:hint="eastAsia" w:ascii="仿宋_GB2312" w:eastAsia="仿宋_GB2312"/>
          <w:b/>
          <w:bCs/>
          <w:lang w:val="en-US" w:eastAsia="zh-CN"/>
        </w:rPr>
        <w:t>二是缺少冬季瓜菜类地理标志产品</w:t>
      </w:r>
      <w:r>
        <w:rPr>
          <w:rFonts w:hint="eastAsia"/>
          <w:b/>
          <w:bCs/>
          <w:lang w:val="en-US" w:eastAsia="zh-CN"/>
        </w:rPr>
        <w:t>。</w:t>
      </w:r>
      <w:r>
        <w:rPr>
          <w:rFonts w:hint="eastAsia" w:ascii="仿宋_GB2312" w:eastAsia="仿宋_GB2312"/>
          <w:lang w:val="en-US" w:eastAsia="zh-CN"/>
        </w:rPr>
        <w:t>临高多文空心菜</w:t>
      </w:r>
      <w:r>
        <w:rPr>
          <w:rFonts w:hint="eastAsia"/>
          <w:lang w:val="en-US" w:eastAsia="zh-CN"/>
        </w:rPr>
        <w:t>、云龙淮山、琼海青皮冬瓜均为地标产品，</w:t>
      </w:r>
      <w:r>
        <w:rPr>
          <w:rFonts w:hint="eastAsia" w:ascii="仿宋_GB2312" w:eastAsia="仿宋_GB2312"/>
          <w:lang w:val="en-US" w:eastAsia="zh-CN"/>
        </w:rPr>
        <w:t>崖州豇豆种植规模达1.8万亩、产量达3.66万吨，供应半个中国，业内有</w:t>
      </w:r>
      <w:r>
        <w:rPr>
          <w:rFonts w:hint="eastAsia"/>
          <w:lang w:val="en-US" w:eastAsia="zh-CN"/>
        </w:rPr>
        <w:t>较强</w:t>
      </w:r>
      <w:r>
        <w:rPr>
          <w:rFonts w:hint="eastAsia" w:ascii="仿宋_GB2312" w:eastAsia="仿宋_GB2312"/>
          <w:lang w:val="en-US" w:eastAsia="zh-CN"/>
        </w:rPr>
        <w:t>影响力，但缺少地理标志和品牌</w:t>
      </w:r>
      <w:r>
        <w:rPr>
          <w:rFonts w:hint="eastAsia"/>
          <w:lang w:val="en-US" w:eastAsia="zh-CN"/>
        </w:rPr>
        <w:t>。</w:t>
      </w:r>
    </w:p>
    <w:p>
      <w:pPr>
        <w:rPr>
          <w:rFonts w:hint="default"/>
          <w:lang w:val="en-US" w:eastAsia="zh-CN"/>
        </w:rPr>
      </w:pPr>
      <w:r>
        <w:rPr>
          <w:rFonts w:hint="eastAsia" w:ascii="仿宋_GB2312" w:eastAsia="仿宋_GB2312"/>
          <w:b/>
          <w:bCs/>
          <w:lang w:val="en-US" w:eastAsia="zh-CN"/>
        </w:rPr>
        <w:t>三是需</w:t>
      </w:r>
      <w:r>
        <w:rPr>
          <w:rFonts w:hint="eastAsia"/>
          <w:b/>
          <w:bCs/>
          <w:lang w:val="en-US" w:eastAsia="zh-CN"/>
        </w:rPr>
        <w:t>区域农业</w:t>
      </w:r>
      <w:r>
        <w:rPr>
          <w:rFonts w:hint="eastAsia" w:ascii="仿宋_GB2312" w:eastAsia="仿宋_GB2312"/>
          <w:b/>
          <w:bCs/>
          <w:lang w:val="en-US" w:eastAsia="zh-CN"/>
        </w:rPr>
        <w:t>品牌合力推广地理标志产品</w:t>
      </w:r>
      <w:r>
        <w:rPr>
          <w:rFonts w:hint="eastAsia"/>
          <w:b/>
          <w:bCs/>
          <w:lang w:val="en-US" w:eastAsia="zh-CN"/>
        </w:rPr>
        <w:t>。</w:t>
      </w:r>
      <w:r>
        <w:rPr>
          <w:rFonts w:hint="eastAsia" w:ascii="仿宋_GB2312" w:eastAsia="仿宋_GB2312"/>
          <w:lang w:val="en-US" w:eastAsia="zh-CN"/>
        </w:rPr>
        <w:t>“小散弱”的经营现状</w:t>
      </w:r>
      <w:r>
        <w:rPr>
          <w:rFonts w:hint="eastAsia"/>
          <w:lang w:val="en-US" w:eastAsia="zh-CN"/>
        </w:rPr>
        <w:t>无法</w:t>
      </w:r>
      <w:r>
        <w:rPr>
          <w:rFonts w:hint="eastAsia" w:ascii="仿宋_GB2312" w:eastAsia="仿宋_GB2312"/>
          <w:lang w:val="en-US" w:eastAsia="zh-CN"/>
        </w:rPr>
        <w:t>用好地标</w:t>
      </w:r>
      <w:r>
        <w:rPr>
          <w:rFonts w:hint="eastAsia"/>
          <w:lang w:val="en-US" w:eastAsia="zh-CN"/>
        </w:rPr>
        <w:t>资源</w:t>
      </w:r>
      <w:r>
        <w:rPr>
          <w:rFonts w:hint="eastAsia" w:ascii="仿宋_GB2312" w:eastAsia="仿宋_GB2312"/>
          <w:lang w:val="en-US" w:eastAsia="zh-CN"/>
        </w:rPr>
        <w:t>，也无法对接市场，需要一批</w:t>
      </w:r>
      <w:r>
        <w:rPr>
          <w:rFonts w:hint="default"/>
          <w:lang w:val="en-US" w:eastAsia="zh-CN"/>
        </w:rPr>
        <w:t>规模化、标准化、品牌化</w:t>
      </w:r>
      <w:r>
        <w:rPr>
          <w:rFonts w:hint="eastAsia"/>
          <w:lang w:val="en-US" w:eastAsia="zh-CN"/>
        </w:rPr>
        <w:t>的本地农业</w:t>
      </w:r>
      <w:r>
        <w:rPr>
          <w:rFonts w:hint="eastAsia" w:ascii="仿宋_GB2312" w:eastAsia="仿宋_GB2312"/>
          <w:lang w:val="en-US" w:eastAsia="zh-CN"/>
        </w:rPr>
        <w:t>企业承担起地理标志使用推广的任务。</w:t>
      </w:r>
    </w:p>
    <w:p>
      <w:pPr>
        <w:bidi w:val="0"/>
        <w:spacing w:line="240" w:lineRule="auto"/>
        <w:ind w:firstLine="0" w:firstLineChars="0"/>
        <w:jc w:val="center"/>
        <w:rPr>
          <w:rFonts w:hint="default" w:ascii="楷体" w:hAnsi="楷体" w:eastAsia="楷体" w:cs="楷体"/>
          <w:b w:val="0"/>
          <w:bCs w:val="0"/>
          <w:sz w:val="28"/>
          <w:szCs w:val="28"/>
          <w:lang w:val="en-US" w:eastAsia="zh-CN"/>
        </w:rPr>
      </w:pPr>
      <w:r>
        <w:rPr>
          <w:rFonts w:hint="eastAsia" w:ascii="楷体" w:hAnsi="楷体" w:eastAsia="楷体" w:cs="楷体"/>
          <w:b w:val="0"/>
          <w:bCs w:val="0"/>
          <w:sz w:val="28"/>
          <w:szCs w:val="28"/>
          <w:lang w:val="en-US" w:eastAsia="zh-CN"/>
        </w:rPr>
        <w:t>表11  海南省国家农产品地理标志产品</w:t>
      </w:r>
    </w:p>
    <w:tbl>
      <w:tblPr>
        <w:tblStyle w:val="18"/>
        <w:tblW w:w="5000" w:type="pct"/>
        <w:jc w:val="center"/>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5"/>
        <w:gridCol w:w="750"/>
        <w:gridCol w:w="1662"/>
        <w:gridCol w:w="1227"/>
        <w:gridCol w:w="3437"/>
        <w:gridCol w:w="721"/>
      </w:tblGrid>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0" w:hRule="atLeast"/>
          <w:tblHeader/>
          <w:jc w:val="center"/>
        </w:trPr>
        <w:tc>
          <w:tcPr>
            <w:tcW w:w="725"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序号</w:t>
            </w:r>
          </w:p>
        </w:tc>
        <w:tc>
          <w:tcPr>
            <w:tcW w:w="75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年份</w:t>
            </w:r>
          </w:p>
        </w:tc>
        <w:tc>
          <w:tcPr>
            <w:tcW w:w="1662"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产品名称</w:t>
            </w:r>
          </w:p>
        </w:tc>
        <w:tc>
          <w:tcPr>
            <w:tcW w:w="122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所在区域</w:t>
            </w:r>
          </w:p>
        </w:tc>
        <w:tc>
          <w:tcPr>
            <w:tcW w:w="343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证书持有人</w:t>
            </w:r>
          </w:p>
        </w:tc>
        <w:tc>
          <w:tcPr>
            <w:tcW w:w="72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类别</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PrEx>
        <w:trPr>
          <w:cantSplit/>
          <w:trHeight w:val="170" w:hRule="atLeast"/>
          <w:jc w:val="center"/>
        </w:trPr>
        <w:tc>
          <w:tcPr>
            <w:tcW w:w="725"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1</w:t>
            </w:r>
          </w:p>
        </w:tc>
        <w:tc>
          <w:tcPr>
            <w:tcW w:w="75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2015</w:t>
            </w:r>
          </w:p>
        </w:tc>
        <w:tc>
          <w:tcPr>
            <w:tcW w:w="1662"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三亚芒果</w:t>
            </w:r>
          </w:p>
        </w:tc>
        <w:tc>
          <w:tcPr>
            <w:tcW w:w="122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三亚</w:t>
            </w:r>
          </w:p>
        </w:tc>
        <w:tc>
          <w:tcPr>
            <w:tcW w:w="343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三亚市芒果协会</w:t>
            </w:r>
          </w:p>
        </w:tc>
        <w:tc>
          <w:tcPr>
            <w:tcW w:w="72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果品</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0" w:hRule="atLeast"/>
          <w:jc w:val="center"/>
        </w:trPr>
        <w:tc>
          <w:tcPr>
            <w:tcW w:w="725"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2</w:t>
            </w:r>
          </w:p>
        </w:tc>
        <w:tc>
          <w:tcPr>
            <w:tcW w:w="75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2015</w:t>
            </w:r>
          </w:p>
        </w:tc>
        <w:tc>
          <w:tcPr>
            <w:tcW w:w="1662"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琼中绿橙</w:t>
            </w:r>
          </w:p>
        </w:tc>
        <w:tc>
          <w:tcPr>
            <w:tcW w:w="122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琼中</w:t>
            </w:r>
          </w:p>
        </w:tc>
        <w:tc>
          <w:tcPr>
            <w:tcW w:w="343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琼中县农业技术推广服务中心</w:t>
            </w:r>
          </w:p>
        </w:tc>
        <w:tc>
          <w:tcPr>
            <w:tcW w:w="72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果品</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0" w:hRule="atLeast"/>
          <w:jc w:val="center"/>
        </w:trPr>
        <w:tc>
          <w:tcPr>
            <w:tcW w:w="725"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3</w:t>
            </w:r>
          </w:p>
        </w:tc>
        <w:tc>
          <w:tcPr>
            <w:tcW w:w="75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2015</w:t>
            </w:r>
          </w:p>
        </w:tc>
        <w:tc>
          <w:tcPr>
            <w:tcW w:w="1662"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五指山红茶</w:t>
            </w:r>
          </w:p>
        </w:tc>
        <w:tc>
          <w:tcPr>
            <w:tcW w:w="122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五指山</w:t>
            </w:r>
          </w:p>
        </w:tc>
        <w:tc>
          <w:tcPr>
            <w:tcW w:w="343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五指山市茶叶协会</w:t>
            </w:r>
          </w:p>
        </w:tc>
        <w:tc>
          <w:tcPr>
            <w:tcW w:w="72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茶叶</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0" w:hRule="atLeast"/>
          <w:jc w:val="center"/>
        </w:trPr>
        <w:tc>
          <w:tcPr>
            <w:tcW w:w="725"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4</w:t>
            </w:r>
          </w:p>
        </w:tc>
        <w:tc>
          <w:tcPr>
            <w:tcW w:w="75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2016</w:t>
            </w:r>
          </w:p>
        </w:tc>
        <w:tc>
          <w:tcPr>
            <w:tcW w:w="1662"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澄迈福橙</w:t>
            </w:r>
          </w:p>
        </w:tc>
        <w:tc>
          <w:tcPr>
            <w:tcW w:w="122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澄迈</w:t>
            </w:r>
          </w:p>
        </w:tc>
        <w:tc>
          <w:tcPr>
            <w:tcW w:w="343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澄迈福橙科学研究所</w:t>
            </w:r>
          </w:p>
        </w:tc>
        <w:tc>
          <w:tcPr>
            <w:tcW w:w="72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果品</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0" w:hRule="atLeast"/>
          <w:jc w:val="center"/>
        </w:trPr>
        <w:tc>
          <w:tcPr>
            <w:tcW w:w="725"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5</w:t>
            </w:r>
          </w:p>
        </w:tc>
        <w:tc>
          <w:tcPr>
            <w:tcW w:w="75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2016</w:t>
            </w:r>
          </w:p>
        </w:tc>
        <w:tc>
          <w:tcPr>
            <w:tcW w:w="1662"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海南雪茄烟叶</w:t>
            </w:r>
          </w:p>
        </w:tc>
        <w:tc>
          <w:tcPr>
            <w:tcW w:w="122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海南</w:t>
            </w:r>
          </w:p>
        </w:tc>
        <w:tc>
          <w:tcPr>
            <w:tcW w:w="343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海南省雪茄烟叶种植协会</w:t>
            </w:r>
          </w:p>
        </w:tc>
        <w:tc>
          <w:tcPr>
            <w:tcW w:w="72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烟草</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0" w:hRule="atLeast"/>
          <w:jc w:val="center"/>
        </w:trPr>
        <w:tc>
          <w:tcPr>
            <w:tcW w:w="725"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6</w:t>
            </w:r>
          </w:p>
        </w:tc>
        <w:tc>
          <w:tcPr>
            <w:tcW w:w="75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2016</w:t>
            </w:r>
          </w:p>
        </w:tc>
        <w:tc>
          <w:tcPr>
            <w:tcW w:w="1662"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白莲鹅</w:t>
            </w:r>
          </w:p>
        </w:tc>
        <w:tc>
          <w:tcPr>
            <w:tcW w:w="122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澄迈白莲</w:t>
            </w:r>
          </w:p>
        </w:tc>
        <w:tc>
          <w:tcPr>
            <w:tcW w:w="343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澄迈新华达白莲鹅研究所</w:t>
            </w:r>
          </w:p>
        </w:tc>
        <w:tc>
          <w:tcPr>
            <w:tcW w:w="72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肉类</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0" w:hRule="atLeast"/>
          <w:jc w:val="center"/>
        </w:trPr>
        <w:tc>
          <w:tcPr>
            <w:tcW w:w="725"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7</w:t>
            </w:r>
          </w:p>
        </w:tc>
        <w:tc>
          <w:tcPr>
            <w:tcW w:w="75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2016</w:t>
            </w:r>
          </w:p>
        </w:tc>
        <w:tc>
          <w:tcPr>
            <w:tcW w:w="1662"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霸王岭山鸡</w:t>
            </w:r>
          </w:p>
        </w:tc>
        <w:tc>
          <w:tcPr>
            <w:tcW w:w="122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160" w:leftChars="-50" w:right="-160" w:rightChars="-50"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昌江霸王岭</w:t>
            </w:r>
          </w:p>
        </w:tc>
        <w:tc>
          <w:tcPr>
            <w:tcW w:w="343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昌江县霸王岭山鸡养殖协会</w:t>
            </w:r>
          </w:p>
        </w:tc>
        <w:tc>
          <w:tcPr>
            <w:tcW w:w="72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肉类</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0" w:hRule="atLeast"/>
          <w:jc w:val="center"/>
        </w:trPr>
        <w:tc>
          <w:tcPr>
            <w:tcW w:w="725"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8</w:t>
            </w:r>
          </w:p>
        </w:tc>
        <w:tc>
          <w:tcPr>
            <w:tcW w:w="75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2017</w:t>
            </w:r>
          </w:p>
        </w:tc>
        <w:tc>
          <w:tcPr>
            <w:tcW w:w="1662"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琼海番石榴</w:t>
            </w:r>
          </w:p>
        </w:tc>
        <w:tc>
          <w:tcPr>
            <w:tcW w:w="122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琼海</w:t>
            </w:r>
          </w:p>
        </w:tc>
        <w:tc>
          <w:tcPr>
            <w:tcW w:w="343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琼海市石榴专业技术协会</w:t>
            </w:r>
          </w:p>
        </w:tc>
        <w:tc>
          <w:tcPr>
            <w:tcW w:w="72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果品</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0" w:hRule="atLeast"/>
          <w:jc w:val="center"/>
        </w:trPr>
        <w:tc>
          <w:tcPr>
            <w:tcW w:w="725"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9</w:t>
            </w:r>
          </w:p>
        </w:tc>
        <w:tc>
          <w:tcPr>
            <w:tcW w:w="75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2017</w:t>
            </w:r>
          </w:p>
        </w:tc>
        <w:tc>
          <w:tcPr>
            <w:tcW w:w="1662"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永兴黄皮</w:t>
            </w:r>
          </w:p>
        </w:tc>
        <w:tc>
          <w:tcPr>
            <w:tcW w:w="122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海口永兴</w:t>
            </w:r>
          </w:p>
        </w:tc>
        <w:tc>
          <w:tcPr>
            <w:tcW w:w="343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秀英区永兴镇农业服务中心</w:t>
            </w:r>
          </w:p>
        </w:tc>
        <w:tc>
          <w:tcPr>
            <w:tcW w:w="72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果品</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0" w:hRule="atLeast"/>
          <w:jc w:val="center"/>
        </w:trPr>
        <w:tc>
          <w:tcPr>
            <w:tcW w:w="725"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10</w:t>
            </w:r>
          </w:p>
        </w:tc>
        <w:tc>
          <w:tcPr>
            <w:tcW w:w="75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2017</w:t>
            </w:r>
          </w:p>
        </w:tc>
        <w:tc>
          <w:tcPr>
            <w:tcW w:w="1662"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永兴荔枝</w:t>
            </w:r>
          </w:p>
        </w:tc>
        <w:tc>
          <w:tcPr>
            <w:tcW w:w="122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海口永兴</w:t>
            </w:r>
          </w:p>
        </w:tc>
        <w:tc>
          <w:tcPr>
            <w:tcW w:w="343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秀英区永兴镇农业服务中心</w:t>
            </w:r>
          </w:p>
        </w:tc>
        <w:tc>
          <w:tcPr>
            <w:tcW w:w="72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果品</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0" w:hRule="atLeast"/>
          <w:jc w:val="center"/>
        </w:trPr>
        <w:tc>
          <w:tcPr>
            <w:tcW w:w="725"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11</w:t>
            </w:r>
          </w:p>
        </w:tc>
        <w:tc>
          <w:tcPr>
            <w:tcW w:w="75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2017</w:t>
            </w:r>
          </w:p>
        </w:tc>
        <w:tc>
          <w:tcPr>
            <w:tcW w:w="1662"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三亚莲雾</w:t>
            </w:r>
          </w:p>
        </w:tc>
        <w:tc>
          <w:tcPr>
            <w:tcW w:w="122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三亚</w:t>
            </w:r>
          </w:p>
        </w:tc>
        <w:tc>
          <w:tcPr>
            <w:tcW w:w="343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三亚莲雾协会</w:t>
            </w:r>
          </w:p>
        </w:tc>
        <w:tc>
          <w:tcPr>
            <w:tcW w:w="72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果品</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0" w:hRule="atLeast"/>
          <w:jc w:val="center"/>
        </w:trPr>
        <w:tc>
          <w:tcPr>
            <w:tcW w:w="725"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12</w:t>
            </w:r>
          </w:p>
        </w:tc>
        <w:tc>
          <w:tcPr>
            <w:tcW w:w="75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2017</w:t>
            </w:r>
          </w:p>
        </w:tc>
        <w:tc>
          <w:tcPr>
            <w:tcW w:w="1662"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多文空心菜</w:t>
            </w:r>
          </w:p>
        </w:tc>
        <w:tc>
          <w:tcPr>
            <w:tcW w:w="122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临高多文</w:t>
            </w:r>
          </w:p>
        </w:tc>
        <w:tc>
          <w:tcPr>
            <w:tcW w:w="343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临高县多文镇农业服务中心</w:t>
            </w:r>
          </w:p>
        </w:tc>
        <w:tc>
          <w:tcPr>
            <w:tcW w:w="72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蔬菜</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0" w:hRule="atLeast"/>
          <w:jc w:val="center"/>
        </w:trPr>
        <w:tc>
          <w:tcPr>
            <w:tcW w:w="725"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13</w:t>
            </w:r>
          </w:p>
        </w:tc>
        <w:tc>
          <w:tcPr>
            <w:tcW w:w="75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2017</w:t>
            </w:r>
          </w:p>
        </w:tc>
        <w:tc>
          <w:tcPr>
            <w:tcW w:w="1662"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屯昌黑猪</w:t>
            </w:r>
          </w:p>
        </w:tc>
        <w:tc>
          <w:tcPr>
            <w:tcW w:w="122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屯昌</w:t>
            </w:r>
          </w:p>
        </w:tc>
        <w:tc>
          <w:tcPr>
            <w:tcW w:w="343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屯昌县养猪协会</w:t>
            </w:r>
          </w:p>
        </w:tc>
        <w:tc>
          <w:tcPr>
            <w:tcW w:w="72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肉类</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0" w:hRule="atLeast"/>
          <w:jc w:val="center"/>
        </w:trPr>
        <w:tc>
          <w:tcPr>
            <w:tcW w:w="725"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14</w:t>
            </w:r>
          </w:p>
        </w:tc>
        <w:tc>
          <w:tcPr>
            <w:tcW w:w="75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2017</w:t>
            </w:r>
          </w:p>
        </w:tc>
        <w:tc>
          <w:tcPr>
            <w:tcW w:w="1662"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文昌椰子</w:t>
            </w:r>
          </w:p>
        </w:tc>
        <w:tc>
          <w:tcPr>
            <w:tcW w:w="122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文昌</w:t>
            </w:r>
          </w:p>
        </w:tc>
        <w:tc>
          <w:tcPr>
            <w:tcW w:w="343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160" w:leftChars="-50" w:right="-160" w:rightChars="-50"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中国热带农业科学院椰子研究所</w:t>
            </w:r>
          </w:p>
        </w:tc>
        <w:tc>
          <w:tcPr>
            <w:tcW w:w="72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果品</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0" w:hRule="atLeast"/>
          <w:jc w:val="center"/>
        </w:trPr>
        <w:tc>
          <w:tcPr>
            <w:tcW w:w="725"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15</w:t>
            </w:r>
          </w:p>
        </w:tc>
        <w:tc>
          <w:tcPr>
            <w:tcW w:w="75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2017</w:t>
            </w:r>
          </w:p>
        </w:tc>
        <w:tc>
          <w:tcPr>
            <w:tcW w:w="1662"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万宁柠檬</w:t>
            </w:r>
          </w:p>
        </w:tc>
        <w:tc>
          <w:tcPr>
            <w:tcW w:w="122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万宁</w:t>
            </w:r>
          </w:p>
        </w:tc>
        <w:tc>
          <w:tcPr>
            <w:tcW w:w="343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万宁市柠檬协会</w:t>
            </w:r>
          </w:p>
        </w:tc>
        <w:tc>
          <w:tcPr>
            <w:tcW w:w="72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果品</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0" w:hRule="atLeast"/>
          <w:jc w:val="center"/>
        </w:trPr>
        <w:tc>
          <w:tcPr>
            <w:tcW w:w="725"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16</w:t>
            </w:r>
          </w:p>
        </w:tc>
        <w:tc>
          <w:tcPr>
            <w:tcW w:w="75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2017</w:t>
            </w:r>
          </w:p>
        </w:tc>
        <w:tc>
          <w:tcPr>
            <w:tcW w:w="1662"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兴隆咖啡</w:t>
            </w:r>
          </w:p>
        </w:tc>
        <w:tc>
          <w:tcPr>
            <w:tcW w:w="122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万宁兴隆</w:t>
            </w:r>
          </w:p>
        </w:tc>
        <w:tc>
          <w:tcPr>
            <w:tcW w:w="343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万宁兴隆咖啡行业协会</w:t>
            </w:r>
          </w:p>
        </w:tc>
        <w:tc>
          <w:tcPr>
            <w:tcW w:w="72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其他</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0" w:hRule="atLeast"/>
          <w:jc w:val="center"/>
        </w:trPr>
        <w:tc>
          <w:tcPr>
            <w:tcW w:w="725"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17</w:t>
            </w:r>
          </w:p>
        </w:tc>
        <w:tc>
          <w:tcPr>
            <w:tcW w:w="75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2018</w:t>
            </w:r>
          </w:p>
        </w:tc>
        <w:tc>
          <w:tcPr>
            <w:tcW w:w="1662"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昌江芒果</w:t>
            </w:r>
          </w:p>
        </w:tc>
        <w:tc>
          <w:tcPr>
            <w:tcW w:w="122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昌江</w:t>
            </w:r>
          </w:p>
        </w:tc>
        <w:tc>
          <w:tcPr>
            <w:tcW w:w="343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昌江县芒果协会</w:t>
            </w:r>
          </w:p>
        </w:tc>
        <w:tc>
          <w:tcPr>
            <w:tcW w:w="72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果品</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PrEx>
        <w:trPr>
          <w:cantSplit/>
          <w:trHeight w:val="170" w:hRule="atLeast"/>
          <w:jc w:val="center"/>
        </w:trPr>
        <w:tc>
          <w:tcPr>
            <w:tcW w:w="725"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18</w:t>
            </w:r>
          </w:p>
        </w:tc>
        <w:tc>
          <w:tcPr>
            <w:tcW w:w="75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2018</w:t>
            </w:r>
          </w:p>
        </w:tc>
        <w:tc>
          <w:tcPr>
            <w:tcW w:w="1662"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保亭红毛丹</w:t>
            </w:r>
          </w:p>
        </w:tc>
        <w:tc>
          <w:tcPr>
            <w:tcW w:w="122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保亭</w:t>
            </w:r>
          </w:p>
        </w:tc>
        <w:tc>
          <w:tcPr>
            <w:tcW w:w="343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保亭县热带作物发展服务中心</w:t>
            </w:r>
          </w:p>
        </w:tc>
        <w:tc>
          <w:tcPr>
            <w:tcW w:w="72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果品</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PrEx>
        <w:trPr>
          <w:cantSplit/>
          <w:trHeight w:val="170" w:hRule="atLeast"/>
          <w:jc w:val="center"/>
        </w:trPr>
        <w:tc>
          <w:tcPr>
            <w:tcW w:w="725"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19</w:t>
            </w:r>
          </w:p>
        </w:tc>
        <w:tc>
          <w:tcPr>
            <w:tcW w:w="75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2018</w:t>
            </w:r>
          </w:p>
        </w:tc>
        <w:tc>
          <w:tcPr>
            <w:tcW w:w="1662"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五指山五脚猪</w:t>
            </w:r>
          </w:p>
        </w:tc>
        <w:tc>
          <w:tcPr>
            <w:tcW w:w="122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五指山</w:t>
            </w:r>
          </w:p>
        </w:tc>
        <w:tc>
          <w:tcPr>
            <w:tcW w:w="343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五指山市农业协会</w:t>
            </w:r>
          </w:p>
        </w:tc>
        <w:tc>
          <w:tcPr>
            <w:tcW w:w="72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肉类</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0" w:hRule="atLeast"/>
          <w:jc w:val="center"/>
        </w:trPr>
        <w:tc>
          <w:tcPr>
            <w:tcW w:w="725"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20</w:t>
            </w:r>
          </w:p>
        </w:tc>
        <w:tc>
          <w:tcPr>
            <w:tcW w:w="75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2018</w:t>
            </w:r>
          </w:p>
        </w:tc>
        <w:tc>
          <w:tcPr>
            <w:tcW w:w="1662"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万宁东山羊</w:t>
            </w:r>
          </w:p>
        </w:tc>
        <w:tc>
          <w:tcPr>
            <w:tcW w:w="122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万宁</w:t>
            </w:r>
          </w:p>
        </w:tc>
        <w:tc>
          <w:tcPr>
            <w:tcW w:w="343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万宁东山羊养殖协会</w:t>
            </w:r>
          </w:p>
        </w:tc>
        <w:tc>
          <w:tcPr>
            <w:tcW w:w="72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肉类</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PrEx>
        <w:trPr>
          <w:cantSplit/>
          <w:trHeight w:val="170" w:hRule="atLeast"/>
          <w:jc w:val="center"/>
        </w:trPr>
        <w:tc>
          <w:tcPr>
            <w:tcW w:w="725"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21</w:t>
            </w:r>
          </w:p>
        </w:tc>
        <w:tc>
          <w:tcPr>
            <w:tcW w:w="75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2018</w:t>
            </w:r>
          </w:p>
        </w:tc>
        <w:tc>
          <w:tcPr>
            <w:tcW w:w="1662"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石山壅羊</w:t>
            </w:r>
          </w:p>
        </w:tc>
        <w:tc>
          <w:tcPr>
            <w:tcW w:w="122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海口秀英</w:t>
            </w:r>
          </w:p>
        </w:tc>
        <w:tc>
          <w:tcPr>
            <w:tcW w:w="343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秀英区农业技术服务中心</w:t>
            </w:r>
          </w:p>
        </w:tc>
        <w:tc>
          <w:tcPr>
            <w:tcW w:w="72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肉类</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0" w:hRule="atLeast"/>
          <w:jc w:val="center"/>
        </w:trPr>
        <w:tc>
          <w:tcPr>
            <w:tcW w:w="725"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22</w:t>
            </w:r>
          </w:p>
        </w:tc>
        <w:tc>
          <w:tcPr>
            <w:tcW w:w="75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2018</w:t>
            </w:r>
          </w:p>
        </w:tc>
        <w:tc>
          <w:tcPr>
            <w:tcW w:w="1662"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海南罗非鱼</w:t>
            </w:r>
          </w:p>
        </w:tc>
        <w:tc>
          <w:tcPr>
            <w:tcW w:w="122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海南</w:t>
            </w:r>
          </w:p>
        </w:tc>
        <w:tc>
          <w:tcPr>
            <w:tcW w:w="343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海南省水产流通与加工协会</w:t>
            </w:r>
          </w:p>
        </w:tc>
        <w:tc>
          <w:tcPr>
            <w:tcW w:w="72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水产</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0" w:hRule="atLeast"/>
          <w:jc w:val="center"/>
        </w:trPr>
        <w:tc>
          <w:tcPr>
            <w:tcW w:w="725"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23</w:t>
            </w:r>
          </w:p>
        </w:tc>
        <w:tc>
          <w:tcPr>
            <w:tcW w:w="75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2018</w:t>
            </w:r>
          </w:p>
        </w:tc>
        <w:tc>
          <w:tcPr>
            <w:tcW w:w="1662"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琼中山鸡</w:t>
            </w:r>
          </w:p>
        </w:tc>
        <w:tc>
          <w:tcPr>
            <w:tcW w:w="122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琼中</w:t>
            </w:r>
          </w:p>
        </w:tc>
        <w:tc>
          <w:tcPr>
            <w:tcW w:w="343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琼中县山鸡养殖协会</w:t>
            </w:r>
          </w:p>
        </w:tc>
        <w:tc>
          <w:tcPr>
            <w:tcW w:w="72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肉类</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0" w:hRule="atLeast"/>
          <w:jc w:val="center"/>
        </w:trPr>
        <w:tc>
          <w:tcPr>
            <w:tcW w:w="725"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24</w:t>
            </w:r>
          </w:p>
        </w:tc>
        <w:tc>
          <w:tcPr>
            <w:tcW w:w="75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2018</w:t>
            </w:r>
          </w:p>
        </w:tc>
        <w:tc>
          <w:tcPr>
            <w:tcW w:w="1662"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澄迈山柚油</w:t>
            </w:r>
          </w:p>
        </w:tc>
        <w:tc>
          <w:tcPr>
            <w:tcW w:w="122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澄迈</w:t>
            </w:r>
          </w:p>
        </w:tc>
        <w:tc>
          <w:tcPr>
            <w:tcW w:w="343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澄迈县山柚油协会</w:t>
            </w:r>
          </w:p>
        </w:tc>
        <w:tc>
          <w:tcPr>
            <w:tcW w:w="72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药材</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0" w:hRule="atLeast"/>
          <w:jc w:val="center"/>
        </w:trPr>
        <w:tc>
          <w:tcPr>
            <w:tcW w:w="725"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25</w:t>
            </w:r>
          </w:p>
        </w:tc>
        <w:tc>
          <w:tcPr>
            <w:tcW w:w="75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2019</w:t>
            </w:r>
          </w:p>
        </w:tc>
        <w:tc>
          <w:tcPr>
            <w:tcW w:w="1662"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陵水圣女果</w:t>
            </w:r>
          </w:p>
        </w:tc>
        <w:tc>
          <w:tcPr>
            <w:tcW w:w="122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陵水</w:t>
            </w:r>
          </w:p>
        </w:tc>
        <w:tc>
          <w:tcPr>
            <w:tcW w:w="343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陵水县农业产业协会</w:t>
            </w:r>
          </w:p>
        </w:tc>
        <w:tc>
          <w:tcPr>
            <w:tcW w:w="72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蔬菜</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0" w:hRule="atLeast"/>
          <w:jc w:val="center"/>
        </w:trPr>
        <w:tc>
          <w:tcPr>
            <w:tcW w:w="725"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26</w:t>
            </w:r>
          </w:p>
        </w:tc>
        <w:tc>
          <w:tcPr>
            <w:tcW w:w="75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2019</w:t>
            </w:r>
          </w:p>
        </w:tc>
        <w:tc>
          <w:tcPr>
            <w:tcW w:w="1662"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保亭益智</w:t>
            </w:r>
          </w:p>
        </w:tc>
        <w:tc>
          <w:tcPr>
            <w:tcW w:w="122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保亭</w:t>
            </w:r>
          </w:p>
        </w:tc>
        <w:tc>
          <w:tcPr>
            <w:tcW w:w="343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保亭县农业服务中心</w:t>
            </w:r>
          </w:p>
        </w:tc>
        <w:tc>
          <w:tcPr>
            <w:tcW w:w="72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香料</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0" w:hRule="atLeast"/>
          <w:jc w:val="center"/>
        </w:trPr>
        <w:tc>
          <w:tcPr>
            <w:tcW w:w="725"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27</w:t>
            </w:r>
          </w:p>
        </w:tc>
        <w:tc>
          <w:tcPr>
            <w:tcW w:w="75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2019</w:t>
            </w:r>
          </w:p>
        </w:tc>
        <w:tc>
          <w:tcPr>
            <w:tcW w:w="1662"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三亚甜瓜</w:t>
            </w:r>
          </w:p>
        </w:tc>
        <w:tc>
          <w:tcPr>
            <w:tcW w:w="122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三亚</w:t>
            </w:r>
          </w:p>
        </w:tc>
        <w:tc>
          <w:tcPr>
            <w:tcW w:w="343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三亚市哈密瓜协会</w:t>
            </w:r>
          </w:p>
        </w:tc>
        <w:tc>
          <w:tcPr>
            <w:tcW w:w="72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果品</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0" w:hRule="atLeast"/>
          <w:jc w:val="center"/>
        </w:trPr>
        <w:tc>
          <w:tcPr>
            <w:tcW w:w="725"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28</w:t>
            </w:r>
          </w:p>
        </w:tc>
        <w:tc>
          <w:tcPr>
            <w:tcW w:w="75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2019</w:t>
            </w:r>
          </w:p>
        </w:tc>
        <w:tc>
          <w:tcPr>
            <w:tcW w:w="1662"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琼海油茶</w:t>
            </w:r>
          </w:p>
        </w:tc>
        <w:tc>
          <w:tcPr>
            <w:tcW w:w="122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琼海</w:t>
            </w:r>
          </w:p>
        </w:tc>
        <w:tc>
          <w:tcPr>
            <w:tcW w:w="343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琼海市热带作物服务中心</w:t>
            </w:r>
          </w:p>
        </w:tc>
        <w:tc>
          <w:tcPr>
            <w:tcW w:w="72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果品</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0" w:hRule="atLeast"/>
          <w:jc w:val="center"/>
        </w:trPr>
        <w:tc>
          <w:tcPr>
            <w:tcW w:w="725"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29</w:t>
            </w:r>
          </w:p>
        </w:tc>
        <w:tc>
          <w:tcPr>
            <w:tcW w:w="75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2019</w:t>
            </w:r>
          </w:p>
        </w:tc>
        <w:tc>
          <w:tcPr>
            <w:tcW w:w="1662"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陵水荔枝</w:t>
            </w:r>
          </w:p>
        </w:tc>
        <w:tc>
          <w:tcPr>
            <w:tcW w:w="122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陵水</w:t>
            </w:r>
          </w:p>
        </w:tc>
        <w:tc>
          <w:tcPr>
            <w:tcW w:w="343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陵水县农业产业协会</w:t>
            </w:r>
          </w:p>
        </w:tc>
        <w:tc>
          <w:tcPr>
            <w:tcW w:w="72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果品</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0" w:hRule="atLeast"/>
          <w:jc w:val="center"/>
        </w:trPr>
        <w:tc>
          <w:tcPr>
            <w:tcW w:w="725"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30</w:t>
            </w:r>
          </w:p>
        </w:tc>
        <w:tc>
          <w:tcPr>
            <w:tcW w:w="75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2019</w:t>
            </w:r>
          </w:p>
        </w:tc>
        <w:tc>
          <w:tcPr>
            <w:tcW w:w="1662"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五指山蜘蛛</w:t>
            </w:r>
          </w:p>
        </w:tc>
        <w:tc>
          <w:tcPr>
            <w:tcW w:w="122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五指山</w:t>
            </w:r>
          </w:p>
        </w:tc>
        <w:tc>
          <w:tcPr>
            <w:tcW w:w="343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五指山市蜘蛛科学研究所</w:t>
            </w:r>
          </w:p>
        </w:tc>
        <w:tc>
          <w:tcPr>
            <w:tcW w:w="72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其他</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0" w:hRule="atLeast"/>
          <w:jc w:val="center"/>
        </w:trPr>
        <w:tc>
          <w:tcPr>
            <w:tcW w:w="725"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31</w:t>
            </w:r>
          </w:p>
        </w:tc>
        <w:tc>
          <w:tcPr>
            <w:tcW w:w="75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2020</w:t>
            </w:r>
          </w:p>
        </w:tc>
        <w:tc>
          <w:tcPr>
            <w:tcW w:w="1662"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云龙淮山</w:t>
            </w:r>
          </w:p>
        </w:tc>
        <w:tc>
          <w:tcPr>
            <w:tcW w:w="122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海口云龙</w:t>
            </w:r>
          </w:p>
        </w:tc>
        <w:tc>
          <w:tcPr>
            <w:tcW w:w="343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琼山区云龙镇农业服务中心</w:t>
            </w:r>
          </w:p>
        </w:tc>
        <w:tc>
          <w:tcPr>
            <w:tcW w:w="72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蔬菜</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0" w:hRule="atLeast"/>
          <w:jc w:val="center"/>
        </w:trPr>
        <w:tc>
          <w:tcPr>
            <w:tcW w:w="725"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32</w:t>
            </w:r>
          </w:p>
        </w:tc>
        <w:tc>
          <w:tcPr>
            <w:tcW w:w="75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2020</w:t>
            </w:r>
          </w:p>
        </w:tc>
        <w:tc>
          <w:tcPr>
            <w:tcW w:w="1662"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大坡胡椒</w:t>
            </w:r>
          </w:p>
        </w:tc>
        <w:tc>
          <w:tcPr>
            <w:tcW w:w="122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海口大坡</w:t>
            </w:r>
          </w:p>
        </w:tc>
        <w:tc>
          <w:tcPr>
            <w:tcW w:w="343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琼山区大坡镇农业服务中心</w:t>
            </w:r>
          </w:p>
        </w:tc>
        <w:tc>
          <w:tcPr>
            <w:tcW w:w="72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其他</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0" w:hRule="atLeast"/>
          <w:jc w:val="center"/>
        </w:trPr>
        <w:tc>
          <w:tcPr>
            <w:tcW w:w="725"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33</w:t>
            </w:r>
          </w:p>
        </w:tc>
        <w:tc>
          <w:tcPr>
            <w:tcW w:w="75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2020</w:t>
            </w:r>
          </w:p>
        </w:tc>
        <w:tc>
          <w:tcPr>
            <w:tcW w:w="1662"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三门坡荔枝</w:t>
            </w:r>
          </w:p>
        </w:tc>
        <w:tc>
          <w:tcPr>
            <w:tcW w:w="122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海口三门</w:t>
            </w:r>
          </w:p>
        </w:tc>
        <w:tc>
          <w:tcPr>
            <w:tcW w:w="343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琼山区三门镇农业服务中心</w:t>
            </w:r>
          </w:p>
        </w:tc>
        <w:tc>
          <w:tcPr>
            <w:tcW w:w="72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果品</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0" w:hRule="atLeast"/>
          <w:jc w:val="center"/>
        </w:trPr>
        <w:tc>
          <w:tcPr>
            <w:tcW w:w="725"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34</w:t>
            </w:r>
          </w:p>
        </w:tc>
        <w:tc>
          <w:tcPr>
            <w:tcW w:w="75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2020</w:t>
            </w:r>
          </w:p>
        </w:tc>
        <w:tc>
          <w:tcPr>
            <w:tcW w:w="1662"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万宁槟榔</w:t>
            </w:r>
          </w:p>
        </w:tc>
        <w:tc>
          <w:tcPr>
            <w:tcW w:w="122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万宁</w:t>
            </w:r>
          </w:p>
        </w:tc>
        <w:tc>
          <w:tcPr>
            <w:tcW w:w="343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万宁市热作学会</w:t>
            </w:r>
          </w:p>
        </w:tc>
        <w:tc>
          <w:tcPr>
            <w:tcW w:w="72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果品</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0" w:hRule="atLeast"/>
          <w:jc w:val="center"/>
        </w:trPr>
        <w:tc>
          <w:tcPr>
            <w:tcW w:w="725"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35</w:t>
            </w:r>
          </w:p>
        </w:tc>
        <w:tc>
          <w:tcPr>
            <w:tcW w:w="75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2020</w:t>
            </w:r>
          </w:p>
        </w:tc>
        <w:tc>
          <w:tcPr>
            <w:tcW w:w="1662"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琼海胡椒</w:t>
            </w:r>
          </w:p>
        </w:tc>
        <w:tc>
          <w:tcPr>
            <w:tcW w:w="122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琼海</w:t>
            </w:r>
          </w:p>
        </w:tc>
        <w:tc>
          <w:tcPr>
            <w:tcW w:w="343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琼海市农业技术推广服务中心</w:t>
            </w:r>
          </w:p>
        </w:tc>
        <w:tc>
          <w:tcPr>
            <w:tcW w:w="72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其他</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0" w:hRule="atLeast"/>
          <w:jc w:val="center"/>
        </w:trPr>
        <w:tc>
          <w:tcPr>
            <w:tcW w:w="725"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36</w:t>
            </w:r>
          </w:p>
        </w:tc>
        <w:tc>
          <w:tcPr>
            <w:tcW w:w="75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2020</w:t>
            </w:r>
          </w:p>
        </w:tc>
        <w:tc>
          <w:tcPr>
            <w:tcW w:w="1662"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琼海青皮冬瓜</w:t>
            </w:r>
          </w:p>
        </w:tc>
        <w:tc>
          <w:tcPr>
            <w:tcW w:w="122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琼海</w:t>
            </w:r>
          </w:p>
        </w:tc>
        <w:tc>
          <w:tcPr>
            <w:tcW w:w="343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琼海市农业技术推广服务中心</w:t>
            </w:r>
          </w:p>
        </w:tc>
        <w:tc>
          <w:tcPr>
            <w:tcW w:w="72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蔬菜</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0" w:hRule="atLeast"/>
          <w:jc w:val="center"/>
        </w:trPr>
        <w:tc>
          <w:tcPr>
            <w:tcW w:w="725"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37</w:t>
            </w:r>
          </w:p>
        </w:tc>
        <w:tc>
          <w:tcPr>
            <w:tcW w:w="75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2020</w:t>
            </w:r>
          </w:p>
        </w:tc>
        <w:tc>
          <w:tcPr>
            <w:tcW w:w="1662"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澄迈无核荔枝</w:t>
            </w:r>
          </w:p>
        </w:tc>
        <w:tc>
          <w:tcPr>
            <w:tcW w:w="122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澄迈</w:t>
            </w:r>
          </w:p>
        </w:tc>
        <w:tc>
          <w:tcPr>
            <w:tcW w:w="343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澄迈县无核荔枝产销协会</w:t>
            </w:r>
          </w:p>
        </w:tc>
        <w:tc>
          <w:tcPr>
            <w:tcW w:w="72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果品</w:t>
            </w:r>
          </w:p>
        </w:tc>
      </w:tr>
    </w:tbl>
    <w:p>
      <w:pPr>
        <w:pStyle w:val="4"/>
        <w:bidi w:val="0"/>
        <w:rPr>
          <w:rFonts w:hint="eastAsia"/>
          <w:lang w:val="en-US" w:eastAsia="zh-CN"/>
        </w:rPr>
      </w:pPr>
      <w:bookmarkStart w:id="209" w:name="_Toc28827"/>
      <w:bookmarkStart w:id="210" w:name="_Toc30713"/>
      <w:bookmarkStart w:id="211" w:name="_Toc9036"/>
      <w:r>
        <w:rPr>
          <w:rFonts w:hint="eastAsia"/>
          <w:lang w:val="en-US" w:eastAsia="zh-CN"/>
        </w:rPr>
        <w:t>三、现代渔业分析</w:t>
      </w:r>
      <w:bookmarkEnd w:id="209"/>
      <w:bookmarkEnd w:id="210"/>
      <w:bookmarkEnd w:id="211"/>
    </w:p>
    <w:p>
      <w:pPr>
        <w:pStyle w:val="5"/>
        <w:numPr>
          <w:ilvl w:val="0"/>
          <w:numId w:val="13"/>
        </w:numPr>
        <w:bidi w:val="0"/>
        <w:rPr>
          <w:rFonts w:hint="eastAsia"/>
          <w:lang w:val="en-US" w:eastAsia="zh-CN"/>
        </w:rPr>
      </w:pPr>
      <w:bookmarkStart w:id="212" w:name="_Toc28799"/>
      <w:bookmarkStart w:id="213" w:name="_Toc21379"/>
      <w:bookmarkStart w:id="214" w:name="_Toc5099"/>
      <w:r>
        <w:rPr>
          <w:rFonts w:hint="eastAsia"/>
          <w:lang w:val="en-US" w:eastAsia="zh-CN"/>
        </w:rPr>
        <w:t>全省海水养殖长期无序发展，海水养殖污染被中央环保督察组点名</w:t>
      </w:r>
      <w:bookmarkEnd w:id="212"/>
      <w:bookmarkEnd w:id="213"/>
      <w:bookmarkEnd w:id="214"/>
    </w:p>
    <w:p>
      <w:pPr>
        <w:rPr>
          <w:rFonts w:hint="eastAsia"/>
          <w:lang w:val="en-US" w:eastAsia="zh-CN"/>
        </w:rPr>
      </w:pPr>
      <w:r>
        <w:rPr>
          <w:rFonts w:hint="eastAsia" w:ascii="仿宋_GB2312" w:eastAsia="仿宋_GB2312"/>
          <w:lang w:val="en-US" w:eastAsia="zh-CN"/>
        </w:rPr>
        <w:t>中央环境保护督察组进驻海南省发现，海南省未在重点河湖及近岸海域划定限制养殖区，全省海水养殖无序发展，大量滩涂养殖位于河口等污染物不易扩散的区域，甚至违规占用自然保护区和沿海防护林，向海要地、向岸要房等情况严重。2016年，全省海水养殖面积17823公顷，其中滩涂养殖8402公顷，约六成滩涂养殖位于澙湖、河口等污染物不易扩散区域，位于陆域的海水养殖场开展环评的或有污染治理设施的均不足1%。</w:t>
      </w:r>
    </w:p>
    <w:p>
      <w:pPr>
        <w:rPr>
          <w:rFonts w:hint="eastAsia"/>
          <w:lang w:val="en-US" w:eastAsia="zh-CN"/>
        </w:rPr>
      </w:pPr>
      <w:r>
        <w:rPr>
          <w:rFonts w:hint="eastAsia" w:ascii="仿宋_GB2312" w:eastAsia="仿宋_GB2312"/>
          <w:lang w:val="en-US" w:eastAsia="zh-CN"/>
        </w:rPr>
        <w:t>与文昌、琼海、万宁等问题突出地区相比，崖州现有水产养殖发展问题较小，</w:t>
      </w:r>
      <w:r>
        <w:rPr>
          <w:rFonts w:hint="eastAsia"/>
          <w:lang w:val="en-US" w:eastAsia="zh-CN"/>
        </w:rPr>
        <w:t>但存在</w:t>
      </w:r>
      <w:r>
        <w:rPr>
          <w:rFonts w:hint="default"/>
          <w:lang w:val="en-US" w:eastAsia="zh-CN"/>
        </w:rPr>
        <w:t>海岸线陆域200米生态红线范围内鱼虾塘</w:t>
      </w:r>
      <w:r>
        <w:rPr>
          <w:rFonts w:hint="eastAsia"/>
          <w:lang w:val="en-US" w:eastAsia="zh-CN"/>
        </w:rPr>
        <w:t>问题，</w:t>
      </w:r>
      <w:r>
        <w:rPr>
          <w:rFonts w:hint="eastAsia" w:ascii="仿宋_GB2312" w:eastAsia="仿宋_GB2312"/>
          <w:lang w:val="en-US" w:eastAsia="zh-CN"/>
        </w:rPr>
        <w:t>2022年前需清理2430亩，</w:t>
      </w:r>
      <w:r>
        <w:rPr>
          <w:rFonts w:hint="eastAsia"/>
          <w:lang w:val="en-US" w:eastAsia="zh-CN"/>
        </w:rPr>
        <w:t>任务比较艰巨。同时，</w:t>
      </w:r>
      <w:r>
        <w:rPr>
          <w:rFonts w:hint="eastAsia" w:ascii="仿宋_GB2312" w:eastAsia="仿宋_GB2312"/>
          <w:lang w:val="en-US" w:eastAsia="zh-CN"/>
        </w:rPr>
        <w:t>养殖尾水随意排放、</w:t>
      </w:r>
      <w:r>
        <w:rPr>
          <w:rFonts w:hint="eastAsia"/>
          <w:lang w:val="en-US" w:eastAsia="zh-CN"/>
        </w:rPr>
        <w:t>污染治理设施不足</w:t>
      </w:r>
      <w:r>
        <w:rPr>
          <w:rFonts w:hint="eastAsia" w:ascii="仿宋_GB2312" w:eastAsia="仿宋_GB2312"/>
          <w:lang w:val="en-US" w:eastAsia="zh-CN"/>
        </w:rPr>
        <w:t>、沙滩景观价值下降等情况</w:t>
      </w:r>
      <w:r>
        <w:rPr>
          <w:rFonts w:hint="eastAsia"/>
          <w:lang w:val="en-US" w:eastAsia="zh-CN"/>
        </w:rPr>
        <w:t>有所</w:t>
      </w:r>
      <w:r>
        <w:rPr>
          <w:rFonts w:hint="eastAsia" w:ascii="仿宋_GB2312" w:eastAsia="仿宋_GB2312"/>
          <w:lang w:val="en-US" w:eastAsia="zh-CN"/>
        </w:rPr>
        <w:t>存在，一方面需要行政手段立行立改，另一方面需要通过产业升级、改变水产养殖发展落后现状，实现标本兼治。</w:t>
      </w:r>
    </w:p>
    <w:p>
      <w:pPr>
        <w:pStyle w:val="5"/>
        <w:numPr>
          <w:ilvl w:val="0"/>
          <w:numId w:val="13"/>
        </w:numPr>
        <w:bidi w:val="0"/>
        <w:rPr>
          <w:rFonts w:hint="default"/>
          <w:lang w:val="en-US" w:eastAsia="zh-CN"/>
        </w:rPr>
      </w:pPr>
      <w:bookmarkStart w:id="215" w:name="_Toc21963"/>
      <w:bookmarkStart w:id="216" w:name="_Toc25810"/>
      <w:bookmarkStart w:id="217" w:name="_Toc1562"/>
      <w:r>
        <w:rPr>
          <w:rFonts w:hint="default"/>
          <w:lang w:val="en-US" w:eastAsia="zh-CN"/>
        </w:rPr>
        <w:t>崖州</w:t>
      </w:r>
      <w:r>
        <w:rPr>
          <w:rFonts w:hint="eastAsia"/>
          <w:lang w:val="en-US" w:eastAsia="zh-CN"/>
        </w:rPr>
        <w:t>在</w:t>
      </w:r>
      <w:r>
        <w:rPr>
          <w:rFonts w:hint="default"/>
          <w:lang w:val="en-US" w:eastAsia="zh-CN"/>
        </w:rPr>
        <w:t>三亚海水养殖面积最大、产量最高</w:t>
      </w:r>
      <w:r>
        <w:rPr>
          <w:rFonts w:hint="eastAsia"/>
          <w:lang w:val="en-US" w:eastAsia="zh-CN"/>
        </w:rPr>
        <w:t>，但产业规模出现萎缩</w:t>
      </w:r>
      <w:bookmarkEnd w:id="215"/>
      <w:bookmarkEnd w:id="216"/>
      <w:bookmarkEnd w:id="217"/>
    </w:p>
    <w:p>
      <w:pPr>
        <w:rPr>
          <w:rFonts w:hint="default"/>
          <w:lang w:val="en-US" w:eastAsia="zh-CN"/>
        </w:rPr>
      </w:pPr>
      <w:r>
        <w:rPr>
          <w:rFonts w:hint="default"/>
          <w:lang w:val="en-US" w:eastAsia="zh-CN"/>
        </w:rPr>
        <w:t>崖州区是三亚市海水养殖面积最大、</w:t>
      </w:r>
      <w:r>
        <w:rPr>
          <w:rFonts w:hint="eastAsia" w:ascii="仿宋_GB2312" w:eastAsia="仿宋_GB2312"/>
          <w:lang w:val="en-US" w:eastAsia="zh-CN"/>
        </w:rPr>
        <w:t>养殖</w:t>
      </w:r>
      <w:r>
        <w:rPr>
          <w:rFonts w:hint="default"/>
          <w:lang w:val="en-US" w:eastAsia="zh-CN"/>
        </w:rPr>
        <w:t>产量最高的地区，</w:t>
      </w:r>
      <w:r>
        <w:rPr>
          <w:rFonts w:hint="eastAsia" w:ascii="仿宋_GB2312" w:eastAsia="仿宋_GB2312"/>
          <w:lang w:val="en-US" w:eastAsia="zh-CN"/>
        </w:rPr>
        <w:t>最高时养殖面积占全市70%以上，养殖产量占全市一半左右。</w:t>
      </w:r>
      <w:r>
        <w:rPr>
          <w:rFonts w:hint="default"/>
          <w:lang w:val="en-US" w:eastAsia="zh-CN"/>
        </w:rPr>
        <w:t>2019年</w:t>
      </w:r>
      <w:r>
        <w:rPr>
          <w:rFonts w:hint="eastAsia"/>
          <w:lang w:val="en-US" w:eastAsia="zh-CN"/>
        </w:rPr>
        <w:t>，</w:t>
      </w:r>
      <w:r>
        <w:rPr>
          <w:rFonts w:hint="default"/>
          <w:lang w:val="en-US" w:eastAsia="zh-CN"/>
        </w:rPr>
        <w:t>全区海水养殖面积332公顷</w:t>
      </w:r>
      <w:r>
        <w:rPr>
          <w:rFonts w:hint="eastAsia"/>
          <w:lang w:val="en-US" w:eastAsia="zh-CN"/>
        </w:rPr>
        <w:t>、</w:t>
      </w:r>
      <w:r>
        <w:rPr>
          <w:rFonts w:hint="default"/>
          <w:lang w:val="en-US" w:eastAsia="zh-CN"/>
        </w:rPr>
        <w:t>产量3600吨，由于开展清理整治，面积较2018年减少148公顷</w:t>
      </w:r>
      <w:r>
        <w:rPr>
          <w:rFonts w:hint="eastAsia"/>
          <w:lang w:val="en-US" w:eastAsia="zh-CN"/>
        </w:rPr>
        <w:t>、</w:t>
      </w:r>
      <w:r>
        <w:rPr>
          <w:rFonts w:hint="default"/>
          <w:lang w:val="en-US" w:eastAsia="zh-CN"/>
        </w:rPr>
        <w:t>产量减少600吨。</w:t>
      </w:r>
      <w:r>
        <w:rPr>
          <w:rFonts w:hint="eastAsia" w:ascii="仿宋_GB2312" w:eastAsia="仿宋_GB2312"/>
          <w:lang w:val="en-US" w:eastAsia="zh-CN"/>
        </w:rPr>
        <w:t>“十三五”期间，全区海水养殖面积和产量均出现下降，面积由2015年的519公顷下降至2019年的332公顷，产量由5223吨下降至3600吨。</w:t>
      </w:r>
      <w:r>
        <w:rPr>
          <w:rFonts w:hint="eastAsia"/>
          <w:lang w:val="en-US" w:eastAsia="zh-CN"/>
        </w:rPr>
        <w:t>海水养殖面积和产量出现</w:t>
      </w:r>
      <w:r>
        <w:rPr>
          <w:rFonts w:hint="eastAsia" w:ascii="仿宋_GB2312" w:eastAsia="仿宋_GB2312"/>
          <w:lang w:val="en-US" w:eastAsia="zh-CN"/>
        </w:rPr>
        <w:t>下降的原因，一是</w:t>
      </w:r>
      <w:r>
        <w:rPr>
          <w:rFonts w:hint="eastAsia"/>
          <w:lang w:val="en-US" w:eastAsia="zh-CN"/>
        </w:rPr>
        <w:t>全省</w:t>
      </w:r>
      <w:r>
        <w:rPr>
          <w:rFonts w:hint="eastAsia" w:ascii="仿宋_GB2312" w:eastAsia="仿宋_GB2312"/>
          <w:lang w:val="en-US" w:eastAsia="zh-CN"/>
        </w:rPr>
        <w:t>开展海水养殖清理整治，</w:t>
      </w:r>
      <w:r>
        <w:rPr>
          <w:rFonts w:hint="eastAsia"/>
          <w:lang w:val="en-US" w:eastAsia="zh-CN"/>
        </w:rPr>
        <w:t>全区将清理1/3</w:t>
      </w:r>
      <w:r>
        <w:rPr>
          <w:rFonts w:hint="eastAsia" w:ascii="仿宋_GB2312" w:eastAsia="仿宋_GB2312"/>
          <w:lang w:val="en-US" w:eastAsia="zh-CN"/>
        </w:rPr>
        <w:t>养殖面积；二是</w:t>
      </w:r>
      <w:r>
        <w:rPr>
          <w:rFonts w:hint="eastAsia" w:ascii="仿宋_GB2312" w:eastAsia="仿宋_GB2312"/>
          <w:b/>
          <w:bCs/>
          <w:lang w:val="en-US" w:eastAsia="zh-CN"/>
        </w:rPr>
        <w:t>单位面积产出指标提升缓慢</w:t>
      </w:r>
      <w:r>
        <w:rPr>
          <w:rFonts w:hint="eastAsia" w:ascii="仿宋_GB2312" w:eastAsia="仿宋_GB2312"/>
          <w:lang w:val="en-US" w:eastAsia="zh-CN"/>
        </w:rPr>
        <w:t>，产业发展质量不高。</w:t>
      </w:r>
    </w:p>
    <w:p>
      <w:pPr>
        <w:bidi w:val="0"/>
        <w:spacing w:line="240" w:lineRule="auto"/>
        <w:ind w:firstLine="0" w:firstLineChars="0"/>
        <w:jc w:val="center"/>
        <w:rPr>
          <w:rFonts w:hint="default" w:ascii="楷体" w:hAnsi="楷体" w:eastAsia="楷体" w:cs="楷体"/>
          <w:b w:val="0"/>
          <w:bCs w:val="0"/>
          <w:sz w:val="28"/>
          <w:szCs w:val="28"/>
          <w:lang w:val="en-US" w:eastAsia="zh-CN"/>
        </w:rPr>
      </w:pPr>
      <w:r>
        <w:rPr>
          <w:rFonts w:hint="eastAsia" w:ascii="楷体" w:hAnsi="楷体" w:eastAsia="楷体" w:cs="楷体"/>
          <w:b w:val="0"/>
          <w:bCs w:val="0"/>
          <w:sz w:val="28"/>
          <w:szCs w:val="28"/>
          <w:lang w:val="en-US" w:eastAsia="zh-CN"/>
        </w:rPr>
        <w:t>表12  崖州区海水养殖发展指标</w:t>
      </w:r>
    </w:p>
    <w:tbl>
      <w:tblPr>
        <w:tblStyle w:val="18"/>
        <w:tblW w:w="5000" w:type="pct"/>
        <w:jc w:val="center"/>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17"/>
        <w:gridCol w:w="1217"/>
        <w:gridCol w:w="1217"/>
        <w:gridCol w:w="1217"/>
        <w:gridCol w:w="1218"/>
        <w:gridCol w:w="1218"/>
        <w:gridCol w:w="1218"/>
      </w:tblGrid>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0" w:hRule="atLeast"/>
          <w:tblHeader/>
          <w:jc w:val="center"/>
        </w:trPr>
        <w:tc>
          <w:tcPr>
            <w:tcW w:w="1065"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指标</w:t>
            </w:r>
          </w:p>
        </w:tc>
        <w:tc>
          <w:tcPr>
            <w:tcW w:w="1065"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单位</w:t>
            </w:r>
          </w:p>
        </w:tc>
        <w:tc>
          <w:tcPr>
            <w:tcW w:w="1065"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2019</w:t>
            </w:r>
          </w:p>
        </w:tc>
        <w:tc>
          <w:tcPr>
            <w:tcW w:w="1065"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2018</w:t>
            </w:r>
          </w:p>
        </w:tc>
        <w:tc>
          <w:tcPr>
            <w:tcW w:w="1065"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2017</w:t>
            </w:r>
          </w:p>
        </w:tc>
        <w:tc>
          <w:tcPr>
            <w:tcW w:w="1065"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2016</w:t>
            </w:r>
          </w:p>
        </w:tc>
        <w:tc>
          <w:tcPr>
            <w:tcW w:w="1065"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2015</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0" w:hRule="atLeast"/>
          <w:jc w:val="center"/>
        </w:trPr>
        <w:tc>
          <w:tcPr>
            <w:tcW w:w="1065"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养殖面积</w:t>
            </w:r>
          </w:p>
        </w:tc>
        <w:tc>
          <w:tcPr>
            <w:tcW w:w="1065"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公顷</w:t>
            </w:r>
          </w:p>
        </w:tc>
        <w:tc>
          <w:tcPr>
            <w:tcW w:w="1065"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332</w:t>
            </w:r>
          </w:p>
        </w:tc>
        <w:tc>
          <w:tcPr>
            <w:tcW w:w="1065"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480</w:t>
            </w:r>
          </w:p>
        </w:tc>
        <w:tc>
          <w:tcPr>
            <w:tcW w:w="1065"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468</w:t>
            </w:r>
          </w:p>
        </w:tc>
        <w:tc>
          <w:tcPr>
            <w:tcW w:w="1065"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510</w:t>
            </w:r>
          </w:p>
        </w:tc>
        <w:tc>
          <w:tcPr>
            <w:tcW w:w="1065"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519</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0" w:hRule="atLeast"/>
          <w:jc w:val="center"/>
        </w:trPr>
        <w:tc>
          <w:tcPr>
            <w:tcW w:w="1065"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养殖产量</w:t>
            </w:r>
          </w:p>
        </w:tc>
        <w:tc>
          <w:tcPr>
            <w:tcW w:w="1065"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吨</w:t>
            </w:r>
          </w:p>
        </w:tc>
        <w:tc>
          <w:tcPr>
            <w:tcW w:w="1065"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3600</w:t>
            </w:r>
          </w:p>
        </w:tc>
        <w:tc>
          <w:tcPr>
            <w:tcW w:w="1065"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5200</w:t>
            </w:r>
          </w:p>
        </w:tc>
        <w:tc>
          <w:tcPr>
            <w:tcW w:w="1065"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5118</w:t>
            </w:r>
          </w:p>
        </w:tc>
        <w:tc>
          <w:tcPr>
            <w:tcW w:w="1065"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5162</w:t>
            </w:r>
          </w:p>
        </w:tc>
        <w:tc>
          <w:tcPr>
            <w:tcW w:w="1065"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5223</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0" w:hRule="atLeast"/>
          <w:jc w:val="center"/>
        </w:trPr>
        <w:tc>
          <w:tcPr>
            <w:tcW w:w="1065"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单产</w:t>
            </w:r>
          </w:p>
        </w:tc>
        <w:tc>
          <w:tcPr>
            <w:tcW w:w="1065"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吨/公顷</w:t>
            </w:r>
          </w:p>
        </w:tc>
        <w:tc>
          <w:tcPr>
            <w:tcW w:w="1065"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10.8</w:t>
            </w:r>
          </w:p>
        </w:tc>
        <w:tc>
          <w:tcPr>
            <w:tcW w:w="1065"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10.8</w:t>
            </w:r>
          </w:p>
        </w:tc>
        <w:tc>
          <w:tcPr>
            <w:tcW w:w="1065"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10.9</w:t>
            </w:r>
          </w:p>
        </w:tc>
        <w:tc>
          <w:tcPr>
            <w:tcW w:w="1065"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10.1</w:t>
            </w:r>
          </w:p>
        </w:tc>
        <w:tc>
          <w:tcPr>
            <w:tcW w:w="1065"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10.1</w:t>
            </w:r>
          </w:p>
        </w:tc>
      </w:tr>
    </w:tbl>
    <w:p>
      <w:pPr>
        <w:bidi w:val="0"/>
        <w:rPr>
          <w:rFonts w:hint="default"/>
          <w:lang w:val="en-US" w:eastAsia="zh-CN"/>
        </w:rPr>
      </w:pPr>
      <w:r>
        <w:rPr>
          <w:rFonts w:hint="eastAsia" w:ascii="仿宋_GB2312" w:eastAsia="仿宋_GB2312"/>
          <w:lang w:val="en-US" w:eastAsia="zh-CN"/>
        </w:rPr>
        <w:t>全区淡水养殖和淡水捕捞规模较小，2019年全区淡水养殖面积为40公顷，淡水养殖产量410吨，养殖品种为罗非鱼、草鱼、鲢鱼等，淡水捕捞量60吨。</w:t>
      </w:r>
    </w:p>
    <w:p>
      <w:pPr>
        <w:bidi w:val="0"/>
        <w:spacing w:line="240" w:lineRule="auto"/>
        <w:ind w:firstLine="0" w:firstLineChars="0"/>
        <w:jc w:val="center"/>
        <w:rPr>
          <w:rFonts w:hint="default" w:ascii="楷体" w:hAnsi="楷体" w:eastAsia="楷体" w:cs="楷体"/>
          <w:b w:val="0"/>
          <w:bCs w:val="0"/>
          <w:sz w:val="28"/>
          <w:szCs w:val="28"/>
          <w:lang w:val="en-US" w:eastAsia="zh-CN"/>
        </w:rPr>
      </w:pPr>
      <w:r>
        <w:rPr>
          <w:rFonts w:hint="eastAsia" w:ascii="楷体" w:hAnsi="楷体" w:eastAsia="楷体" w:cs="楷体"/>
          <w:b w:val="0"/>
          <w:bCs w:val="0"/>
          <w:sz w:val="28"/>
          <w:szCs w:val="28"/>
          <w:lang w:val="en-US" w:eastAsia="zh-CN"/>
        </w:rPr>
        <w:t>表13  崖州区淡水养殖捕捞发展指标</w:t>
      </w:r>
    </w:p>
    <w:tbl>
      <w:tblPr>
        <w:tblStyle w:val="18"/>
        <w:tblW w:w="5000" w:type="pct"/>
        <w:jc w:val="center"/>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97"/>
        <w:gridCol w:w="1187"/>
        <w:gridCol w:w="1187"/>
        <w:gridCol w:w="1187"/>
        <w:gridCol w:w="1188"/>
        <w:gridCol w:w="1188"/>
        <w:gridCol w:w="1188"/>
      </w:tblGrid>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0" w:hRule="atLeast"/>
          <w:tblHeader/>
          <w:jc w:val="center"/>
        </w:trPr>
        <w:tc>
          <w:tcPr>
            <w:tcW w:w="139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指标</w:t>
            </w:r>
          </w:p>
        </w:tc>
        <w:tc>
          <w:tcPr>
            <w:tcW w:w="118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单位</w:t>
            </w:r>
          </w:p>
        </w:tc>
        <w:tc>
          <w:tcPr>
            <w:tcW w:w="118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2019</w:t>
            </w:r>
          </w:p>
        </w:tc>
        <w:tc>
          <w:tcPr>
            <w:tcW w:w="118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2018</w:t>
            </w:r>
          </w:p>
        </w:tc>
        <w:tc>
          <w:tcPr>
            <w:tcW w:w="1188"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2017</w:t>
            </w:r>
          </w:p>
        </w:tc>
        <w:tc>
          <w:tcPr>
            <w:tcW w:w="1188"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2016</w:t>
            </w:r>
          </w:p>
        </w:tc>
        <w:tc>
          <w:tcPr>
            <w:tcW w:w="1188"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2015</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0" w:hRule="atLeast"/>
          <w:jc w:val="center"/>
        </w:trPr>
        <w:tc>
          <w:tcPr>
            <w:tcW w:w="139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养殖面积</w:t>
            </w:r>
          </w:p>
        </w:tc>
        <w:tc>
          <w:tcPr>
            <w:tcW w:w="118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公顷</w:t>
            </w:r>
          </w:p>
        </w:tc>
        <w:tc>
          <w:tcPr>
            <w:tcW w:w="118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40</w:t>
            </w:r>
          </w:p>
        </w:tc>
        <w:tc>
          <w:tcPr>
            <w:tcW w:w="118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60</w:t>
            </w:r>
          </w:p>
        </w:tc>
        <w:tc>
          <w:tcPr>
            <w:tcW w:w="1188"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61</w:t>
            </w:r>
          </w:p>
        </w:tc>
        <w:tc>
          <w:tcPr>
            <w:tcW w:w="1188"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61</w:t>
            </w:r>
          </w:p>
        </w:tc>
        <w:tc>
          <w:tcPr>
            <w:tcW w:w="1188"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69</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0" w:hRule="atLeast"/>
          <w:jc w:val="center"/>
        </w:trPr>
        <w:tc>
          <w:tcPr>
            <w:tcW w:w="139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养殖产量</w:t>
            </w:r>
          </w:p>
        </w:tc>
        <w:tc>
          <w:tcPr>
            <w:tcW w:w="118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吨</w:t>
            </w:r>
          </w:p>
        </w:tc>
        <w:tc>
          <w:tcPr>
            <w:tcW w:w="118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410</w:t>
            </w:r>
          </w:p>
        </w:tc>
        <w:tc>
          <w:tcPr>
            <w:tcW w:w="118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580</w:t>
            </w:r>
          </w:p>
        </w:tc>
        <w:tc>
          <w:tcPr>
            <w:tcW w:w="1188"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570</w:t>
            </w:r>
          </w:p>
        </w:tc>
        <w:tc>
          <w:tcPr>
            <w:tcW w:w="1188"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563</w:t>
            </w:r>
          </w:p>
        </w:tc>
        <w:tc>
          <w:tcPr>
            <w:tcW w:w="1188"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481</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0" w:hRule="atLeast"/>
          <w:jc w:val="center"/>
        </w:trPr>
        <w:tc>
          <w:tcPr>
            <w:tcW w:w="139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捕捞产量</w:t>
            </w:r>
          </w:p>
        </w:tc>
        <w:tc>
          <w:tcPr>
            <w:tcW w:w="118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吨</w:t>
            </w:r>
          </w:p>
        </w:tc>
        <w:tc>
          <w:tcPr>
            <w:tcW w:w="118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60</w:t>
            </w:r>
          </w:p>
        </w:tc>
        <w:tc>
          <w:tcPr>
            <w:tcW w:w="118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88</w:t>
            </w:r>
          </w:p>
        </w:tc>
        <w:tc>
          <w:tcPr>
            <w:tcW w:w="1188"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61</w:t>
            </w:r>
          </w:p>
        </w:tc>
        <w:tc>
          <w:tcPr>
            <w:tcW w:w="1188"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61</w:t>
            </w:r>
          </w:p>
        </w:tc>
        <w:tc>
          <w:tcPr>
            <w:tcW w:w="1188"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58</w:t>
            </w:r>
          </w:p>
        </w:tc>
      </w:tr>
    </w:tbl>
    <w:p>
      <w:pPr>
        <w:pStyle w:val="5"/>
        <w:numPr>
          <w:ilvl w:val="0"/>
          <w:numId w:val="13"/>
        </w:numPr>
        <w:bidi w:val="0"/>
        <w:rPr>
          <w:rFonts w:hint="default"/>
          <w:lang w:val="en-US" w:eastAsia="zh-CN"/>
        </w:rPr>
      </w:pPr>
      <w:bookmarkStart w:id="218" w:name="_Toc20327"/>
      <w:bookmarkStart w:id="219" w:name="_Toc27316"/>
      <w:bookmarkStart w:id="220" w:name="_Toc27588"/>
      <w:r>
        <w:rPr>
          <w:rFonts w:hint="eastAsia"/>
          <w:lang w:val="en-US" w:eastAsia="zh-CN"/>
        </w:rPr>
        <w:t>海水养殖单位产出低、生产效率低、养殖方式比较落后</w:t>
      </w:r>
      <w:bookmarkEnd w:id="218"/>
      <w:bookmarkEnd w:id="219"/>
      <w:bookmarkEnd w:id="220"/>
    </w:p>
    <w:p>
      <w:pPr>
        <w:rPr>
          <w:rFonts w:hint="eastAsia"/>
          <w:lang w:val="en-US" w:eastAsia="zh-CN"/>
        </w:rPr>
      </w:pPr>
      <w:r>
        <w:rPr>
          <w:rFonts w:hint="eastAsia" w:ascii="仿宋_GB2312" w:eastAsia="仿宋_GB2312"/>
          <w:lang w:val="en-US" w:eastAsia="zh-CN"/>
        </w:rPr>
        <w:t>2019年，崖州全区海水养殖平均单产为每公顷10.8吨，三亚全市</w:t>
      </w:r>
      <w:r>
        <w:rPr>
          <w:rFonts w:hint="eastAsia"/>
          <w:lang w:val="en-US" w:eastAsia="zh-CN"/>
        </w:rPr>
        <w:t>约</w:t>
      </w:r>
      <w:r>
        <w:rPr>
          <w:rFonts w:hint="eastAsia" w:ascii="仿宋_GB2312" w:eastAsia="仿宋_GB2312"/>
          <w:lang w:val="en-US" w:eastAsia="zh-CN"/>
        </w:rPr>
        <w:t>为13吨，省内工厂化养殖</w:t>
      </w:r>
      <w:r>
        <w:rPr>
          <w:rFonts w:hint="eastAsia"/>
          <w:lang w:val="en-US" w:eastAsia="zh-CN"/>
        </w:rPr>
        <w:t>园区</w:t>
      </w:r>
      <w:r>
        <w:rPr>
          <w:rFonts w:hint="eastAsia" w:ascii="仿宋_GB2312" w:eastAsia="仿宋_GB2312"/>
          <w:lang w:val="en-US" w:eastAsia="zh-CN"/>
        </w:rPr>
        <w:t>最高可达40吨。崖州海水养殖平均</w:t>
      </w:r>
      <w:r>
        <w:rPr>
          <w:rFonts w:hint="eastAsia"/>
          <w:lang w:val="en-US" w:eastAsia="zh-CN"/>
        </w:rPr>
        <w:t>产出</w:t>
      </w:r>
      <w:r>
        <w:rPr>
          <w:rFonts w:hint="eastAsia" w:ascii="仿宋_GB2312" w:eastAsia="仿宋_GB2312"/>
          <w:lang w:val="en-US" w:eastAsia="zh-CN"/>
        </w:rPr>
        <w:t>较低，“十三五”期间单产增幅较小</w:t>
      </w:r>
      <w:r>
        <w:rPr>
          <w:rFonts w:hint="eastAsia"/>
          <w:lang w:val="en-US" w:eastAsia="zh-CN"/>
        </w:rPr>
        <w:t>（2019年较2015年增加0.7吨）</w:t>
      </w:r>
      <w:r>
        <w:rPr>
          <w:rFonts w:hint="eastAsia" w:ascii="仿宋_GB2312" w:eastAsia="仿宋_GB2312"/>
          <w:lang w:val="en-US" w:eastAsia="zh-CN"/>
        </w:rPr>
        <w:t>，</w:t>
      </w:r>
      <w:r>
        <w:rPr>
          <w:rFonts w:hint="eastAsia"/>
          <w:lang w:val="en-US" w:eastAsia="zh-CN"/>
        </w:rPr>
        <w:t>主要</w:t>
      </w:r>
      <w:r>
        <w:rPr>
          <w:rFonts w:hint="eastAsia" w:ascii="仿宋_GB2312" w:eastAsia="仿宋_GB2312"/>
          <w:lang w:val="en-US" w:eastAsia="zh-CN"/>
        </w:rPr>
        <w:t>原因是养殖</w:t>
      </w:r>
      <w:r>
        <w:rPr>
          <w:rFonts w:hint="eastAsia"/>
          <w:lang w:val="en-US" w:eastAsia="zh-CN"/>
        </w:rPr>
        <w:t>组织方式、</w:t>
      </w:r>
      <w:r>
        <w:rPr>
          <w:rFonts w:hint="eastAsia" w:ascii="仿宋_GB2312" w:eastAsia="仿宋_GB2312"/>
          <w:lang w:val="en-US" w:eastAsia="zh-CN"/>
        </w:rPr>
        <w:t>养殖</w:t>
      </w:r>
      <w:r>
        <w:rPr>
          <w:rFonts w:hint="eastAsia"/>
          <w:lang w:val="en-US" w:eastAsia="zh-CN"/>
        </w:rPr>
        <w:t>方法</w:t>
      </w:r>
      <w:r>
        <w:rPr>
          <w:rFonts w:hint="eastAsia" w:ascii="仿宋_GB2312" w:eastAsia="仿宋_GB2312"/>
          <w:lang w:val="en-US" w:eastAsia="zh-CN"/>
        </w:rPr>
        <w:t>技术、养殖品种</w:t>
      </w:r>
      <w:r>
        <w:rPr>
          <w:rFonts w:hint="eastAsia"/>
          <w:lang w:val="en-US" w:eastAsia="zh-CN"/>
        </w:rPr>
        <w:t>仍然</w:t>
      </w:r>
      <w:r>
        <w:rPr>
          <w:rFonts w:hint="eastAsia" w:ascii="仿宋_GB2312" w:eastAsia="仿宋_GB2312"/>
          <w:lang w:val="en-US" w:eastAsia="zh-CN"/>
        </w:rPr>
        <w:t>比较传统，近年来少有升级，</w:t>
      </w:r>
      <w:r>
        <w:rPr>
          <w:rFonts w:hint="eastAsia"/>
          <w:lang w:val="en-US" w:eastAsia="zh-CN"/>
        </w:rPr>
        <w:t>导致养殖业</w:t>
      </w:r>
      <w:r>
        <w:rPr>
          <w:rFonts w:hint="eastAsia" w:ascii="仿宋_GB2312" w:eastAsia="仿宋_GB2312"/>
          <w:lang w:val="en-US" w:eastAsia="zh-CN"/>
        </w:rPr>
        <w:t>劳动生产率提升较慢。</w:t>
      </w:r>
    </w:p>
    <w:p>
      <w:pPr>
        <w:rPr>
          <w:rFonts w:hint="default"/>
          <w:lang w:val="en-US" w:eastAsia="zh-CN"/>
        </w:rPr>
      </w:pPr>
      <w:r>
        <w:rPr>
          <w:rFonts w:hint="eastAsia"/>
          <w:b/>
          <w:bCs/>
          <w:lang w:val="en-US" w:eastAsia="zh-CN"/>
        </w:rPr>
        <w:t>一是生产方式落后。</w:t>
      </w:r>
      <w:r>
        <w:rPr>
          <w:rFonts w:hint="default"/>
          <w:lang w:val="en-US" w:eastAsia="zh-CN"/>
        </w:rPr>
        <w:t>多以传</w:t>
      </w:r>
      <w:r>
        <w:rPr>
          <w:rFonts w:hint="default"/>
          <w:b w:val="0"/>
          <w:bCs w:val="0"/>
          <w:lang w:val="en-US" w:eastAsia="zh-CN"/>
        </w:rPr>
        <w:t>统一家一户</w:t>
      </w:r>
      <w:r>
        <w:rPr>
          <w:rFonts w:hint="eastAsia"/>
          <w:b w:val="0"/>
          <w:bCs w:val="0"/>
          <w:lang w:val="en-US" w:eastAsia="zh-CN"/>
        </w:rPr>
        <w:t>分散</w:t>
      </w:r>
      <w:r>
        <w:rPr>
          <w:rFonts w:hint="default"/>
          <w:b w:val="0"/>
          <w:bCs w:val="0"/>
          <w:lang w:val="en-US" w:eastAsia="zh-CN"/>
        </w:rPr>
        <w:t>养殖经营为主</w:t>
      </w:r>
      <w:r>
        <w:rPr>
          <w:rFonts w:hint="eastAsia" w:ascii="仿宋_GB2312" w:eastAsia="仿宋_GB2312"/>
          <w:b w:val="0"/>
          <w:bCs w:val="0"/>
          <w:lang w:val="en-US" w:eastAsia="zh-CN"/>
        </w:rPr>
        <w:t>，</w:t>
      </w:r>
      <w:r>
        <w:rPr>
          <w:rFonts w:hint="eastAsia"/>
          <w:b w:val="0"/>
          <w:bCs w:val="0"/>
          <w:lang w:val="en-US" w:eastAsia="zh-CN"/>
        </w:rPr>
        <w:t>没有现代化水产养殖园区，</w:t>
      </w:r>
      <w:r>
        <w:rPr>
          <w:rFonts w:hint="default"/>
          <w:b w:val="0"/>
          <w:bCs w:val="0"/>
          <w:lang w:val="en-US" w:eastAsia="zh-CN"/>
        </w:rPr>
        <w:t>缺</w:t>
      </w:r>
      <w:r>
        <w:rPr>
          <w:rFonts w:hint="default"/>
          <w:lang w:val="en-US" w:eastAsia="zh-CN"/>
        </w:rPr>
        <w:t>少</w:t>
      </w:r>
      <w:r>
        <w:rPr>
          <w:rFonts w:hint="eastAsia"/>
          <w:lang w:val="en-US" w:eastAsia="zh-CN"/>
        </w:rPr>
        <w:t>行业</w:t>
      </w:r>
      <w:r>
        <w:rPr>
          <w:rFonts w:hint="default"/>
          <w:lang w:val="en-US" w:eastAsia="zh-CN"/>
        </w:rPr>
        <w:t>龙头企业带动，产业</w:t>
      </w:r>
      <w:r>
        <w:rPr>
          <w:rFonts w:hint="eastAsia"/>
          <w:lang w:val="en-US" w:eastAsia="zh-CN"/>
        </w:rPr>
        <w:t>组织化</w:t>
      </w:r>
      <w:r>
        <w:rPr>
          <w:rFonts w:hint="default"/>
          <w:lang w:val="en-US" w:eastAsia="zh-CN"/>
        </w:rPr>
        <w:t>程度不高</w:t>
      </w:r>
      <w:r>
        <w:rPr>
          <w:rFonts w:hint="eastAsia"/>
          <w:lang w:val="en-US" w:eastAsia="zh-CN"/>
        </w:rPr>
        <w:t>。</w:t>
      </w:r>
    </w:p>
    <w:p>
      <w:pPr>
        <w:rPr>
          <w:rFonts w:hint="default"/>
          <w:lang w:val="en-US" w:eastAsia="zh-CN"/>
        </w:rPr>
      </w:pPr>
      <w:r>
        <w:rPr>
          <w:rFonts w:hint="eastAsia"/>
          <w:b/>
          <w:bCs/>
          <w:lang w:val="en-US" w:eastAsia="zh-CN"/>
        </w:rPr>
        <w:t>二是养殖技术落后。</w:t>
      </w:r>
      <w:r>
        <w:rPr>
          <w:rFonts w:hint="default"/>
          <w:lang w:val="en-US" w:eastAsia="zh-CN"/>
        </w:rPr>
        <w:t>养殖品种、苗种来源、</w:t>
      </w:r>
      <w:r>
        <w:rPr>
          <w:rFonts w:hint="eastAsia" w:ascii="仿宋_GB2312" w:eastAsia="仿宋_GB2312"/>
          <w:lang w:val="en-US" w:eastAsia="zh-CN"/>
        </w:rPr>
        <w:t>投食给药、</w:t>
      </w:r>
      <w:r>
        <w:rPr>
          <w:rFonts w:hint="default"/>
          <w:lang w:val="en-US" w:eastAsia="zh-CN"/>
        </w:rPr>
        <w:t>成鱼规格等</w:t>
      </w:r>
      <w:r>
        <w:rPr>
          <w:rFonts w:hint="eastAsia" w:ascii="仿宋_GB2312" w:eastAsia="仿宋_GB2312"/>
          <w:lang w:val="en-US" w:eastAsia="zh-CN"/>
        </w:rPr>
        <w:t>环节</w:t>
      </w:r>
      <w:r>
        <w:rPr>
          <w:rFonts w:hint="default"/>
          <w:lang w:val="en-US" w:eastAsia="zh-CN"/>
        </w:rPr>
        <w:t>由养殖户</w:t>
      </w:r>
      <w:r>
        <w:rPr>
          <w:rFonts w:hint="eastAsia" w:ascii="仿宋_GB2312" w:eastAsia="仿宋_GB2312"/>
          <w:lang w:val="en-US" w:eastAsia="zh-CN"/>
        </w:rPr>
        <w:t>根据经验判断</w:t>
      </w:r>
      <w:r>
        <w:rPr>
          <w:rFonts w:hint="default"/>
          <w:lang w:val="en-US" w:eastAsia="zh-CN"/>
        </w:rPr>
        <w:t>决定，</w:t>
      </w:r>
      <w:r>
        <w:rPr>
          <w:rFonts w:hint="eastAsia"/>
          <w:lang w:val="en-US" w:eastAsia="zh-CN"/>
        </w:rPr>
        <w:t>甚至存在“赌运气”的心理，技术支撑不足、</w:t>
      </w:r>
      <w:r>
        <w:rPr>
          <w:rFonts w:hint="default"/>
          <w:lang w:val="en-US" w:eastAsia="zh-CN"/>
        </w:rPr>
        <w:t>养殖设施老化、</w:t>
      </w:r>
      <w:r>
        <w:rPr>
          <w:rFonts w:hint="eastAsia" w:ascii="仿宋_GB2312" w:eastAsia="仿宋_GB2312"/>
          <w:lang w:val="en-US" w:eastAsia="zh-CN"/>
        </w:rPr>
        <w:t>基建投入不足、</w:t>
      </w:r>
      <w:r>
        <w:rPr>
          <w:rFonts w:hint="default"/>
          <w:lang w:val="en-US" w:eastAsia="zh-CN"/>
        </w:rPr>
        <w:t>水产品质量</w:t>
      </w:r>
      <w:r>
        <w:rPr>
          <w:rFonts w:hint="eastAsia" w:ascii="仿宋_GB2312" w:eastAsia="仿宋_GB2312"/>
          <w:lang w:val="en-US" w:eastAsia="zh-CN"/>
        </w:rPr>
        <w:t>不稳定等现象普遍存在</w:t>
      </w:r>
      <w:r>
        <w:rPr>
          <w:rFonts w:hint="eastAsia"/>
          <w:lang w:val="en-US" w:eastAsia="zh-CN"/>
        </w:rPr>
        <w:t>。</w:t>
      </w:r>
    </w:p>
    <w:p>
      <w:pPr>
        <w:rPr>
          <w:rFonts w:hint="default"/>
          <w:lang w:val="en-US" w:eastAsia="zh-CN"/>
        </w:rPr>
      </w:pPr>
      <w:r>
        <w:rPr>
          <w:rFonts w:hint="eastAsia"/>
          <w:b/>
          <w:bCs/>
          <w:lang w:val="en-US" w:eastAsia="zh-CN"/>
        </w:rPr>
        <w:t>三是行业组织不足。</w:t>
      </w:r>
      <w:r>
        <w:rPr>
          <w:rFonts w:hint="default"/>
          <w:lang w:val="en-US" w:eastAsia="zh-CN"/>
        </w:rPr>
        <w:t>种苗生产供给、生产资料供应、养殖技术规范、水产品流通</w:t>
      </w:r>
      <w:r>
        <w:rPr>
          <w:rFonts w:hint="eastAsia"/>
          <w:lang w:val="en-US" w:eastAsia="zh-CN"/>
        </w:rPr>
        <w:t>渠道对接</w:t>
      </w:r>
      <w:r>
        <w:rPr>
          <w:rFonts w:hint="default"/>
          <w:lang w:val="en-US" w:eastAsia="zh-CN"/>
        </w:rPr>
        <w:t>等</w:t>
      </w:r>
      <w:r>
        <w:rPr>
          <w:rFonts w:hint="eastAsia" w:ascii="仿宋_GB2312" w:eastAsia="仿宋_GB2312"/>
          <w:lang w:val="en-US" w:eastAsia="zh-CN"/>
        </w:rPr>
        <w:t>领域缺少统筹，</w:t>
      </w:r>
      <w:r>
        <w:rPr>
          <w:rFonts w:hint="default"/>
          <w:lang w:val="en-US" w:eastAsia="zh-CN"/>
        </w:rPr>
        <w:t>不利于形成规模效应和合力</w:t>
      </w:r>
      <w:r>
        <w:rPr>
          <w:rFonts w:hint="eastAsia" w:ascii="仿宋_GB2312" w:eastAsia="仿宋_GB2312"/>
          <w:lang w:val="en-US" w:eastAsia="zh-CN"/>
        </w:rPr>
        <w:t>，</w:t>
      </w:r>
      <w:r>
        <w:rPr>
          <w:rFonts w:hint="eastAsia"/>
          <w:lang w:val="en-US" w:eastAsia="zh-CN"/>
        </w:rPr>
        <w:t>需要跟上</w:t>
      </w:r>
      <w:r>
        <w:rPr>
          <w:rFonts w:hint="default"/>
          <w:lang w:val="en-US" w:eastAsia="zh-CN"/>
        </w:rPr>
        <w:t>养殖产业化、规范化</w:t>
      </w:r>
      <w:r>
        <w:rPr>
          <w:rFonts w:hint="eastAsia" w:ascii="仿宋_GB2312" w:eastAsia="仿宋_GB2312"/>
          <w:lang w:val="en-US" w:eastAsia="zh-CN"/>
        </w:rPr>
        <w:t>、生态化</w:t>
      </w:r>
      <w:r>
        <w:rPr>
          <w:rFonts w:hint="default"/>
          <w:lang w:val="en-US" w:eastAsia="zh-CN"/>
        </w:rPr>
        <w:t>的</w:t>
      </w:r>
      <w:r>
        <w:rPr>
          <w:rFonts w:hint="eastAsia"/>
          <w:lang w:val="en-US" w:eastAsia="zh-CN"/>
        </w:rPr>
        <w:t>发展趋势</w:t>
      </w:r>
      <w:r>
        <w:rPr>
          <w:rFonts w:hint="eastAsia" w:ascii="仿宋_GB2312" w:eastAsia="仿宋_GB2312"/>
          <w:lang w:val="en-US" w:eastAsia="zh-CN"/>
        </w:rPr>
        <w:t>。</w:t>
      </w:r>
    </w:p>
    <w:p>
      <w:pPr>
        <w:pStyle w:val="5"/>
        <w:numPr>
          <w:ilvl w:val="0"/>
          <w:numId w:val="13"/>
        </w:numPr>
        <w:bidi w:val="0"/>
        <w:rPr>
          <w:rFonts w:hint="default"/>
          <w:lang w:val="en-US" w:eastAsia="zh-CN"/>
        </w:rPr>
      </w:pPr>
      <w:bookmarkStart w:id="221" w:name="_Toc9171"/>
      <w:bookmarkStart w:id="222" w:name="_Toc11136"/>
      <w:bookmarkStart w:id="223" w:name="_Toc30092"/>
      <w:r>
        <w:rPr>
          <w:rFonts w:hint="default"/>
          <w:lang w:val="en-US" w:eastAsia="zh-CN"/>
        </w:rPr>
        <w:t>科技支撑能力不足，</w:t>
      </w:r>
      <w:r>
        <w:rPr>
          <w:rFonts w:hint="eastAsia"/>
          <w:lang w:val="en-US" w:eastAsia="zh-CN"/>
        </w:rPr>
        <w:t>养殖品种较为传统，</w:t>
      </w:r>
      <w:r>
        <w:rPr>
          <w:rFonts w:hint="default"/>
          <w:lang w:val="en-US" w:eastAsia="zh-CN"/>
        </w:rPr>
        <w:t>科技兴渔任重道远</w:t>
      </w:r>
      <w:bookmarkEnd w:id="221"/>
      <w:bookmarkEnd w:id="222"/>
      <w:bookmarkEnd w:id="223"/>
    </w:p>
    <w:p>
      <w:pPr>
        <w:rPr>
          <w:rFonts w:hint="default"/>
          <w:lang w:val="en-US" w:eastAsia="zh-CN"/>
        </w:rPr>
      </w:pPr>
      <w:r>
        <w:rPr>
          <w:rFonts w:hint="eastAsia"/>
          <w:b/>
          <w:bCs/>
          <w:lang w:val="en-US" w:eastAsia="zh-CN"/>
        </w:rPr>
        <w:t>一是</w:t>
      </w:r>
      <w:r>
        <w:rPr>
          <w:rFonts w:hint="default"/>
          <w:b/>
          <w:bCs/>
          <w:lang w:val="en-US" w:eastAsia="zh-CN"/>
        </w:rPr>
        <w:t>技术指导培训</w:t>
      </w:r>
      <w:r>
        <w:rPr>
          <w:rFonts w:hint="eastAsia"/>
          <w:b/>
          <w:bCs/>
          <w:lang w:val="en-US" w:eastAsia="zh-CN"/>
        </w:rPr>
        <w:t>不足。</w:t>
      </w:r>
      <w:r>
        <w:rPr>
          <w:rFonts w:hint="default"/>
          <w:lang w:val="en-US" w:eastAsia="zh-CN"/>
        </w:rPr>
        <w:t>养殖户</w:t>
      </w:r>
      <w:r>
        <w:rPr>
          <w:rFonts w:hint="eastAsia" w:ascii="仿宋_GB2312" w:eastAsia="仿宋_GB2312"/>
          <w:b w:val="0"/>
          <w:bCs w:val="0"/>
          <w:lang w:val="en-US" w:eastAsia="zh-CN"/>
        </w:rPr>
        <w:t>很大程度</w:t>
      </w:r>
      <w:r>
        <w:rPr>
          <w:rFonts w:hint="default"/>
          <w:b w:val="0"/>
          <w:bCs w:val="0"/>
          <w:lang w:val="en-US" w:eastAsia="zh-CN"/>
        </w:rPr>
        <w:t>“靠运气吃饭”，</w:t>
      </w:r>
      <w:r>
        <w:rPr>
          <w:rFonts w:hint="eastAsia"/>
          <w:b w:val="0"/>
          <w:bCs w:val="0"/>
          <w:lang w:val="en-US" w:eastAsia="zh-CN"/>
        </w:rPr>
        <w:t>养殖户</w:t>
      </w:r>
      <w:r>
        <w:rPr>
          <w:rFonts w:hint="default"/>
          <w:b w:val="0"/>
          <w:bCs w:val="0"/>
          <w:lang w:val="en-US" w:eastAsia="zh-CN"/>
        </w:rPr>
        <w:t>“农民科学家”凭经验自</w:t>
      </w:r>
      <w:r>
        <w:rPr>
          <w:rFonts w:hint="default"/>
          <w:lang w:val="en-US" w:eastAsia="zh-CN"/>
        </w:rPr>
        <w:t>主配药，</w:t>
      </w:r>
      <w:r>
        <w:rPr>
          <w:rFonts w:hint="eastAsia"/>
          <w:lang w:val="en-US" w:eastAsia="zh-CN"/>
        </w:rPr>
        <w:t>存在</w:t>
      </w:r>
      <w:r>
        <w:rPr>
          <w:rFonts w:hint="default"/>
          <w:lang w:val="en-US" w:eastAsia="zh-CN"/>
        </w:rPr>
        <w:t>滥用抗生素</w:t>
      </w:r>
      <w:r>
        <w:rPr>
          <w:rFonts w:hint="eastAsia"/>
          <w:lang w:val="en-US" w:eastAsia="zh-CN"/>
        </w:rPr>
        <w:t>风险</w:t>
      </w:r>
      <w:r>
        <w:rPr>
          <w:rFonts w:hint="default"/>
          <w:lang w:val="en-US" w:eastAsia="zh-CN"/>
        </w:rPr>
        <w:t>，对品牌声誉造成负面影响。</w:t>
      </w:r>
    </w:p>
    <w:p>
      <w:pPr>
        <w:rPr>
          <w:rFonts w:hint="default"/>
          <w:lang w:val="en-US" w:eastAsia="zh-CN"/>
        </w:rPr>
      </w:pPr>
      <w:r>
        <w:rPr>
          <w:rFonts w:hint="eastAsia"/>
          <w:b/>
          <w:bCs/>
          <w:lang w:val="en-US" w:eastAsia="zh-CN"/>
        </w:rPr>
        <w:t>二是</w:t>
      </w:r>
      <w:r>
        <w:rPr>
          <w:rFonts w:hint="default"/>
          <w:b/>
          <w:bCs/>
          <w:lang w:val="en-US" w:eastAsia="zh-CN"/>
        </w:rPr>
        <w:t>良种供应不透明</w:t>
      </w:r>
      <w:r>
        <w:rPr>
          <w:rFonts w:hint="eastAsia"/>
          <w:b/>
          <w:bCs/>
          <w:lang w:val="en-US" w:eastAsia="zh-CN"/>
        </w:rPr>
        <w:t>。</w:t>
      </w:r>
      <w:r>
        <w:rPr>
          <w:rFonts w:hint="default"/>
          <w:lang w:val="en-US" w:eastAsia="zh-CN"/>
        </w:rPr>
        <w:t>一代苗、二代苗</w:t>
      </w:r>
      <w:r>
        <w:rPr>
          <w:rFonts w:hint="eastAsia"/>
          <w:lang w:val="en-US" w:eastAsia="zh-CN"/>
        </w:rPr>
        <w:t>、</w:t>
      </w:r>
      <w:r>
        <w:rPr>
          <w:rFonts w:hint="default"/>
          <w:lang w:val="en-US" w:eastAsia="zh-CN"/>
        </w:rPr>
        <w:t>土苗</w:t>
      </w:r>
      <w:r>
        <w:rPr>
          <w:rFonts w:hint="eastAsia" w:ascii="仿宋_GB2312" w:eastAsia="仿宋_GB2312"/>
          <w:lang w:val="en-US" w:eastAsia="zh-CN"/>
        </w:rPr>
        <w:t>鱼龙混杂，</w:t>
      </w:r>
      <w:r>
        <w:rPr>
          <w:rFonts w:hint="default"/>
          <w:lang w:val="en-US" w:eastAsia="zh-CN"/>
        </w:rPr>
        <w:t>养殖户</w:t>
      </w:r>
      <w:r>
        <w:rPr>
          <w:rFonts w:hint="eastAsia" w:ascii="仿宋_GB2312" w:eastAsia="仿宋_GB2312"/>
          <w:lang w:val="en-US" w:eastAsia="zh-CN"/>
        </w:rPr>
        <w:t>难以准确辨别</w:t>
      </w:r>
      <w:r>
        <w:rPr>
          <w:rFonts w:hint="eastAsia"/>
          <w:lang w:val="en-US" w:eastAsia="zh-CN"/>
        </w:rPr>
        <w:t>，增加养殖风险；</w:t>
      </w:r>
      <w:r>
        <w:rPr>
          <w:rFonts w:hint="eastAsia" w:ascii="仿宋_GB2312" w:eastAsia="仿宋_GB2312"/>
          <w:lang w:val="en-US" w:eastAsia="zh-CN"/>
        </w:rPr>
        <w:t>南美白对虾等</w:t>
      </w:r>
      <w:r>
        <w:rPr>
          <w:rFonts w:hint="eastAsia"/>
          <w:lang w:val="en-US" w:eastAsia="zh-CN"/>
        </w:rPr>
        <w:t>主流</w:t>
      </w:r>
      <w:r>
        <w:rPr>
          <w:rFonts w:hint="eastAsia" w:ascii="仿宋_GB2312" w:eastAsia="仿宋_GB2312"/>
          <w:lang w:val="en-US" w:eastAsia="zh-CN"/>
        </w:rPr>
        <w:t>苗种</w:t>
      </w:r>
      <w:r>
        <w:rPr>
          <w:rFonts w:hint="eastAsia"/>
          <w:lang w:val="en-US" w:eastAsia="zh-CN"/>
        </w:rPr>
        <w:t>部分</w:t>
      </w:r>
      <w:r>
        <w:rPr>
          <w:rFonts w:hint="eastAsia" w:ascii="仿宋_GB2312" w:eastAsia="仿宋_GB2312"/>
          <w:lang w:val="en-US" w:eastAsia="zh-CN"/>
        </w:rPr>
        <w:t>依赖进口，优质品种选育工作滞后，高价种苗提高</w:t>
      </w:r>
      <w:r>
        <w:rPr>
          <w:rFonts w:hint="eastAsia"/>
          <w:lang w:val="en-US" w:eastAsia="zh-CN"/>
        </w:rPr>
        <w:t>了养殖</w:t>
      </w:r>
      <w:r>
        <w:rPr>
          <w:rFonts w:hint="eastAsia" w:ascii="仿宋_GB2312" w:eastAsia="仿宋_GB2312"/>
          <w:lang w:val="en-US" w:eastAsia="zh-CN"/>
        </w:rPr>
        <w:t>成本</w:t>
      </w:r>
      <w:r>
        <w:rPr>
          <w:rFonts w:hint="default"/>
          <w:lang w:val="en-US" w:eastAsia="zh-CN"/>
        </w:rPr>
        <w:t>。</w:t>
      </w:r>
    </w:p>
    <w:p>
      <w:pPr>
        <w:rPr>
          <w:rFonts w:hint="default"/>
          <w:lang w:val="en-US" w:eastAsia="zh-CN"/>
        </w:rPr>
      </w:pPr>
      <w:r>
        <w:rPr>
          <w:rFonts w:hint="eastAsia"/>
          <w:b/>
          <w:bCs/>
          <w:lang w:val="en-US" w:eastAsia="zh-CN"/>
        </w:rPr>
        <w:t>三是</w:t>
      </w:r>
      <w:r>
        <w:rPr>
          <w:rFonts w:hint="default"/>
          <w:b/>
          <w:bCs/>
          <w:lang w:val="en-US" w:eastAsia="zh-CN"/>
        </w:rPr>
        <w:t>科技成果</w:t>
      </w:r>
      <w:r>
        <w:rPr>
          <w:rFonts w:hint="eastAsia" w:ascii="仿宋_GB2312" w:eastAsia="仿宋_GB2312"/>
          <w:b/>
          <w:bCs/>
          <w:lang w:val="en-US" w:eastAsia="zh-CN"/>
        </w:rPr>
        <w:t>转化</w:t>
      </w:r>
      <w:r>
        <w:rPr>
          <w:rFonts w:hint="default"/>
          <w:b/>
          <w:bCs/>
          <w:lang w:val="en-US" w:eastAsia="zh-CN"/>
        </w:rPr>
        <w:t>低</w:t>
      </w:r>
      <w:r>
        <w:rPr>
          <w:rFonts w:hint="eastAsia"/>
          <w:b/>
          <w:bCs/>
          <w:lang w:val="en-US" w:eastAsia="zh-CN"/>
        </w:rPr>
        <w:t>。</w:t>
      </w:r>
      <w:r>
        <w:rPr>
          <w:rFonts w:hint="eastAsia" w:ascii="仿宋_GB2312" w:eastAsia="仿宋_GB2312"/>
          <w:lang w:val="en-US" w:eastAsia="zh-CN"/>
        </w:rPr>
        <w:t>养殖品种</w:t>
      </w:r>
      <w:r>
        <w:rPr>
          <w:rFonts w:hint="eastAsia"/>
          <w:lang w:val="en-US" w:eastAsia="zh-CN"/>
        </w:rPr>
        <w:t>以</w:t>
      </w:r>
      <w:r>
        <w:rPr>
          <w:rFonts w:hint="eastAsia" w:ascii="仿宋_GB2312" w:eastAsia="仿宋_GB2312"/>
          <w:lang w:val="en-US" w:eastAsia="zh-CN"/>
        </w:rPr>
        <w:t>石斑鱼、金鲳鱼、军曹鱼、斑节对虾等传统品种</w:t>
      </w:r>
      <w:r>
        <w:rPr>
          <w:rFonts w:hint="eastAsia"/>
          <w:lang w:val="en-US" w:eastAsia="zh-CN"/>
        </w:rPr>
        <w:t>为主，</w:t>
      </w:r>
      <w:r>
        <w:rPr>
          <w:rFonts w:hint="eastAsia" w:ascii="仿宋_GB2312" w:eastAsia="仿宋_GB2312"/>
          <w:lang w:val="en-US" w:eastAsia="zh-CN"/>
        </w:rPr>
        <w:t>少有对接水产院所，</w:t>
      </w:r>
      <w:r>
        <w:rPr>
          <w:rFonts w:hint="default"/>
          <w:lang w:val="en-US" w:eastAsia="zh-CN"/>
        </w:rPr>
        <w:t>海葡萄、海马、海参等高附加值</w:t>
      </w:r>
      <w:r>
        <w:rPr>
          <w:rFonts w:hint="eastAsia" w:ascii="仿宋_GB2312" w:eastAsia="仿宋_GB2312"/>
          <w:lang w:val="en-US" w:eastAsia="zh-CN"/>
        </w:rPr>
        <w:t>养殖</w:t>
      </w:r>
      <w:r>
        <w:rPr>
          <w:rFonts w:hint="eastAsia"/>
          <w:lang w:val="en-US" w:eastAsia="zh-CN"/>
        </w:rPr>
        <w:t>品种缺少</w:t>
      </w:r>
      <w:r>
        <w:rPr>
          <w:rFonts w:hint="default"/>
          <w:lang w:val="en-US" w:eastAsia="zh-CN"/>
        </w:rPr>
        <w:t>转化应用。</w:t>
      </w:r>
    </w:p>
    <w:p>
      <w:pPr>
        <w:pStyle w:val="5"/>
        <w:numPr>
          <w:ilvl w:val="0"/>
          <w:numId w:val="13"/>
        </w:numPr>
        <w:bidi w:val="0"/>
        <w:rPr>
          <w:rFonts w:hint="default"/>
          <w:lang w:val="en-US" w:eastAsia="zh-CN"/>
        </w:rPr>
      </w:pPr>
      <w:bookmarkStart w:id="224" w:name="_Toc6174"/>
      <w:bookmarkStart w:id="225" w:name="_Toc32291"/>
      <w:bookmarkStart w:id="226" w:name="_Toc7944"/>
      <w:r>
        <w:rPr>
          <w:rFonts w:hint="eastAsia"/>
          <w:lang w:val="en-US" w:eastAsia="zh-CN"/>
        </w:rPr>
        <w:t>海洋捕捞规模低位徘徊，在全省海洋生态修复背景下难有起色</w:t>
      </w:r>
      <w:bookmarkEnd w:id="224"/>
      <w:bookmarkEnd w:id="225"/>
      <w:bookmarkEnd w:id="226"/>
    </w:p>
    <w:p>
      <w:pPr>
        <w:rPr>
          <w:rFonts w:hint="eastAsia"/>
          <w:lang w:val="en-US" w:eastAsia="zh-CN"/>
        </w:rPr>
      </w:pPr>
      <w:r>
        <w:rPr>
          <w:rFonts w:hint="eastAsia" w:ascii="仿宋_GB2312" w:eastAsia="仿宋_GB2312"/>
          <w:lang w:val="en-US" w:eastAsia="zh-CN"/>
        </w:rPr>
        <w:t>海南建设</w:t>
      </w:r>
      <w:r>
        <w:rPr>
          <w:rFonts w:hint="default"/>
          <w:lang w:val="en-US" w:eastAsia="zh-CN"/>
        </w:rPr>
        <w:t>国家生态文明试验区</w:t>
      </w:r>
      <w:r>
        <w:rPr>
          <w:rFonts w:hint="eastAsia" w:ascii="仿宋_GB2312" w:eastAsia="仿宋_GB2312"/>
          <w:lang w:val="en-US" w:eastAsia="zh-CN"/>
        </w:rPr>
        <w:t>，加强河湖水域岸线保护与生态修复，</w:t>
      </w:r>
      <w:r>
        <w:rPr>
          <w:rFonts w:hint="default"/>
          <w:lang w:val="en-US" w:eastAsia="zh-CN"/>
        </w:rPr>
        <w:t>推行减船转产和近海捕捞限额管理，推动渔业生产由近岸向外海转移、由粗放型向生态型转变</w:t>
      </w:r>
      <w:r>
        <w:rPr>
          <w:rFonts w:hint="eastAsia" w:ascii="仿宋_GB2312" w:eastAsia="仿宋_GB2312"/>
          <w:lang w:val="en-US" w:eastAsia="zh-CN"/>
        </w:rPr>
        <w:t>。在这一背景下，崖州区</w:t>
      </w:r>
      <w:r>
        <w:rPr>
          <w:rFonts w:hint="eastAsia" w:ascii="仿宋_GB2312" w:eastAsia="仿宋_GB2312"/>
          <w:b/>
          <w:bCs/>
          <w:lang w:val="en-US" w:eastAsia="zh-CN"/>
        </w:rPr>
        <w:t>海洋捕捞量不断下降</w:t>
      </w:r>
      <w:r>
        <w:rPr>
          <w:rFonts w:hint="eastAsia" w:ascii="仿宋_GB2312" w:eastAsia="仿宋_GB2312"/>
          <w:lang w:val="en-US" w:eastAsia="zh-CN"/>
        </w:rPr>
        <w:t>，由2015年的2411吨下降到2019年的583吨，海洋捕捞生产渔船数量由492艘下降至334艘，在全省海洋生态修复背景下难有起色</w:t>
      </w:r>
      <w:r>
        <w:rPr>
          <w:rFonts w:hint="eastAsia"/>
          <w:lang w:val="en-US" w:eastAsia="zh-CN"/>
        </w:rPr>
        <w:t>，</w:t>
      </w:r>
      <w:r>
        <w:rPr>
          <w:rFonts w:hint="eastAsia" w:ascii="仿宋_GB2312" w:eastAsia="仿宋_GB2312"/>
          <w:lang w:val="en-US" w:eastAsia="zh-CN"/>
        </w:rPr>
        <w:t>未来难有显著增长</w:t>
      </w:r>
      <w:r>
        <w:rPr>
          <w:rFonts w:hint="eastAsia"/>
          <w:lang w:val="en-US" w:eastAsia="zh-CN"/>
        </w:rPr>
        <w:t>，应积极向休闲渔业、海上养殖转型</w:t>
      </w:r>
      <w:r>
        <w:rPr>
          <w:rFonts w:hint="eastAsia" w:ascii="仿宋_GB2312" w:eastAsia="仿宋_GB2312"/>
          <w:lang w:val="en-US" w:eastAsia="zh-CN"/>
        </w:rPr>
        <w:t>。</w:t>
      </w:r>
    </w:p>
    <w:p>
      <w:pPr>
        <w:bidi w:val="0"/>
        <w:spacing w:line="240" w:lineRule="auto"/>
        <w:ind w:firstLine="0" w:firstLineChars="0"/>
        <w:jc w:val="center"/>
        <w:rPr>
          <w:rFonts w:hint="default" w:ascii="楷体" w:hAnsi="楷体" w:eastAsia="楷体" w:cs="楷体"/>
          <w:b w:val="0"/>
          <w:bCs w:val="0"/>
          <w:sz w:val="28"/>
          <w:szCs w:val="28"/>
          <w:lang w:val="en-US" w:eastAsia="zh-CN"/>
        </w:rPr>
      </w:pPr>
      <w:r>
        <w:rPr>
          <w:rFonts w:hint="eastAsia" w:ascii="楷体" w:hAnsi="楷体" w:eastAsia="楷体" w:cs="楷体"/>
          <w:b w:val="0"/>
          <w:bCs w:val="0"/>
          <w:sz w:val="28"/>
          <w:szCs w:val="28"/>
          <w:lang w:val="en-US" w:eastAsia="zh-CN"/>
        </w:rPr>
        <w:t>表14  崖州区海洋捕捞发展指标</w:t>
      </w:r>
    </w:p>
    <w:tbl>
      <w:tblPr>
        <w:tblStyle w:val="18"/>
        <w:tblW w:w="5000" w:type="pct"/>
        <w:jc w:val="center"/>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97"/>
        <w:gridCol w:w="1187"/>
        <w:gridCol w:w="1187"/>
        <w:gridCol w:w="1187"/>
        <w:gridCol w:w="1188"/>
        <w:gridCol w:w="1188"/>
        <w:gridCol w:w="1188"/>
      </w:tblGrid>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 w:hRule="atLeast"/>
          <w:tblHeader/>
          <w:jc w:val="center"/>
        </w:trPr>
        <w:tc>
          <w:tcPr>
            <w:tcW w:w="139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指标</w:t>
            </w:r>
          </w:p>
        </w:tc>
        <w:tc>
          <w:tcPr>
            <w:tcW w:w="118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单位</w:t>
            </w:r>
          </w:p>
        </w:tc>
        <w:tc>
          <w:tcPr>
            <w:tcW w:w="118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2019</w:t>
            </w:r>
          </w:p>
        </w:tc>
        <w:tc>
          <w:tcPr>
            <w:tcW w:w="118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2018</w:t>
            </w:r>
          </w:p>
        </w:tc>
        <w:tc>
          <w:tcPr>
            <w:tcW w:w="1188"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2017</w:t>
            </w:r>
          </w:p>
        </w:tc>
        <w:tc>
          <w:tcPr>
            <w:tcW w:w="1188"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2016</w:t>
            </w:r>
          </w:p>
        </w:tc>
        <w:tc>
          <w:tcPr>
            <w:tcW w:w="1188"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2015</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 w:hRule="atLeast"/>
          <w:jc w:val="center"/>
        </w:trPr>
        <w:tc>
          <w:tcPr>
            <w:tcW w:w="139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捕捞产量</w:t>
            </w:r>
          </w:p>
        </w:tc>
        <w:tc>
          <w:tcPr>
            <w:tcW w:w="118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吨</w:t>
            </w:r>
          </w:p>
        </w:tc>
        <w:tc>
          <w:tcPr>
            <w:tcW w:w="118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583</w:t>
            </w:r>
          </w:p>
        </w:tc>
        <w:tc>
          <w:tcPr>
            <w:tcW w:w="118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580</w:t>
            </w:r>
          </w:p>
        </w:tc>
        <w:tc>
          <w:tcPr>
            <w:tcW w:w="1188"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564</w:t>
            </w:r>
          </w:p>
        </w:tc>
        <w:tc>
          <w:tcPr>
            <w:tcW w:w="1188"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2041</w:t>
            </w:r>
          </w:p>
        </w:tc>
        <w:tc>
          <w:tcPr>
            <w:tcW w:w="1188"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2411</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 w:hRule="atLeast"/>
          <w:jc w:val="center"/>
        </w:trPr>
        <w:tc>
          <w:tcPr>
            <w:tcW w:w="139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机动渔船</w:t>
            </w:r>
          </w:p>
        </w:tc>
        <w:tc>
          <w:tcPr>
            <w:tcW w:w="118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艘</w:t>
            </w:r>
          </w:p>
        </w:tc>
        <w:tc>
          <w:tcPr>
            <w:tcW w:w="118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334</w:t>
            </w:r>
          </w:p>
        </w:tc>
        <w:tc>
          <w:tcPr>
            <w:tcW w:w="118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336</w:t>
            </w:r>
          </w:p>
        </w:tc>
        <w:tc>
          <w:tcPr>
            <w:tcW w:w="1188"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336</w:t>
            </w:r>
          </w:p>
        </w:tc>
        <w:tc>
          <w:tcPr>
            <w:tcW w:w="1188"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492</w:t>
            </w:r>
          </w:p>
        </w:tc>
        <w:tc>
          <w:tcPr>
            <w:tcW w:w="1188"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492</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 w:hRule="atLeast"/>
          <w:jc w:val="center"/>
        </w:trPr>
        <w:tc>
          <w:tcPr>
            <w:tcW w:w="139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渔船吨位</w:t>
            </w:r>
          </w:p>
        </w:tc>
        <w:tc>
          <w:tcPr>
            <w:tcW w:w="118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总吨</w:t>
            </w:r>
          </w:p>
        </w:tc>
        <w:tc>
          <w:tcPr>
            <w:tcW w:w="118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1068</w:t>
            </w:r>
          </w:p>
        </w:tc>
        <w:tc>
          <w:tcPr>
            <w:tcW w:w="118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1080</w:t>
            </w:r>
          </w:p>
        </w:tc>
        <w:tc>
          <w:tcPr>
            <w:tcW w:w="1188"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1080</w:t>
            </w:r>
          </w:p>
        </w:tc>
        <w:tc>
          <w:tcPr>
            <w:tcW w:w="1188"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1288</w:t>
            </w:r>
          </w:p>
        </w:tc>
        <w:tc>
          <w:tcPr>
            <w:tcW w:w="1188"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1288</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 w:hRule="atLeast"/>
          <w:jc w:val="center"/>
        </w:trPr>
        <w:tc>
          <w:tcPr>
            <w:tcW w:w="139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渔船功率</w:t>
            </w:r>
          </w:p>
        </w:tc>
        <w:tc>
          <w:tcPr>
            <w:tcW w:w="118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千瓦</w:t>
            </w:r>
          </w:p>
        </w:tc>
        <w:tc>
          <w:tcPr>
            <w:tcW w:w="118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3021</w:t>
            </w:r>
          </w:p>
        </w:tc>
        <w:tc>
          <w:tcPr>
            <w:tcW w:w="118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3040</w:t>
            </w:r>
          </w:p>
        </w:tc>
        <w:tc>
          <w:tcPr>
            <w:tcW w:w="1188"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3040</w:t>
            </w:r>
          </w:p>
        </w:tc>
        <w:tc>
          <w:tcPr>
            <w:tcW w:w="1188"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5972</w:t>
            </w:r>
          </w:p>
        </w:tc>
        <w:tc>
          <w:tcPr>
            <w:tcW w:w="1188"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5972</w:t>
            </w:r>
          </w:p>
        </w:tc>
      </w:tr>
    </w:tbl>
    <w:p>
      <w:pPr>
        <w:pStyle w:val="3"/>
        <w:bidi w:val="0"/>
        <w:rPr>
          <w:rFonts w:hint="eastAsia"/>
          <w:lang w:val="en-US" w:eastAsia="zh-CN"/>
        </w:rPr>
      </w:pPr>
      <w:bookmarkStart w:id="227" w:name="_Toc23275"/>
      <w:bookmarkStart w:id="228" w:name="_Toc18330"/>
      <w:bookmarkStart w:id="229" w:name="_Toc28381"/>
      <w:r>
        <w:rPr>
          <w:rFonts w:hint="eastAsia"/>
          <w:lang w:val="en-US" w:eastAsia="zh-CN"/>
        </w:rPr>
        <w:t>第三节  发展路径</w:t>
      </w:r>
      <w:bookmarkEnd w:id="227"/>
      <w:bookmarkEnd w:id="228"/>
      <w:bookmarkEnd w:id="229"/>
    </w:p>
    <w:p>
      <w:pPr>
        <w:pStyle w:val="4"/>
        <w:bidi w:val="0"/>
        <w:rPr>
          <w:rFonts w:hint="eastAsia"/>
          <w:lang w:val="en-US" w:eastAsia="zh-CN"/>
        </w:rPr>
      </w:pPr>
      <w:bookmarkStart w:id="230" w:name="_Toc11166"/>
      <w:bookmarkStart w:id="231" w:name="_Toc12547"/>
      <w:bookmarkStart w:id="232" w:name="_Toc6079"/>
      <w:r>
        <w:rPr>
          <w:rFonts w:hint="eastAsia"/>
          <w:lang w:val="en-US" w:eastAsia="zh-CN"/>
        </w:rPr>
        <w:t>一、热带农业发展路径</w:t>
      </w:r>
      <w:bookmarkEnd w:id="230"/>
      <w:bookmarkEnd w:id="231"/>
      <w:bookmarkEnd w:id="232"/>
    </w:p>
    <w:p>
      <w:pPr>
        <w:pStyle w:val="5"/>
        <w:numPr>
          <w:ilvl w:val="0"/>
          <w:numId w:val="14"/>
        </w:numPr>
        <w:bidi w:val="0"/>
        <w:ind w:left="0" w:leftChars="0" w:firstLine="624" w:firstLineChars="0"/>
        <w:rPr>
          <w:rFonts w:hint="default"/>
          <w:lang w:val="en-US" w:eastAsia="zh-CN"/>
        </w:rPr>
      </w:pPr>
      <w:bookmarkStart w:id="233" w:name="_Toc5340"/>
      <w:bookmarkStart w:id="234" w:name="_Toc24253"/>
      <w:bookmarkStart w:id="235" w:name="_Toc13313"/>
      <w:r>
        <w:rPr>
          <w:rFonts w:hint="eastAsia"/>
          <w:lang w:val="en-US" w:eastAsia="zh-CN"/>
        </w:rPr>
        <w:t>建设国家现代农业产业园，创建国家农业高新技术产业示范区</w:t>
      </w:r>
      <w:bookmarkEnd w:id="233"/>
      <w:bookmarkEnd w:id="234"/>
      <w:bookmarkEnd w:id="235"/>
    </w:p>
    <w:p>
      <w:pPr>
        <w:rPr>
          <w:rFonts w:hint="eastAsia"/>
          <w:lang w:val="en-US" w:eastAsia="zh-CN"/>
        </w:rPr>
      </w:pPr>
      <w:r>
        <w:rPr>
          <w:rFonts w:hint="eastAsia" w:ascii="仿宋_GB2312" w:eastAsia="仿宋_GB2312"/>
          <w:lang w:val="en-US" w:eastAsia="zh-CN"/>
        </w:rPr>
        <w:t>崖州正在创建国家现代农业产业园，应在此基础上进一步创建国家农业高新技术产业示范区。农业高新技术产业示范区的建设目标应瞄准</w:t>
      </w:r>
      <w:r>
        <w:rPr>
          <w:rFonts w:hint="eastAsia" w:ascii="仿宋_GB2312" w:eastAsia="仿宋_GB2312"/>
          <w:b/>
          <w:bCs/>
          <w:lang w:val="en-US" w:eastAsia="zh-CN"/>
        </w:rPr>
        <w:t>“两区三高地”</w:t>
      </w:r>
      <w:r>
        <w:rPr>
          <w:rFonts w:hint="eastAsia" w:ascii="仿宋_GB2312" w:eastAsia="仿宋_GB2312"/>
          <w:lang w:val="en-US" w:eastAsia="zh-CN"/>
        </w:rPr>
        <w:t>，“两区”指农业创新驱动发展先行区、农业供给侧结构性改革试验区，“三高地”指现代农业创新高地、人才高地、产业高地。目前全国仅有山西晋中和江苏南京2家示范区，农业部计划到2025年在</w:t>
      </w:r>
      <w:r>
        <w:rPr>
          <w:rFonts w:hint="eastAsia" w:ascii="仿宋_GB2312" w:eastAsia="仿宋_GB2312"/>
          <w:b/>
          <w:bCs/>
          <w:lang w:val="en-US" w:eastAsia="zh-CN"/>
        </w:rPr>
        <w:t>全国建设30家示范区</w:t>
      </w:r>
      <w:r>
        <w:rPr>
          <w:rFonts w:hint="eastAsia" w:ascii="仿宋_GB2312" w:eastAsia="仿宋_GB2312"/>
          <w:lang w:val="en-US" w:eastAsia="zh-CN"/>
        </w:rPr>
        <w:t>，给予技术、资金、政策等多方面支持。崖州积极争取创建国家农业高新技术产业示范区，以南繁育种为主体，以冬季瓜菜和热带水果为重要补充，齐头并进推进崖州农业向高新技术方向发展。</w:t>
      </w:r>
    </w:p>
    <w:p>
      <w:pPr>
        <w:pStyle w:val="5"/>
        <w:numPr>
          <w:ilvl w:val="0"/>
          <w:numId w:val="14"/>
        </w:numPr>
        <w:bidi w:val="0"/>
        <w:ind w:left="0" w:leftChars="0" w:firstLine="624" w:firstLineChars="0"/>
        <w:rPr>
          <w:rFonts w:hint="eastAsia"/>
          <w:lang w:val="en-US" w:eastAsia="zh-CN"/>
        </w:rPr>
      </w:pPr>
      <w:bookmarkStart w:id="236" w:name="_Toc1708"/>
      <w:bookmarkStart w:id="237" w:name="_Toc12802"/>
      <w:bookmarkStart w:id="238" w:name="_Toc14960"/>
      <w:r>
        <w:rPr>
          <w:rFonts w:hint="eastAsia"/>
          <w:lang w:val="en-US" w:eastAsia="zh-CN"/>
        </w:rPr>
        <w:t>系统性提升全区种植业发展能级，</w:t>
      </w:r>
      <w:bookmarkEnd w:id="236"/>
      <w:r>
        <w:rPr>
          <w:rFonts w:hint="eastAsia"/>
          <w:lang w:val="en-US" w:eastAsia="zh-CN"/>
        </w:rPr>
        <w:t>走高质量发展道路</w:t>
      </w:r>
      <w:bookmarkEnd w:id="237"/>
      <w:bookmarkEnd w:id="238"/>
    </w:p>
    <w:p>
      <w:pPr>
        <w:rPr>
          <w:rFonts w:hint="eastAsia"/>
          <w:lang w:val="en-US" w:eastAsia="zh-CN"/>
        </w:rPr>
      </w:pPr>
      <w:r>
        <w:rPr>
          <w:rFonts w:hint="eastAsia"/>
          <w:lang w:val="en-US" w:eastAsia="zh-CN"/>
        </w:rPr>
        <w:t>崖州冬季瓜菜和热带水果产业面临发展天花板，需要走高质量发展道路，是一个系统性的转型升级工程。</w:t>
      </w:r>
    </w:p>
    <w:p>
      <w:pPr>
        <w:rPr>
          <w:rFonts w:hint="eastAsia"/>
          <w:lang w:val="en-US" w:eastAsia="zh-CN"/>
        </w:rPr>
      </w:pPr>
      <w:r>
        <w:rPr>
          <w:rFonts w:hint="eastAsia" w:ascii="仿宋_GB2312" w:eastAsia="仿宋_GB2312"/>
          <w:b/>
          <w:bCs/>
          <w:lang w:val="en-US" w:eastAsia="zh-CN"/>
        </w:rPr>
        <w:t>一是提升农田基础设施</w:t>
      </w:r>
      <w:r>
        <w:rPr>
          <w:rFonts w:hint="eastAsia"/>
          <w:b/>
          <w:bCs/>
          <w:lang w:val="en-US" w:eastAsia="zh-CN"/>
        </w:rPr>
        <w:t>。</w:t>
      </w:r>
      <w:r>
        <w:rPr>
          <w:rFonts w:hint="eastAsia" w:ascii="仿宋_GB2312" w:eastAsia="仿宋_GB2312"/>
          <w:lang w:val="en-US" w:eastAsia="zh-CN"/>
        </w:rPr>
        <w:t>建</w:t>
      </w:r>
      <w:r>
        <w:rPr>
          <w:rFonts w:hint="eastAsia"/>
          <w:b w:val="0"/>
          <w:bCs w:val="0"/>
          <w:lang w:val="en-US" w:eastAsia="zh-CN"/>
        </w:rPr>
        <w:t>设万亩</w:t>
      </w:r>
      <w:r>
        <w:rPr>
          <w:rFonts w:hint="eastAsia" w:ascii="仿宋_GB2312" w:eastAsia="仿宋_GB2312"/>
          <w:b w:val="0"/>
          <w:bCs w:val="0"/>
          <w:lang w:val="en-US" w:eastAsia="zh-CN"/>
        </w:rPr>
        <w:t>冬季瓜菜标准化生产基地，</w:t>
      </w:r>
      <w:r>
        <w:rPr>
          <w:rFonts w:hint="eastAsia"/>
          <w:b w:val="0"/>
          <w:bCs w:val="0"/>
          <w:lang w:val="en-US" w:eastAsia="zh-CN"/>
        </w:rPr>
        <w:t>实施</w:t>
      </w:r>
      <w:r>
        <w:rPr>
          <w:rFonts w:hint="eastAsia" w:ascii="仿宋_GB2312" w:eastAsia="仿宋_GB2312"/>
          <w:b w:val="0"/>
          <w:bCs w:val="0"/>
          <w:lang w:val="en-US" w:eastAsia="zh-CN"/>
        </w:rPr>
        <w:t>露地基础设施改造升级</w:t>
      </w:r>
      <w:r>
        <w:rPr>
          <w:rFonts w:hint="eastAsia"/>
          <w:b w:val="0"/>
          <w:bCs w:val="0"/>
          <w:lang w:val="en-US" w:eastAsia="zh-CN"/>
        </w:rPr>
        <w:t>，补贴支持提升地力，支持建设经济实用大棚，</w:t>
      </w:r>
      <w:r>
        <w:rPr>
          <w:rFonts w:hint="eastAsia" w:ascii="仿宋_GB2312" w:eastAsia="仿宋_GB2312"/>
          <w:b w:val="0"/>
          <w:bCs w:val="0"/>
          <w:lang w:val="en-US" w:eastAsia="zh-CN"/>
        </w:rPr>
        <w:t>建成集中连片、土质优良</w:t>
      </w:r>
      <w:r>
        <w:rPr>
          <w:rFonts w:hint="eastAsia" w:ascii="仿宋_GB2312" w:eastAsia="仿宋_GB2312"/>
          <w:lang w:val="en-US" w:eastAsia="zh-CN"/>
        </w:rPr>
        <w:t>、灌溉便利、机械设施先进、安全有保障的高标准农田</w:t>
      </w:r>
      <w:r>
        <w:rPr>
          <w:rFonts w:hint="eastAsia"/>
          <w:lang w:val="en-US" w:eastAsia="zh-CN"/>
        </w:rPr>
        <w:t>。</w:t>
      </w:r>
    </w:p>
    <w:p>
      <w:pPr>
        <w:rPr>
          <w:rFonts w:hint="eastAsia"/>
          <w:lang w:val="en-US" w:eastAsia="zh-CN"/>
        </w:rPr>
      </w:pPr>
      <w:r>
        <w:rPr>
          <w:rFonts w:hint="eastAsia"/>
          <w:b/>
          <w:bCs/>
          <w:lang w:val="en-US" w:eastAsia="zh-CN"/>
        </w:rPr>
        <w:t>二是鼓励规模化种植。</w:t>
      </w:r>
      <w:r>
        <w:rPr>
          <w:rFonts w:hint="eastAsia"/>
          <w:lang w:val="en-US" w:eastAsia="zh-CN"/>
        </w:rPr>
        <w:t>支持种植大户、专业合作社、龙头企业等通过托管、转包、出租、互换、转让、入股、联合经营等多种形式集约利用土地，打造集中连片、高产稳产、生态良好的高标准农田，形成农业规模经济效益。</w:t>
      </w:r>
    </w:p>
    <w:p>
      <w:pPr>
        <w:rPr>
          <w:rFonts w:hint="eastAsia"/>
          <w:lang w:val="en-US" w:eastAsia="zh-CN"/>
        </w:rPr>
      </w:pPr>
      <w:r>
        <w:rPr>
          <w:rFonts w:hint="eastAsia"/>
          <w:b/>
          <w:bCs/>
          <w:lang w:val="en-US" w:eastAsia="zh-CN"/>
        </w:rPr>
        <w:t>三是创新农业组织方式。</w:t>
      </w:r>
      <w:r>
        <w:rPr>
          <w:rFonts w:hint="eastAsia"/>
          <w:lang w:val="en-US" w:eastAsia="zh-CN"/>
        </w:rPr>
        <w:t>通过政府扶持、市场运作、产业整合、各方参与的形式，培育一</w:t>
      </w:r>
      <w:r>
        <w:rPr>
          <w:rFonts w:hint="eastAsia"/>
          <w:b w:val="0"/>
          <w:bCs w:val="0"/>
          <w:lang w:val="en-US" w:eastAsia="zh-CN"/>
        </w:rPr>
        <w:t>批菜农联合社、果农联合社，推进以家庭为主的分散生产经营</w:t>
      </w:r>
      <w:r>
        <w:rPr>
          <w:rFonts w:hint="eastAsia"/>
          <w:lang w:val="en-US" w:eastAsia="zh-CN"/>
        </w:rPr>
        <w:t>向以合作社为单位的组织化生产经营转型，突出植保服务、质量追溯、产品营销三大环节，帮助菜农实现全程精细化管理，逐步建立覆盖全区的蔬菜专业合作社组织体系。探索以土地入股方式组建村集体企业，走合股联营、抱团发展的道路，农民变股民、资金变股金、资源变资产，通过村集体企业公司化运作，提升冬季瓜菜竞争力和风险抵御能力。</w:t>
      </w:r>
    </w:p>
    <w:p>
      <w:pPr>
        <w:rPr>
          <w:rFonts w:hint="eastAsia"/>
          <w:lang w:val="en-US" w:eastAsia="zh-CN"/>
        </w:rPr>
      </w:pPr>
      <w:r>
        <w:rPr>
          <w:rFonts w:hint="eastAsia"/>
          <w:b/>
          <w:bCs/>
          <w:lang w:val="en-US" w:eastAsia="zh-CN"/>
        </w:rPr>
        <w:t>四是培育崖州产地品牌，</w:t>
      </w:r>
      <w:r>
        <w:rPr>
          <w:rFonts w:hint="eastAsia"/>
          <w:b w:val="0"/>
          <w:bCs w:val="0"/>
          <w:lang w:val="en-US" w:eastAsia="zh-CN"/>
        </w:rPr>
        <w:t>注册“崖州豇豆”地理标志产品，</w:t>
      </w:r>
      <w:r>
        <w:rPr>
          <w:rFonts w:hint="eastAsia"/>
          <w:lang w:val="en-US" w:eastAsia="zh-CN"/>
        </w:rPr>
        <w:t>在瓜菜水果销售环节突出宣传崖州产地品牌，支持培育一批芒果、莲雾、密瓜、豇豆、百香果、睡莲、黑山羊等商标品牌，形成产地品牌联合体，走品牌农业路线。政府积极牵头组织，利用冬交会、农博会、农产品展销会、招商会等大型活动平台，以崖州冬季瓜菜、地理标志产品、产地品牌联合体的整体形象开展宣传推广。</w:t>
      </w:r>
    </w:p>
    <w:p>
      <w:pPr>
        <w:rPr>
          <w:rFonts w:hint="default" w:ascii="仿宋_GB2312" w:eastAsia="仿宋_GB2312"/>
          <w:b w:val="0"/>
          <w:bCs w:val="0"/>
          <w:lang w:val="en-US" w:eastAsia="zh-CN"/>
        </w:rPr>
      </w:pPr>
      <w:r>
        <w:rPr>
          <w:rFonts w:hint="eastAsia"/>
          <w:b/>
          <w:bCs/>
          <w:lang w:val="en-US" w:eastAsia="zh-CN"/>
        </w:rPr>
        <w:t>五</w:t>
      </w:r>
      <w:r>
        <w:rPr>
          <w:rFonts w:hint="eastAsia" w:ascii="仿宋_GB2312" w:eastAsia="仿宋_GB2312"/>
          <w:b/>
          <w:bCs/>
          <w:lang w:val="en-US" w:eastAsia="zh-CN"/>
        </w:rPr>
        <w:t>是</w:t>
      </w:r>
      <w:r>
        <w:rPr>
          <w:rFonts w:hint="default" w:ascii="仿宋_GB2312" w:eastAsia="仿宋_GB2312"/>
          <w:b/>
          <w:bCs/>
          <w:lang w:val="en-US" w:eastAsia="zh-CN"/>
        </w:rPr>
        <w:t>加大宣传推介力度</w:t>
      </w:r>
      <w:r>
        <w:rPr>
          <w:rFonts w:hint="default" w:ascii="仿宋_GB2312" w:eastAsia="仿宋_GB2312"/>
          <w:b w:val="0"/>
          <w:bCs w:val="0"/>
          <w:lang w:val="en-US" w:eastAsia="zh-CN"/>
        </w:rPr>
        <w:t>，强化</w:t>
      </w:r>
      <w:r>
        <w:rPr>
          <w:rFonts w:hint="eastAsia"/>
          <w:b w:val="0"/>
          <w:bCs w:val="0"/>
          <w:lang w:val="en-US" w:eastAsia="zh-CN"/>
        </w:rPr>
        <w:t>电商影响、</w:t>
      </w:r>
      <w:r>
        <w:rPr>
          <w:rFonts w:hint="default" w:ascii="仿宋_GB2312" w:eastAsia="仿宋_GB2312"/>
          <w:b w:val="0"/>
          <w:bCs w:val="0"/>
          <w:lang w:val="en-US" w:eastAsia="zh-CN"/>
        </w:rPr>
        <w:t>新媒体营销，</w:t>
      </w:r>
      <w:r>
        <w:rPr>
          <w:rFonts w:hint="eastAsia"/>
          <w:b w:val="0"/>
          <w:bCs w:val="0"/>
          <w:lang w:val="en-US" w:eastAsia="zh-CN"/>
        </w:rPr>
        <w:t>与主流电商平台、直播平台</w:t>
      </w:r>
      <w:r>
        <w:rPr>
          <w:rFonts w:hint="default" w:ascii="仿宋_GB2312" w:eastAsia="仿宋_GB2312"/>
          <w:b w:val="0"/>
          <w:bCs w:val="0"/>
          <w:lang w:val="en-US" w:eastAsia="zh-CN"/>
        </w:rPr>
        <w:t>合作</w:t>
      </w:r>
      <w:r>
        <w:rPr>
          <w:rFonts w:hint="eastAsia"/>
          <w:b w:val="0"/>
          <w:bCs w:val="0"/>
          <w:lang w:val="en-US" w:eastAsia="zh-CN"/>
        </w:rPr>
        <w:t>开展</w:t>
      </w:r>
      <w:r>
        <w:rPr>
          <w:rFonts w:hint="eastAsia" w:ascii="仿宋_GB2312" w:eastAsia="仿宋_GB2312"/>
          <w:b w:val="0"/>
          <w:bCs w:val="0"/>
          <w:lang w:val="en-US" w:eastAsia="zh-CN"/>
        </w:rPr>
        <w:t>区域</w:t>
      </w:r>
      <w:r>
        <w:rPr>
          <w:rFonts w:hint="eastAsia"/>
          <w:b w:val="0"/>
          <w:bCs w:val="0"/>
          <w:lang w:val="en-US" w:eastAsia="zh-CN"/>
        </w:rPr>
        <w:t>农</w:t>
      </w:r>
      <w:r>
        <w:rPr>
          <w:rFonts w:hint="eastAsia" w:ascii="仿宋_GB2312" w:eastAsia="仿宋_GB2312"/>
          <w:b w:val="0"/>
          <w:bCs w:val="0"/>
          <w:lang w:val="en-US" w:eastAsia="zh-CN"/>
        </w:rPr>
        <w:t>产品</w:t>
      </w:r>
      <w:r>
        <w:rPr>
          <w:rFonts w:hint="default" w:ascii="仿宋_GB2312" w:eastAsia="仿宋_GB2312"/>
          <w:b w:val="0"/>
          <w:bCs w:val="0"/>
          <w:lang w:val="en-US" w:eastAsia="zh-CN"/>
        </w:rPr>
        <w:t>品牌推广，加强</w:t>
      </w:r>
      <w:r>
        <w:rPr>
          <w:rFonts w:hint="eastAsia"/>
          <w:b w:val="0"/>
          <w:bCs w:val="0"/>
          <w:lang w:val="en-US" w:eastAsia="zh-CN"/>
        </w:rPr>
        <w:t>农产品的</w:t>
      </w:r>
      <w:r>
        <w:rPr>
          <w:rFonts w:hint="default" w:ascii="仿宋_GB2312" w:eastAsia="仿宋_GB2312"/>
          <w:b w:val="0"/>
          <w:bCs w:val="0"/>
          <w:lang w:val="en-US" w:eastAsia="zh-CN"/>
        </w:rPr>
        <w:t>品牌策划、运营、宣传推介。利用高铁、机场、公交、地铁等人群集聚场所进行宣传推介</w:t>
      </w:r>
      <w:r>
        <w:rPr>
          <w:rFonts w:hint="eastAsia" w:ascii="仿宋_GB2312" w:eastAsia="仿宋_GB2312"/>
          <w:b w:val="0"/>
          <w:bCs w:val="0"/>
          <w:lang w:val="en-US" w:eastAsia="zh-CN"/>
        </w:rPr>
        <w:t>，</w:t>
      </w:r>
      <w:r>
        <w:rPr>
          <w:rFonts w:hint="default" w:ascii="仿宋_GB2312" w:eastAsia="仿宋_GB2312"/>
          <w:b w:val="0"/>
          <w:bCs w:val="0"/>
          <w:lang w:val="en-US" w:eastAsia="zh-CN"/>
        </w:rPr>
        <w:t>探索通过综艺节目、游记美食节目、</w:t>
      </w:r>
      <w:r>
        <w:rPr>
          <w:rFonts w:hint="eastAsia"/>
          <w:b w:val="0"/>
          <w:bCs w:val="0"/>
          <w:lang w:val="en-US" w:eastAsia="zh-CN"/>
        </w:rPr>
        <w:t>影视剧</w:t>
      </w:r>
      <w:r>
        <w:rPr>
          <w:rFonts w:hint="default" w:ascii="仿宋_GB2312" w:eastAsia="仿宋_GB2312"/>
          <w:b w:val="0"/>
          <w:bCs w:val="0"/>
          <w:lang w:val="en-US" w:eastAsia="zh-CN"/>
        </w:rPr>
        <w:t>等手段宣传推介崖州</w:t>
      </w:r>
      <w:r>
        <w:rPr>
          <w:rFonts w:hint="eastAsia"/>
          <w:b w:val="0"/>
          <w:bCs w:val="0"/>
          <w:lang w:val="en-US" w:eastAsia="zh-CN"/>
        </w:rPr>
        <w:t>优质农产品</w:t>
      </w:r>
      <w:r>
        <w:rPr>
          <w:rFonts w:hint="default" w:ascii="仿宋_GB2312" w:eastAsia="仿宋_GB2312"/>
          <w:b w:val="0"/>
          <w:bCs w:val="0"/>
          <w:lang w:val="en-US" w:eastAsia="zh-CN"/>
        </w:rPr>
        <w:t>。</w:t>
      </w:r>
    </w:p>
    <w:p>
      <w:pPr>
        <w:rPr>
          <w:rFonts w:hint="eastAsia"/>
          <w:b w:val="0"/>
          <w:bCs w:val="0"/>
          <w:lang w:val="en-US" w:eastAsia="zh-CN"/>
        </w:rPr>
      </w:pPr>
      <w:r>
        <w:rPr>
          <w:rFonts w:hint="eastAsia"/>
          <w:b/>
          <w:bCs/>
          <w:lang w:val="en-US" w:eastAsia="zh-CN"/>
        </w:rPr>
        <w:t>六是做好农业扶持和农产品检测</w:t>
      </w:r>
      <w:r>
        <w:rPr>
          <w:rFonts w:hint="eastAsia"/>
          <w:b w:val="0"/>
          <w:bCs w:val="0"/>
          <w:lang w:val="en-US" w:eastAsia="zh-CN"/>
        </w:rPr>
        <w:t>，做好冬季瓜菜种苗政府补贴，发放低价或免费茄子、青瓜、豇豆等种苗，发放瓜菜种植秸秆还田机耕耙地补贴，降低农民生产成本；发挥好四级检测机制作用，加强冬季瓜菜质量安全网格化管理，进一步提升冬季瓜菜质量水平。</w:t>
      </w:r>
    </w:p>
    <w:tbl>
      <w:tblPr>
        <w:tblStyle w:val="19"/>
        <w:tblW w:w="5000" w:type="pct"/>
        <w:tblInd w:w="0" w:type="dxa"/>
        <w:tblBorders>
          <w:top w:val="thinThickSmallGap" w:color="auto" w:sz="2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thinThickSmallGap" w:color="auto" w:sz="2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22" w:type="dxa"/>
            <w:tcBorders>
              <w:top w:val="thinThickSmallGap" w:color="A4A4A4" w:sz="12" w:space="0"/>
              <w:bottom w:val="thickThinSmallGap" w:color="A4A4A4" w:sz="12" w:space="0"/>
            </w:tcBorders>
            <w:vAlign w:val="top"/>
          </w:tcPr>
          <w:p>
            <w:pPr>
              <w:pStyle w:val="31"/>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b/>
                <w:bCs/>
                <w:sz w:val="24"/>
                <w:szCs w:val="24"/>
                <w:lang w:val="en-US" w:eastAsia="zh-CN"/>
              </w:rPr>
            </w:pPr>
            <w:r>
              <w:rPr>
                <w:rFonts w:hint="eastAsia"/>
                <w:b/>
                <w:bCs/>
                <w:sz w:val="24"/>
                <w:szCs w:val="24"/>
                <w:lang w:val="en-US" w:eastAsia="zh-CN"/>
              </w:rPr>
              <w:t>专栏11  案例借鉴：山东寿光菜农之家联合社</w:t>
            </w:r>
          </w:p>
          <w:p>
            <w:pPr>
              <w:pStyle w:val="3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val="0"/>
                <w:bCs w:val="0"/>
                <w:sz w:val="24"/>
                <w:szCs w:val="24"/>
                <w:lang w:val="en-US" w:eastAsia="zh-CN"/>
              </w:rPr>
            </w:pPr>
            <w:r>
              <w:rPr>
                <w:rFonts w:hint="eastAsia"/>
                <w:b w:val="0"/>
                <w:bCs w:val="0"/>
                <w:sz w:val="24"/>
                <w:szCs w:val="24"/>
                <w:lang w:val="en-US" w:eastAsia="zh-CN"/>
              </w:rPr>
              <w:t>（1）菜农之家联合社由寿光市委、市政府倡导创办，由寿光市蔬菜专业合作社协会牵头，北方蔬菜报社为主体创办运营，政府主导、协会牵头、联社运作。</w:t>
            </w:r>
          </w:p>
          <w:p>
            <w:pPr>
              <w:pStyle w:val="3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val="0"/>
                <w:bCs w:val="0"/>
                <w:sz w:val="24"/>
                <w:szCs w:val="24"/>
                <w:lang w:val="en-US" w:eastAsia="zh-CN"/>
              </w:rPr>
            </w:pPr>
            <w:r>
              <w:rPr>
                <w:rFonts w:hint="eastAsia"/>
                <w:b w:val="0"/>
                <w:bCs w:val="0"/>
                <w:sz w:val="24"/>
                <w:szCs w:val="24"/>
                <w:lang w:val="en-US" w:eastAsia="zh-CN"/>
              </w:rPr>
              <w:t>（2）愿景：养护土壤健康机体，回归蔬菜天然品质。</w:t>
            </w:r>
          </w:p>
          <w:p>
            <w:pPr>
              <w:pStyle w:val="3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val="0"/>
                <w:bCs w:val="0"/>
                <w:sz w:val="24"/>
                <w:szCs w:val="24"/>
                <w:lang w:val="en-US" w:eastAsia="zh-CN"/>
              </w:rPr>
            </w:pPr>
            <w:r>
              <w:rPr>
                <w:rFonts w:hint="eastAsia"/>
                <w:b w:val="0"/>
                <w:bCs w:val="0"/>
                <w:sz w:val="24"/>
                <w:szCs w:val="24"/>
                <w:lang w:val="en-US" w:eastAsia="zh-CN"/>
              </w:rPr>
              <w:t>（3）使命：担当蔬菜产业转型升级历史责任，创新“把服务落在合作社上”模式，助推产品标准化、品牌化进程！</w:t>
            </w:r>
          </w:p>
          <w:p>
            <w:pPr>
              <w:pStyle w:val="3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val="0"/>
                <w:bCs w:val="0"/>
                <w:sz w:val="24"/>
                <w:szCs w:val="24"/>
                <w:lang w:val="en-US" w:eastAsia="zh-CN"/>
              </w:rPr>
            </w:pPr>
            <w:r>
              <w:rPr>
                <w:rFonts w:hint="eastAsia"/>
                <w:b w:val="0"/>
                <w:bCs w:val="0"/>
                <w:sz w:val="24"/>
                <w:szCs w:val="24"/>
                <w:lang w:val="en-US" w:eastAsia="zh-CN"/>
              </w:rPr>
              <w:t>（4）目标：发展农民专业合作社，创新服务三农新模式。</w:t>
            </w:r>
          </w:p>
          <w:p>
            <w:pPr>
              <w:pStyle w:val="3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val="0"/>
                <w:bCs w:val="0"/>
                <w:sz w:val="24"/>
                <w:szCs w:val="24"/>
                <w:lang w:val="en-US" w:eastAsia="zh-CN"/>
              </w:rPr>
            </w:pPr>
            <w:r>
              <w:rPr>
                <w:rFonts w:hint="eastAsia"/>
                <w:b w:val="0"/>
                <w:bCs w:val="0"/>
                <w:sz w:val="24"/>
                <w:szCs w:val="24"/>
                <w:lang w:val="en-US" w:eastAsia="zh-CN"/>
              </w:rPr>
              <w:t>（5）宗旨：菜农之家联合社，服务最后100米！</w:t>
            </w:r>
          </w:p>
          <w:p>
            <w:pPr>
              <w:pStyle w:val="3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val="0"/>
                <w:bCs w:val="0"/>
                <w:sz w:val="24"/>
                <w:szCs w:val="24"/>
                <w:lang w:val="en-US" w:eastAsia="zh-CN"/>
              </w:rPr>
            </w:pPr>
            <w:r>
              <w:rPr>
                <w:rFonts w:hint="eastAsia"/>
                <w:b w:val="0"/>
                <w:bCs w:val="0"/>
                <w:sz w:val="24"/>
                <w:szCs w:val="24"/>
                <w:lang w:val="en-US" w:eastAsia="zh-CN"/>
              </w:rPr>
              <w:t>（6）服务承诺：专业团队、权威机构测土。生产全程24小时跟踪服务。每次浇水提供个性化施肥配方。疑难病害，专家全程入棚指导诊治。全方位生产服务、信息服务、生活服务。</w:t>
            </w:r>
          </w:p>
          <w:p>
            <w:pPr>
              <w:pStyle w:val="3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val="0"/>
                <w:bCs w:val="0"/>
                <w:sz w:val="24"/>
                <w:szCs w:val="24"/>
                <w:lang w:val="en-US" w:eastAsia="zh-CN"/>
              </w:rPr>
            </w:pPr>
            <w:r>
              <w:rPr>
                <w:rFonts w:hint="eastAsia"/>
                <w:b w:val="0"/>
                <w:bCs w:val="0"/>
                <w:sz w:val="24"/>
                <w:szCs w:val="24"/>
                <w:lang w:val="en-US" w:eastAsia="zh-CN"/>
              </w:rPr>
              <w:t>（7）职能：组织社员按标准化生产,统一种苗，统一农资，统一管理，统一服务，统一检测，统一宣传，统一采购，降低生产成本。组织社员用品牌闯市场，打造单品及地域品质蔬菜品牌，提高销售价格。</w:t>
            </w:r>
          </w:p>
          <w:p>
            <w:pPr>
              <w:pStyle w:val="3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val="0"/>
                <w:bCs w:val="0"/>
                <w:sz w:val="24"/>
                <w:szCs w:val="24"/>
                <w:lang w:val="en-US" w:eastAsia="zh-CN"/>
              </w:rPr>
            </w:pPr>
            <w:r>
              <w:rPr>
                <w:rFonts w:hint="eastAsia"/>
                <w:b w:val="0"/>
                <w:bCs w:val="0"/>
                <w:sz w:val="24"/>
                <w:szCs w:val="24"/>
                <w:lang w:val="en-US" w:eastAsia="zh-CN"/>
              </w:rPr>
              <w:t>（8）技术服务：专业技术服务团队，为社员提供技术服务。植保问题第一时间解答，优先入棚现场指导。提供蔬菜全程解决方案，科学种植，提高效能。联社重要专题培训，每年不少于三次免费大课。新产品、新技术、新设备优先试用。</w:t>
            </w:r>
          </w:p>
          <w:p>
            <w:pPr>
              <w:pStyle w:val="3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val="0"/>
                <w:bCs w:val="0"/>
                <w:sz w:val="24"/>
                <w:szCs w:val="24"/>
                <w:lang w:val="en-US" w:eastAsia="zh-CN"/>
              </w:rPr>
            </w:pPr>
            <w:r>
              <w:rPr>
                <w:rFonts w:hint="eastAsia"/>
                <w:b w:val="0"/>
                <w:bCs w:val="0"/>
                <w:sz w:val="24"/>
                <w:szCs w:val="24"/>
                <w:lang w:val="en-US" w:eastAsia="zh-CN"/>
              </w:rPr>
              <w:t>（9）投入品套餐服务：对接全国优秀投入品生产商，确保产品质量，争取最低价格，节省社员投入成本。结合蔬菜品类与测土结果，建立匹配全程解决方案的产品套餐，让社员科学种田，提高产能。加入联社购买投入品，可享受最优折扣。</w:t>
            </w:r>
          </w:p>
          <w:p>
            <w:pPr>
              <w:pStyle w:val="3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val="0"/>
                <w:bCs w:val="0"/>
                <w:sz w:val="24"/>
                <w:szCs w:val="24"/>
                <w:lang w:val="en-US" w:eastAsia="zh-CN"/>
              </w:rPr>
            </w:pPr>
            <w:r>
              <w:rPr>
                <w:rFonts w:hint="eastAsia"/>
                <w:b w:val="0"/>
                <w:bCs w:val="0"/>
                <w:sz w:val="24"/>
                <w:szCs w:val="24"/>
                <w:lang w:val="en-US" w:eastAsia="zh-CN"/>
              </w:rPr>
              <w:t>（10）测土服务：每棚6-10个取样点，专业设备取土。权威机构检测——寿光市土壤与肥料检测中心精准检测。检测N、P、K、PH值、有机质、中微量元素含量。出具配方施肥指导方案，养护土壤，提高产能。建立社员大棚土壤档案，指导社员科学施肥。</w:t>
            </w:r>
          </w:p>
          <w:p>
            <w:pPr>
              <w:pStyle w:val="3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val="0"/>
                <w:bCs w:val="0"/>
                <w:sz w:val="24"/>
                <w:szCs w:val="24"/>
                <w:lang w:val="en-US" w:eastAsia="zh-CN"/>
              </w:rPr>
            </w:pPr>
            <w:r>
              <w:rPr>
                <w:rFonts w:hint="eastAsia"/>
                <w:b w:val="0"/>
                <w:bCs w:val="0"/>
                <w:sz w:val="24"/>
                <w:szCs w:val="24"/>
                <w:lang w:val="en-US" w:eastAsia="zh-CN"/>
              </w:rPr>
              <w:t>（11）品牌营销服务：洽谈蔬菜渠道商，拓展蔬菜销售渠道。强化蔬菜种植标准化建设，提升蔬菜安全品质。打造蔬菜品牌，提升品牌溢价，促进社员增收。 对参与联社的合作社进行品牌包装认证服务，提升品牌影响力。</w:t>
            </w:r>
          </w:p>
          <w:p>
            <w:pPr>
              <w:pStyle w:val="3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val="0"/>
                <w:bCs w:val="0"/>
                <w:sz w:val="24"/>
                <w:szCs w:val="24"/>
                <w:lang w:val="en-US" w:eastAsia="zh-CN"/>
              </w:rPr>
            </w:pPr>
            <w:r>
              <w:rPr>
                <w:rFonts w:hint="eastAsia"/>
                <w:b w:val="0"/>
                <w:bCs w:val="0"/>
                <w:sz w:val="24"/>
                <w:szCs w:val="24"/>
                <w:lang w:val="en-US" w:eastAsia="zh-CN"/>
              </w:rPr>
              <w:t>（12）维权服务：依托北方蔬菜报，密切关注寿光农资市场，引导社员选购品牌农资。社员购买社外农资出现问题，联社依托媒体优势，给予维权支持。联社代表社员出面与厂商沟通，维护社员权益。</w:t>
            </w:r>
          </w:p>
          <w:p>
            <w:pPr>
              <w:pStyle w:val="3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val="0"/>
                <w:bCs w:val="0"/>
                <w:sz w:val="24"/>
                <w:szCs w:val="24"/>
                <w:lang w:val="en-US" w:eastAsia="zh-CN"/>
              </w:rPr>
            </w:pPr>
            <w:r>
              <w:rPr>
                <w:rFonts w:hint="eastAsia"/>
                <w:b w:val="0"/>
                <w:bCs w:val="0"/>
                <w:sz w:val="24"/>
                <w:szCs w:val="24"/>
                <w:lang w:val="en-US" w:eastAsia="zh-CN"/>
              </w:rPr>
              <w:t>（13）信息服务：依托联社全媒体互动平台，以及《北方蔬菜报》报纸宣传，为社员提供快捷系统的信息服务。信息项目包括蔬菜种植新产品、新技术、新设备；病虫害预警、极端天气预警、种植品类规模异动预警等。</w:t>
            </w:r>
          </w:p>
          <w:p>
            <w:pPr>
              <w:pStyle w:val="3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val="0"/>
                <w:bCs w:val="0"/>
                <w:sz w:val="24"/>
                <w:szCs w:val="24"/>
                <w:lang w:val="en-US" w:eastAsia="zh-CN"/>
              </w:rPr>
            </w:pPr>
            <w:r>
              <w:rPr>
                <w:rFonts w:hint="eastAsia"/>
                <w:b w:val="0"/>
                <w:bCs w:val="0"/>
                <w:sz w:val="24"/>
                <w:szCs w:val="24"/>
                <w:lang w:val="en-US" w:eastAsia="zh-CN"/>
              </w:rPr>
              <w:t>（14）荣誉奖励：每年度内，联社将对年度表现优异的社员予以公开表彰奖励，授予市级荣誉，并通过媒体广泛宣传。选指标：种植水平、标准化执行力、蔬菜品质、投入品用量、社内服务等。</w:t>
            </w:r>
          </w:p>
          <w:p>
            <w:pPr>
              <w:pStyle w:val="3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b w:val="0"/>
                <w:bCs w:val="0"/>
                <w:sz w:val="24"/>
                <w:szCs w:val="24"/>
                <w:lang w:val="en-US" w:eastAsia="zh-CN"/>
              </w:rPr>
            </w:pPr>
            <w:r>
              <w:rPr>
                <w:rFonts w:hint="eastAsia"/>
                <w:b w:val="0"/>
                <w:bCs w:val="0"/>
                <w:sz w:val="24"/>
                <w:szCs w:val="24"/>
                <w:lang w:val="en-US" w:eastAsia="zh-CN"/>
              </w:rPr>
              <w:t>（15）金融服务：联社与银行签约担保，为社员提供贷款授信等金融服务，社员用银行的钱购买农资，待蔬菜销售后还款，以减轻资金压力。</w:t>
            </w:r>
          </w:p>
        </w:tc>
      </w:tr>
    </w:tbl>
    <w:p>
      <w:pPr>
        <w:pStyle w:val="5"/>
        <w:numPr>
          <w:ilvl w:val="0"/>
          <w:numId w:val="14"/>
        </w:numPr>
        <w:bidi w:val="0"/>
        <w:ind w:left="0" w:leftChars="0" w:firstLine="624" w:firstLineChars="0"/>
        <w:rPr>
          <w:rFonts w:hint="eastAsia"/>
          <w:lang w:val="en-US" w:eastAsia="zh-CN"/>
        </w:rPr>
      </w:pPr>
      <w:bookmarkStart w:id="239" w:name="_Toc19546"/>
      <w:bookmarkStart w:id="240" w:name="_Toc17841"/>
      <w:bookmarkStart w:id="241" w:name="_Toc23345"/>
      <w:r>
        <w:rPr>
          <w:rFonts w:hint="eastAsia"/>
          <w:lang w:val="en-US" w:eastAsia="zh-CN"/>
        </w:rPr>
        <w:t>推动南繁育制种与二三产业融合，把更多效益留在本地</w:t>
      </w:r>
      <w:bookmarkEnd w:id="239"/>
      <w:bookmarkEnd w:id="240"/>
      <w:bookmarkEnd w:id="241"/>
    </w:p>
    <w:p>
      <w:pPr>
        <w:rPr>
          <w:rFonts w:hint="eastAsia"/>
          <w:lang w:val="en-US" w:eastAsia="zh-CN"/>
        </w:rPr>
      </w:pPr>
      <w:r>
        <w:rPr>
          <w:rFonts w:hint="eastAsia" w:ascii="仿宋_GB2312" w:eastAsia="仿宋_GB2312"/>
          <w:lang w:val="en-US" w:eastAsia="zh-CN"/>
        </w:rPr>
        <w:t>通过南繁科研、南繁生产、南繁服务的一二三产融合发展，把更多上下游产业发展机会留在崖州区本地，创新南繁育种业态模式，提升现代种业全产业链价值。</w:t>
      </w:r>
    </w:p>
    <w:p>
      <w:pPr>
        <w:rPr>
          <w:rFonts w:hint="eastAsia"/>
          <w:lang w:val="en-US" w:eastAsia="zh-CN"/>
        </w:rPr>
      </w:pPr>
      <w:r>
        <w:rPr>
          <w:rFonts w:hint="eastAsia" w:ascii="仿宋_GB2312" w:eastAsia="仿宋_GB2312"/>
          <w:b/>
          <w:bCs/>
          <w:lang w:val="en-US" w:eastAsia="zh-CN"/>
        </w:rPr>
        <w:t>一是延长南繁在本地产业链</w:t>
      </w:r>
      <w:r>
        <w:rPr>
          <w:rFonts w:hint="eastAsia"/>
          <w:b/>
          <w:bCs/>
          <w:lang w:val="en-US" w:eastAsia="zh-CN"/>
        </w:rPr>
        <w:t>。</w:t>
      </w:r>
      <w:r>
        <w:rPr>
          <w:rFonts w:hint="eastAsia" w:ascii="仿宋_GB2312" w:eastAsia="仿宋_GB2312"/>
          <w:lang w:val="en-US" w:eastAsia="zh-CN"/>
        </w:rPr>
        <w:t>以种子加工、仓储、物流为重点，建设种子集中精加工设施，配套硬化晒场、种子专用烘干机、不落地加工流水线、仓储物流等装备，为商品种子生产提供本地化服务。</w:t>
      </w:r>
    </w:p>
    <w:p>
      <w:pPr>
        <w:rPr>
          <w:rFonts w:hint="eastAsia"/>
          <w:lang w:val="en-US" w:eastAsia="zh-CN"/>
        </w:rPr>
      </w:pPr>
      <w:r>
        <w:rPr>
          <w:rFonts w:hint="eastAsia" w:ascii="仿宋_GB2312" w:eastAsia="仿宋_GB2312"/>
          <w:b/>
          <w:bCs/>
          <w:lang w:val="en-US" w:eastAsia="zh-CN"/>
        </w:rPr>
        <w:t>二是创新育种基地运营机制</w:t>
      </w:r>
      <w:r>
        <w:rPr>
          <w:rFonts w:hint="eastAsia"/>
          <w:b/>
          <w:bCs/>
          <w:lang w:val="en-US" w:eastAsia="zh-CN"/>
        </w:rPr>
        <w:t>。</w:t>
      </w:r>
      <w:r>
        <w:rPr>
          <w:rFonts w:hint="eastAsia" w:ascii="仿宋_GB2312" w:eastAsia="仿宋_GB2312"/>
          <w:lang w:val="en-US" w:eastAsia="zh-CN"/>
        </w:rPr>
        <w:t>引导崖州本地农民参与南繁基地建设，引导有关部门和南繁企业增加农民土地出租收入、财政补贴收入，向农民提供南繁基地固定和季节性就业机会，灵活增加农民收入。</w:t>
      </w:r>
    </w:p>
    <w:p>
      <w:pPr>
        <w:rPr>
          <w:rFonts w:hint="eastAsia"/>
          <w:lang w:val="en-US" w:eastAsia="zh-CN"/>
        </w:rPr>
      </w:pPr>
      <w:r>
        <w:rPr>
          <w:rFonts w:hint="eastAsia" w:ascii="仿宋_GB2312" w:eastAsia="仿宋_GB2312"/>
          <w:b/>
          <w:bCs/>
          <w:lang w:val="en-US" w:eastAsia="zh-CN"/>
        </w:rPr>
        <w:t>三是</w:t>
      </w:r>
      <w:r>
        <w:rPr>
          <w:rFonts w:hint="eastAsia"/>
          <w:b/>
          <w:bCs/>
          <w:lang w:val="en-US" w:eastAsia="zh-CN"/>
        </w:rPr>
        <w:t>创新育种</w:t>
      </w:r>
      <w:r>
        <w:rPr>
          <w:rFonts w:hint="eastAsia" w:ascii="仿宋_GB2312" w:eastAsia="仿宋_GB2312"/>
          <w:b/>
          <w:bCs/>
          <w:lang w:val="en-US" w:eastAsia="zh-CN"/>
        </w:rPr>
        <w:t>基地管理模式</w:t>
      </w:r>
      <w:r>
        <w:rPr>
          <w:rFonts w:hint="eastAsia"/>
          <w:b/>
          <w:bCs/>
          <w:lang w:val="en-US" w:eastAsia="zh-CN"/>
        </w:rPr>
        <w:t>。</w:t>
      </w:r>
      <w:r>
        <w:rPr>
          <w:rFonts w:hint="eastAsia" w:ascii="仿宋_GB2312" w:eastAsia="仿宋_GB2312"/>
          <w:lang w:val="en-US" w:eastAsia="zh-CN"/>
        </w:rPr>
        <w:t>鼓励制种企业吸引合作社、家庭农场以土地使用权折价入股，分享种子增值收益。推广“企业+专业合作社”、“企业+家庭农场”等制种基地管理模式，支持企业通过“保底+分红”、“订单+保险”、返租倒包等方式，提升产业利益链条，促进农民收入增加。</w:t>
      </w:r>
    </w:p>
    <w:p>
      <w:pPr>
        <w:pStyle w:val="5"/>
        <w:numPr>
          <w:ilvl w:val="0"/>
          <w:numId w:val="14"/>
        </w:numPr>
        <w:bidi w:val="0"/>
        <w:ind w:left="0" w:leftChars="0" w:firstLine="624" w:firstLineChars="0"/>
        <w:rPr>
          <w:rFonts w:hint="default"/>
          <w:lang w:val="en-US" w:eastAsia="zh-CN"/>
        </w:rPr>
      </w:pPr>
      <w:bookmarkStart w:id="242" w:name="_Toc19377"/>
      <w:bookmarkStart w:id="243" w:name="_Toc2957"/>
      <w:bookmarkStart w:id="244" w:name="_Toc14769"/>
      <w:r>
        <w:rPr>
          <w:rFonts w:hint="eastAsia"/>
          <w:lang w:val="en-US" w:eastAsia="zh-CN"/>
        </w:rPr>
        <w:t>加强农业科技推广和技术支撑，支持南繁成果就近就地转化</w:t>
      </w:r>
      <w:bookmarkEnd w:id="242"/>
      <w:bookmarkEnd w:id="243"/>
      <w:bookmarkEnd w:id="244"/>
    </w:p>
    <w:p>
      <w:pPr>
        <w:rPr>
          <w:rFonts w:hint="default"/>
          <w:lang w:val="en-US" w:eastAsia="zh-CN"/>
        </w:rPr>
      </w:pPr>
      <w:r>
        <w:rPr>
          <w:rFonts w:hint="eastAsia" w:ascii="仿宋_GB2312" w:eastAsia="仿宋_GB2312"/>
          <w:lang w:val="en-US" w:eastAsia="zh-CN"/>
        </w:rPr>
        <w:t>崖州利用南繁技术发展瓜菜种植早有历史，早在1986年就率先实现了南繁成果本地转化，催生了冬季瓜菜种植产业，</w:t>
      </w:r>
      <w:r>
        <w:rPr>
          <w:rFonts w:hint="default"/>
          <w:lang w:val="en-US" w:eastAsia="zh-CN"/>
        </w:rPr>
        <w:t>目前选育出的南繁豇豆1688、南繁豇豆1798两种优质豇豆品种已在</w:t>
      </w:r>
      <w:r>
        <w:rPr>
          <w:rFonts w:hint="eastAsia" w:ascii="仿宋_GB2312" w:eastAsia="仿宋_GB2312"/>
          <w:lang w:val="en-US" w:eastAsia="zh-CN"/>
        </w:rPr>
        <w:t>海南广泛</w:t>
      </w:r>
      <w:r>
        <w:rPr>
          <w:rFonts w:hint="default"/>
          <w:lang w:val="en-US" w:eastAsia="zh-CN"/>
        </w:rPr>
        <w:t>推广种植。</w:t>
      </w:r>
    </w:p>
    <w:p>
      <w:pPr>
        <w:rPr>
          <w:rFonts w:hint="default"/>
          <w:lang w:val="en-US" w:eastAsia="zh-CN"/>
        </w:rPr>
      </w:pPr>
      <w:r>
        <w:rPr>
          <w:rFonts w:hint="eastAsia" w:ascii="仿宋_GB2312" w:eastAsia="仿宋_GB2312"/>
          <w:b/>
          <w:bCs/>
          <w:lang w:val="en-US" w:eastAsia="zh-CN"/>
        </w:rPr>
        <w:t>一是新品种</w:t>
      </w:r>
      <w:r>
        <w:rPr>
          <w:rFonts w:hint="eastAsia"/>
          <w:b/>
          <w:bCs/>
          <w:lang w:val="en-US" w:eastAsia="zh-CN"/>
        </w:rPr>
        <w:t>本地</w:t>
      </w:r>
      <w:r>
        <w:rPr>
          <w:rFonts w:hint="eastAsia" w:ascii="仿宋_GB2312" w:eastAsia="仿宋_GB2312"/>
          <w:b/>
          <w:bCs/>
          <w:lang w:val="en-US" w:eastAsia="zh-CN"/>
        </w:rPr>
        <w:t>示范推广</w:t>
      </w:r>
      <w:r>
        <w:rPr>
          <w:rFonts w:hint="eastAsia"/>
          <w:b/>
          <w:bCs/>
          <w:lang w:val="en-US" w:eastAsia="zh-CN"/>
        </w:rPr>
        <w:t>。</w:t>
      </w:r>
      <w:r>
        <w:rPr>
          <w:rFonts w:hint="default"/>
          <w:lang w:val="en-US" w:eastAsia="zh-CN"/>
        </w:rPr>
        <w:t>依托</w:t>
      </w:r>
      <w:r>
        <w:rPr>
          <w:rFonts w:hint="eastAsia" w:ascii="仿宋_GB2312" w:eastAsia="仿宋_GB2312"/>
          <w:lang w:val="en-US" w:eastAsia="zh-CN"/>
        </w:rPr>
        <w:t>南繁</w:t>
      </w:r>
      <w:r>
        <w:rPr>
          <w:rFonts w:hint="eastAsia"/>
          <w:lang w:val="en-US" w:eastAsia="zh-CN"/>
        </w:rPr>
        <w:t>科研、科技推广平台，开展适合崖州种植的蔬菜品种调研、筛选、示范推广工作，培育引进适应性广、抗性强、品质优良的耐热耐湿蔬菜品种，</w:t>
      </w:r>
      <w:r>
        <w:rPr>
          <w:rFonts w:hint="default"/>
          <w:lang w:val="en-US" w:eastAsia="zh-CN"/>
        </w:rPr>
        <w:t>开展植物保护</w:t>
      </w:r>
      <w:r>
        <w:rPr>
          <w:rFonts w:hint="eastAsia"/>
          <w:lang w:val="en-US" w:eastAsia="zh-CN"/>
        </w:rPr>
        <w:t>、</w:t>
      </w:r>
      <w:r>
        <w:rPr>
          <w:rFonts w:hint="default"/>
          <w:lang w:val="en-US" w:eastAsia="zh-CN"/>
        </w:rPr>
        <w:t>病虫害综合防治新技术推广</w:t>
      </w:r>
      <w:r>
        <w:rPr>
          <w:rFonts w:hint="eastAsia"/>
          <w:lang w:val="en-US" w:eastAsia="zh-CN"/>
        </w:rPr>
        <w:t>，</w:t>
      </w:r>
      <w:r>
        <w:rPr>
          <w:rFonts w:hint="default"/>
          <w:lang w:val="en-US" w:eastAsia="zh-CN"/>
        </w:rPr>
        <w:t>承接南繁科技城</w:t>
      </w:r>
      <w:r>
        <w:rPr>
          <w:rFonts w:hint="eastAsia"/>
          <w:lang w:val="en-US" w:eastAsia="zh-CN"/>
        </w:rPr>
        <w:t>技术成果</w:t>
      </w:r>
      <w:r>
        <w:rPr>
          <w:rFonts w:hint="default"/>
          <w:lang w:val="en-US" w:eastAsia="zh-CN"/>
        </w:rPr>
        <w:t>在崖州落地生根。</w:t>
      </w:r>
    </w:p>
    <w:p>
      <w:pPr>
        <w:rPr>
          <w:rFonts w:hint="default"/>
          <w:lang w:val="en-US" w:eastAsia="zh-CN"/>
        </w:rPr>
      </w:pPr>
      <w:r>
        <w:rPr>
          <w:rFonts w:hint="eastAsia" w:ascii="仿宋_GB2312" w:eastAsia="仿宋_GB2312"/>
          <w:b/>
          <w:bCs/>
          <w:lang w:val="en-US" w:eastAsia="zh-CN"/>
        </w:rPr>
        <w:t>二是</w:t>
      </w:r>
      <w:r>
        <w:rPr>
          <w:rFonts w:hint="eastAsia"/>
          <w:b/>
          <w:bCs/>
          <w:lang w:val="en-US" w:eastAsia="zh-CN"/>
        </w:rPr>
        <w:t>建立</w:t>
      </w:r>
      <w:r>
        <w:rPr>
          <w:rFonts w:hint="eastAsia" w:ascii="仿宋_GB2312" w:eastAsia="仿宋_GB2312"/>
          <w:b/>
          <w:bCs/>
          <w:lang w:val="en-US" w:eastAsia="zh-CN"/>
        </w:rPr>
        <w:t>农业试验示范基地</w:t>
      </w:r>
      <w:r>
        <w:rPr>
          <w:rFonts w:hint="eastAsia"/>
          <w:b/>
          <w:bCs/>
          <w:lang w:val="en-US" w:eastAsia="zh-CN"/>
        </w:rPr>
        <w:t>。</w:t>
      </w:r>
      <w:r>
        <w:rPr>
          <w:rFonts w:hint="default"/>
          <w:lang w:val="en-US" w:eastAsia="zh-CN"/>
        </w:rPr>
        <w:t>支持科研机构建立</w:t>
      </w:r>
      <w:r>
        <w:rPr>
          <w:rFonts w:hint="eastAsia" w:ascii="仿宋_GB2312" w:eastAsia="仿宋_GB2312"/>
          <w:lang w:val="en-US" w:eastAsia="zh-CN"/>
        </w:rPr>
        <w:t>瓜菜、热带水果</w:t>
      </w:r>
      <w:r>
        <w:rPr>
          <w:rFonts w:hint="default"/>
          <w:lang w:val="en-US" w:eastAsia="zh-CN"/>
        </w:rPr>
        <w:t>农业试验示范基地，集成、熟化农业新技术，形成标准化的操作技术规范，引导</w:t>
      </w:r>
      <w:r>
        <w:rPr>
          <w:rFonts w:hint="eastAsia" w:ascii="仿宋_GB2312" w:eastAsia="仿宋_GB2312"/>
          <w:lang w:val="en-US" w:eastAsia="zh-CN"/>
        </w:rPr>
        <w:t>崖州农民、</w:t>
      </w:r>
      <w:r>
        <w:rPr>
          <w:rFonts w:hint="default"/>
          <w:lang w:val="en-US" w:eastAsia="zh-CN"/>
        </w:rPr>
        <w:t>企业、农民合作社、种养大户成为农业科技成果转化主体，推进</w:t>
      </w:r>
      <w:r>
        <w:rPr>
          <w:rFonts w:hint="eastAsia" w:ascii="仿宋_GB2312" w:eastAsia="仿宋_GB2312"/>
          <w:lang w:val="en-US" w:eastAsia="zh-CN"/>
        </w:rPr>
        <w:t>热带</w:t>
      </w:r>
      <w:r>
        <w:rPr>
          <w:rFonts w:hint="default"/>
          <w:lang w:val="en-US" w:eastAsia="zh-CN"/>
        </w:rPr>
        <w:t>农业科技成果产业化。</w:t>
      </w:r>
    </w:p>
    <w:p>
      <w:pPr>
        <w:rPr>
          <w:rFonts w:hint="default"/>
          <w:lang w:val="en-US" w:eastAsia="zh-CN"/>
        </w:rPr>
      </w:pPr>
      <w:r>
        <w:rPr>
          <w:rFonts w:hint="eastAsia" w:ascii="仿宋_GB2312" w:eastAsia="仿宋_GB2312"/>
          <w:b/>
          <w:bCs/>
          <w:lang w:val="en-US" w:eastAsia="zh-CN"/>
        </w:rPr>
        <w:t>三是</w:t>
      </w:r>
      <w:r>
        <w:rPr>
          <w:rFonts w:hint="eastAsia"/>
          <w:b/>
          <w:bCs/>
          <w:lang w:val="en-US" w:eastAsia="zh-CN"/>
        </w:rPr>
        <w:t>建立</w:t>
      </w:r>
      <w:r>
        <w:rPr>
          <w:rFonts w:hint="eastAsia" w:ascii="仿宋_GB2312" w:eastAsia="仿宋_GB2312"/>
          <w:b/>
          <w:bCs/>
          <w:lang w:val="en-US" w:eastAsia="zh-CN"/>
        </w:rPr>
        <w:t>农产品地方标准体系</w:t>
      </w:r>
      <w:r>
        <w:rPr>
          <w:rFonts w:hint="eastAsia"/>
          <w:b/>
          <w:bCs/>
          <w:lang w:val="en-US" w:eastAsia="zh-CN"/>
        </w:rPr>
        <w:t>。</w:t>
      </w:r>
      <w:r>
        <w:rPr>
          <w:rFonts w:hint="default"/>
          <w:lang w:val="en-US" w:eastAsia="zh-CN"/>
        </w:rPr>
        <w:t>鼓励</w:t>
      </w:r>
      <w:r>
        <w:rPr>
          <w:rFonts w:hint="eastAsia" w:ascii="仿宋_GB2312" w:eastAsia="仿宋_GB2312"/>
          <w:lang w:val="en-US" w:eastAsia="zh-CN"/>
        </w:rPr>
        <w:t>科研机构</w:t>
      </w:r>
      <w:r>
        <w:rPr>
          <w:rFonts w:hint="eastAsia" w:ascii="仿宋_GB2312" w:eastAsia="仿宋_GB2312"/>
          <w:b w:val="0"/>
          <w:bCs w:val="0"/>
          <w:lang w:val="en-US" w:eastAsia="zh-CN"/>
        </w:rPr>
        <w:t>和种植</w:t>
      </w:r>
      <w:r>
        <w:rPr>
          <w:rFonts w:hint="default"/>
          <w:b w:val="0"/>
          <w:bCs w:val="0"/>
          <w:lang w:val="en-US" w:eastAsia="zh-CN"/>
        </w:rPr>
        <w:t>企业参与建立芒果、豇豆、蜜瓜、莲雾等主要农产品地方标准体系</w:t>
      </w:r>
      <w:r>
        <w:rPr>
          <w:rFonts w:hint="default"/>
          <w:lang w:val="en-US" w:eastAsia="zh-CN"/>
        </w:rPr>
        <w:t>，以规模化和集约化生产为目标，满足生产、质量管理、科技推广、农业投入品控制等产前、产中、产后全过程标准化管理实际需求，推广一批简明易懂的关键技术操作规程。</w:t>
      </w:r>
    </w:p>
    <w:p>
      <w:pPr>
        <w:pStyle w:val="5"/>
        <w:numPr>
          <w:ilvl w:val="0"/>
          <w:numId w:val="14"/>
        </w:numPr>
        <w:bidi w:val="0"/>
        <w:ind w:left="0" w:leftChars="0" w:firstLine="624" w:firstLineChars="0"/>
        <w:rPr>
          <w:rFonts w:hint="default"/>
          <w:lang w:val="en-US" w:eastAsia="zh-CN"/>
        </w:rPr>
      </w:pPr>
      <w:bookmarkStart w:id="245" w:name="_Toc29975"/>
      <w:bookmarkStart w:id="246" w:name="_Toc16189"/>
      <w:bookmarkStart w:id="247" w:name="_Toc14704"/>
      <w:r>
        <w:rPr>
          <w:rFonts w:hint="eastAsia"/>
          <w:lang w:val="en-US" w:eastAsia="zh-CN"/>
        </w:rPr>
        <w:t>发挥自贸港优势，打造优质热带水果出口基地</w:t>
      </w:r>
      <w:bookmarkEnd w:id="245"/>
      <w:bookmarkEnd w:id="246"/>
      <w:bookmarkEnd w:id="247"/>
    </w:p>
    <w:p>
      <w:pPr>
        <w:rPr>
          <w:rFonts w:hint="eastAsia" w:ascii="仿宋_GB2312" w:eastAsia="仿宋_GB2312"/>
          <w:lang w:val="en-US" w:eastAsia="zh-CN"/>
        </w:rPr>
      </w:pPr>
      <w:r>
        <w:rPr>
          <w:rFonts w:hint="eastAsia" w:ascii="仿宋_GB2312" w:eastAsia="仿宋_GB2312"/>
          <w:lang w:val="en-US" w:eastAsia="zh-CN"/>
        </w:rPr>
        <w:t>崖州农业企业已实现优质芒果出口日本，获得较高经济收益，应</w:t>
      </w:r>
      <w:r>
        <w:rPr>
          <w:rFonts w:hint="eastAsia"/>
          <w:lang w:val="en-US" w:eastAsia="zh-CN"/>
        </w:rPr>
        <w:t>进一步发挥</w:t>
      </w:r>
      <w:r>
        <w:rPr>
          <w:rFonts w:hint="eastAsia" w:ascii="仿宋_GB2312" w:eastAsia="仿宋_GB2312"/>
          <w:lang w:val="en-US" w:eastAsia="zh-CN"/>
        </w:rPr>
        <w:t>自贸港</w:t>
      </w:r>
      <w:r>
        <w:rPr>
          <w:rFonts w:hint="eastAsia"/>
          <w:lang w:val="en-US" w:eastAsia="zh-CN"/>
        </w:rPr>
        <w:t>优势</w:t>
      </w:r>
      <w:r>
        <w:rPr>
          <w:rFonts w:hint="eastAsia" w:ascii="仿宋_GB2312" w:eastAsia="仿宋_GB2312"/>
          <w:lang w:val="en-US" w:eastAsia="zh-CN"/>
        </w:rPr>
        <w:t>，做大做强崖州农产品出口。</w:t>
      </w:r>
    </w:p>
    <w:p>
      <w:pPr>
        <w:rPr>
          <w:rFonts w:hint="eastAsia" w:ascii="仿宋_GB2312" w:eastAsia="仿宋_GB2312"/>
          <w:lang w:val="en-US" w:eastAsia="zh-CN"/>
        </w:rPr>
      </w:pPr>
      <w:r>
        <w:rPr>
          <w:rFonts w:hint="eastAsia" w:ascii="仿宋_GB2312" w:eastAsia="仿宋_GB2312"/>
          <w:b/>
          <w:bCs/>
          <w:lang w:val="en-US" w:eastAsia="zh-CN"/>
        </w:rPr>
        <w:t>一是从源头上做好农产品质量管控</w:t>
      </w:r>
      <w:r>
        <w:rPr>
          <w:rFonts w:hint="eastAsia"/>
          <w:b/>
          <w:bCs/>
          <w:lang w:val="en-US" w:eastAsia="zh-CN"/>
        </w:rPr>
        <w:t>。</w:t>
      </w:r>
      <w:r>
        <w:rPr>
          <w:rFonts w:hint="eastAsia" w:ascii="仿宋_GB2312" w:eastAsia="仿宋_GB2312"/>
          <w:lang w:val="en-US" w:eastAsia="zh-CN"/>
        </w:rPr>
        <w:t>扶持规模化</w:t>
      </w:r>
      <w:r>
        <w:rPr>
          <w:rFonts w:hint="eastAsia"/>
          <w:lang w:val="en-US" w:eastAsia="zh-CN"/>
        </w:rPr>
        <w:t>、现代化</w:t>
      </w:r>
      <w:r>
        <w:rPr>
          <w:rFonts w:hint="eastAsia" w:ascii="仿宋_GB2312" w:eastAsia="仿宋_GB2312"/>
          <w:lang w:val="en-US" w:eastAsia="zh-CN"/>
        </w:rPr>
        <w:t>经营，对标日本、韩国、俄罗斯、欧盟等温带地区国家</w:t>
      </w:r>
      <w:r>
        <w:rPr>
          <w:rFonts w:hint="eastAsia"/>
          <w:lang w:val="en-US" w:eastAsia="zh-CN"/>
        </w:rPr>
        <w:t>进口农产品</w:t>
      </w:r>
      <w:r>
        <w:rPr>
          <w:rFonts w:hint="eastAsia" w:ascii="仿宋_GB2312" w:eastAsia="仿宋_GB2312"/>
          <w:lang w:val="en-US" w:eastAsia="zh-CN"/>
        </w:rPr>
        <w:t>要求，</w:t>
      </w:r>
      <w:r>
        <w:rPr>
          <w:rFonts w:hint="eastAsia" w:ascii="仿宋_GB2312" w:eastAsia="仿宋_GB2312"/>
          <w:b w:val="0"/>
          <w:bCs w:val="0"/>
          <w:lang w:val="en-US" w:eastAsia="zh-CN"/>
        </w:rPr>
        <w:t>高标准建设出口水果和出口冬季瓜菜生产种植基地</w:t>
      </w:r>
      <w:r>
        <w:rPr>
          <w:rFonts w:hint="eastAsia" w:ascii="仿宋_GB2312" w:eastAsia="仿宋_GB2312"/>
          <w:lang w:val="en-US" w:eastAsia="zh-CN"/>
        </w:rPr>
        <w:t>。</w:t>
      </w:r>
    </w:p>
    <w:p>
      <w:pPr>
        <w:rPr>
          <w:rFonts w:hint="eastAsia" w:ascii="仿宋_GB2312" w:eastAsia="仿宋_GB2312"/>
          <w:lang w:val="en-US" w:eastAsia="zh-CN"/>
        </w:rPr>
      </w:pPr>
      <w:r>
        <w:rPr>
          <w:rFonts w:hint="eastAsia" w:ascii="仿宋_GB2312" w:eastAsia="仿宋_GB2312"/>
          <w:b/>
          <w:bCs/>
          <w:lang w:val="en-US" w:eastAsia="zh-CN"/>
        </w:rPr>
        <w:t>二是形成出口集散基地</w:t>
      </w:r>
      <w:r>
        <w:rPr>
          <w:rFonts w:hint="eastAsia"/>
          <w:b/>
          <w:bCs/>
          <w:lang w:val="en-US" w:eastAsia="zh-CN"/>
        </w:rPr>
        <w:t>。</w:t>
      </w:r>
      <w:r>
        <w:rPr>
          <w:rFonts w:hint="eastAsia" w:ascii="仿宋_GB2312" w:eastAsia="仿宋_GB2312"/>
          <w:lang w:val="en-US" w:eastAsia="zh-CN"/>
        </w:rPr>
        <w:t>吸引海南优质</w:t>
      </w:r>
      <w:r>
        <w:rPr>
          <w:rFonts w:hint="eastAsia"/>
          <w:lang w:val="en-US" w:eastAsia="zh-CN"/>
        </w:rPr>
        <w:t>特色</w:t>
      </w:r>
      <w:r>
        <w:rPr>
          <w:rFonts w:hint="eastAsia" w:ascii="仿宋_GB2312" w:eastAsia="仿宋_GB2312"/>
          <w:lang w:val="en-US" w:eastAsia="zh-CN"/>
        </w:rPr>
        <w:t>热带水果蔬菜在崖州果蔬综合批发市场汇聚，支持区内出口企业用好各类农产品出口渠道和跨境电商出口平台，把崖州打造成为海南热带水果和冬</w:t>
      </w:r>
      <w:r>
        <w:rPr>
          <w:rFonts w:hint="eastAsia" w:ascii="仿宋_GB2312" w:eastAsia="仿宋_GB2312"/>
          <w:b w:val="0"/>
          <w:bCs w:val="0"/>
          <w:lang w:val="en-US" w:eastAsia="zh-CN"/>
        </w:rPr>
        <w:t>季瓜菜的出口基地</w:t>
      </w:r>
      <w:r>
        <w:rPr>
          <w:rFonts w:hint="eastAsia" w:ascii="仿宋_GB2312" w:eastAsia="仿宋_GB2312"/>
          <w:lang w:val="en-US" w:eastAsia="zh-CN"/>
        </w:rPr>
        <w:t>。</w:t>
      </w:r>
    </w:p>
    <w:p>
      <w:pPr>
        <w:rPr>
          <w:rFonts w:hint="default" w:ascii="仿宋_GB2312" w:eastAsia="仿宋_GB2312"/>
          <w:b w:val="0"/>
          <w:bCs w:val="0"/>
          <w:lang w:val="en-US" w:eastAsia="zh-CN"/>
        </w:rPr>
      </w:pPr>
      <w:r>
        <w:rPr>
          <w:rFonts w:hint="eastAsia" w:ascii="仿宋_GB2312" w:eastAsia="仿宋_GB2312"/>
          <w:b/>
          <w:bCs/>
          <w:lang w:val="en-US" w:eastAsia="zh-CN"/>
        </w:rPr>
        <w:t>三是用好自贸港政策</w:t>
      </w:r>
      <w:r>
        <w:rPr>
          <w:rFonts w:hint="eastAsia"/>
          <w:b/>
          <w:bCs/>
          <w:lang w:val="en-US" w:eastAsia="zh-CN"/>
        </w:rPr>
        <w:t>。</w:t>
      </w:r>
      <w:r>
        <w:rPr>
          <w:rFonts w:hint="eastAsia" w:ascii="仿宋_GB2312" w:eastAsia="仿宋_GB2312"/>
          <w:lang w:val="en-US" w:eastAsia="zh-CN"/>
        </w:rPr>
        <w:t>如货物贸易政策、农产品监管政策、关税政策、国际航空物流政策、人员往来便利政策等，把崖州农产品出口打造</w:t>
      </w:r>
      <w:r>
        <w:rPr>
          <w:rFonts w:hint="eastAsia" w:ascii="仿宋_GB2312" w:eastAsia="仿宋_GB2312"/>
          <w:b w:val="0"/>
          <w:bCs w:val="0"/>
          <w:lang w:val="en-US" w:eastAsia="zh-CN"/>
        </w:rPr>
        <w:t>成为海南自贸港建设的特色亮点。</w:t>
      </w:r>
    </w:p>
    <w:p>
      <w:pPr>
        <w:pStyle w:val="5"/>
        <w:numPr>
          <w:ilvl w:val="0"/>
          <w:numId w:val="14"/>
        </w:numPr>
        <w:bidi w:val="0"/>
        <w:ind w:left="0" w:leftChars="0" w:firstLine="624" w:firstLineChars="0"/>
        <w:rPr>
          <w:rFonts w:hint="default"/>
          <w:lang w:val="en-US" w:eastAsia="zh-CN"/>
        </w:rPr>
      </w:pPr>
      <w:bookmarkStart w:id="248" w:name="_Toc28322"/>
      <w:bookmarkStart w:id="249" w:name="_Toc7171"/>
      <w:bookmarkStart w:id="250" w:name="_Toc32228"/>
      <w:r>
        <w:rPr>
          <w:rFonts w:hint="eastAsia"/>
          <w:lang w:val="en-US" w:eastAsia="zh-CN"/>
        </w:rPr>
        <w:t>发展现代化畜禽养殖和实验动物养殖，形成特色养殖产业</w:t>
      </w:r>
      <w:bookmarkEnd w:id="248"/>
      <w:bookmarkEnd w:id="249"/>
      <w:bookmarkEnd w:id="250"/>
    </w:p>
    <w:p>
      <w:pPr>
        <w:rPr>
          <w:rFonts w:hint="default"/>
          <w:lang w:val="en-US" w:eastAsia="zh-CN"/>
        </w:rPr>
      </w:pPr>
      <w:r>
        <w:rPr>
          <w:rFonts w:hint="eastAsia" w:ascii="仿宋_GB2312" w:eastAsia="仿宋_GB2312"/>
          <w:b/>
          <w:bCs/>
          <w:lang w:val="en-US" w:eastAsia="zh-CN"/>
        </w:rPr>
        <w:t>一是发展</w:t>
      </w:r>
      <w:r>
        <w:rPr>
          <w:rFonts w:hint="eastAsia"/>
          <w:b/>
          <w:bCs/>
          <w:lang w:val="en-US" w:eastAsia="zh-CN"/>
        </w:rPr>
        <w:t>现代化畜禽养殖。</w:t>
      </w:r>
      <w:r>
        <w:rPr>
          <w:rFonts w:hint="eastAsia"/>
          <w:lang w:val="en-US" w:eastAsia="zh-CN"/>
        </w:rPr>
        <w:t>推进</w:t>
      </w:r>
      <w:r>
        <w:rPr>
          <w:rFonts w:hint="default"/>
          <w:lang w:val="en-US" w:eastAsia="zh-CN"/>
        </w:rPr>
        <w:t>生猪、</w:t>
      </w:r>
      <w:r>
        <w:rPr>
          <w:rFonts w:hint="eastAsia" w:ascii="仿宋_GB2312" w:eastAsia="仿宋_GB2312"/>
          <w:lang w:val="en-US" w:eastAsia="zh-CN"/>
        </w:rPr>
        <w:t>黑山羊、</w:t>
      </w:r>
      <w:r>
        <w:rPr>
          <w:rFonts w:hint="default"/>
          <w:lang w:val="en-US" w:eastAsia="zh-CN"/>
        </w:rPr>
        <w:t>肉牛、家禽</w:t>
      </w:r>
      <w:r>
        <w:rPr>
          <w:rFonts w:hint="eastAsia" w:ascii="仿宋_GB2312" w:eastAsia="仿宋_GB2312"/>
          <w:lang w:val="en-US" w:eastAsia="zh-CN"/>
        </w:rPr>
        <w:t>等</w:t>
      </w:r>
      <w:r>
        <w:rPr>
          <w:rFonts w:hint="default"/>
          <w:lang w:val="en-US" w:eastAsia="zh-CN"/>
        </w:rPr>
        <w:t>畜禽</w:t>
      </w:r>
      <w:r>
        <w:rPr>
          <w:rFonts w:hint="eastAsia" w:ascii="仿宋_GB2312" w:eastAsia="仿宋_GB2312"/>
          <w:lang w:val="en-US" w:eastAsia="zh-CN"/>
        </w:rPr>
        <w:t>养殖</w:t>
      </w:r>
      <w:r>
        <w:rPr>
          <w:rFonts w:hint="default"/>
          <w:lang w:val="en-US" w:eastAsia="zh-CN"/>
        </w:rPr>
        <w:t>产业规模</w:t>
      </w:r>
      <w:r>
        <w:rPr>
          <w:rFonts w:hint="eastAsia" w:ascii="仿宋_GB2312" w:eastAsia="仿宋_GB2312"/>
          <w:lang w:val="en-US" w:eastAsia="zh-CN"/>
        </w:rPr>
        <w:t>化</w:t>
      </w:r>
      <w:r>
        <w:rPr>
          <w:rFonts w:hint="eastAsia"/>
          <w:lang w:val="en-US" w:eastAsia="zh-CN"/>
        </w:rPr>
        <w:t>、工厂化进程</w:t>
      </w:r>
      <w:r>
        <w:rPr>
          <w:rFonts w:hint="default"/>
          <w:lang w:val="en-US" w:eastAsia="zh-CN"/>
        </w:rPr>
        <w:t>，加强畜禽粪便</w:t>
      </w:r>
      <w:r>
        <w:rPr>
          <w:rFonts w:hint="eastAsia"/>
          <w:lang w:val="en-US" w:eastAsia="zh-CN"/>
        </w:rPr>
        <w:t>绿色</w:t>
      </w:r>
      <w:r>
        <w:rPr>
          <w:rFonts w:hint="eastAsia" w:ascii="仿宋_GB2312" w:eastAsia="仿宋_GB2312"/>
          <w:lang w:val="en-US" w:eastAsia="zh-CN"/>
        </w:rPr>
        <w:t>生态循环</w:t>
      </w:r>
      <w:r>
        <w:rPr>
          <w:rFonts w:hint="default"/>
          <w:lang w:val="en-US" w:eastAsia="zh-CN"/>
        </w:rPr>
        <w:t>处理利用</w:t>
      </w:r>
      <w:r>
        <w:rPr>
          <w:rFonts w:hint="eastAsia" w:ascii="仿宋_GB2312" w:eastAsia="仿宋_GB2312"/>
          <w:lang w:val="en-US" w:eastAsia="zh-CN"/>
        </w:rPr>
        <w:t>，</w:t>
      </w:r>
      <w:r>
        <w:rPr>
          <w:rFonts w:hint="default"/>
          <w:lang w:val="en-US" w:eastAsia="zh-CN"/>
        </w:rPr>
        <w:t>加强</w:t>
      </w:r>
      <w:r>
        <w:rPr>
          <w:rFonts w:hint="eastAsia" w:ascii="仿宋_GB2312" w:eastAsia="仿宋_GB2312"/>
          <w:lang w:val="en-US" w:eastAsia="zh-CN"/>
        </w:rPr>
        <w:t>动物疫情</w:t>
      </w:r>
      <w:r>
        <w:rPr>
          <w:rFonts w:hint="default"/>
          <w:lang w:val="en-US" w:eastAsia="zh-CN"/>
        </w:rPr>
        <w:t>防疫</w:t>
      </w:r>
      <w:r>
        <w:rPr>
          <w:rFonts w:hint="eastAsia" w:ascii="仿宋_GB2312" w:eastAsia="仿宋_GB2312"/>
          <w:lang w:val="en-US" w:eastAsia="zh-CN"/>
        </w:rPr>
        <w:t>工作</w:t>
      </w:r>
      <w:r>
        <w:rPr>
          <w:rFonts w:hint="default"/>
          <w:lang w:val="en-US" w:eastAsia="zh-CN"/>
        </w:rPr>
        <w:t>。</w:t>
      </w:r>
    </w:p>
    <w:p>
      <w:pPr>
        <w:rPr>
          <w:rFonts w:hint="default"/>
          <w:lang w:val="en-US" w:eastAsia="zh-CN"/>
        </w:rPr>
      </w:pPr>
      <w:r>
        <w:rPr>
          <w:rFonts w:hint="eastAsia" w:ascii="仿宋_GB2312" w:eastAsia="仿宋_GB2312"/>
          <w:b/>
          <w:bCs/>
          <w:lang w:val="en-US" w:eastAsia="zh-CN"/>
        </w:rPr>
        <w:t>二是积极</w:t>
      </w:r>
      <w:r>
        <w:rPr>
          <w:rFonts w:hint="eastAsia"/>
          <w:b/>
          <w:bCs/>
          <w:lang w:val="en-US" w:eastAsia="zh-CN"/>
        </w:rPr>
        <w:t>承接实验动物养殖。</w:t>
      </w:r>
      <w:r>
        <w:rPr>
          <w:rFonts w:hint="eastAsia"/>
          <w:b w:val="0"/>
          <w:bCs w:val="0"/>
          <w:lang w:val="en-US" w:eastAsia="zh-CN"/>
        </w:rPr>
        <w:t>对接崖州湾科技城科研机构需求</w:t>
      </w:r>
      <w:r>
        <w:rPr>
          <w:rFonts w:hint="eastAsia" w:ascii="仿宋_GB2312" w:eastAsia="仿宋_GB2312"/>
          <w:b w:val="0"/>
          <w:bCs w:val="0"/>
          <w:lang w:val="en-US" w:eastAsia="zh-CN"/>
        </w:rPr>
        <w:t>发展实验动物养殖，</w:t>
      </w:r>
      <w:r>
        <w:rPr>
          <w:rFonts w:hint="eastAsia"/>
          <w:lang w:val="en-US" w:eastAsia="zh-CN"/>
        </w:rPr>
        <w:t>服务</w:t>
      </w:r>
      <w:r>
        <w:rPr>
          <w:rFonts w:hint="default"/>
          <w:lang w:val="en-US" w:eastAsia="zh-CN"/>
        </w:rPr>
        <w:t>科技城模式动物研发应用环节，为医药科研、医药研发服务外包（CRO）、器官移植实验、生物制品实验提供大批量实验用猪、猴、犬、兔、鼠等模式动物。</w:t>
      </w:r>
    </w:p>
    <w:p>
      <w:pPr>
        <w:pStyle w:val="5"/>
        <w:numPr>
          <w:ilvl w:val="0"/>
          <w:numId w:val="14"/>
        </w:numPr>
        <w:bidi w:val="0"/>
        <w:ind w:left="0" w:leftChars="0" w:firstLine="624" w:firstLineChars="0"/>
        <w:rPr>
          <w:rFonts w:hint="default"/>
          <w:lang w:val="en-US" w:eastAsia="zh-CN"/>
        </w:rPr>
      </w:pPr>
      <w:bookmarkStart w:id="251" w:name="_Toc11647"/>
      <w:bookmarkStart w:id="252" w:name="_Toc14395"/>
      <w:bookmarkStart w:id="253" w:name="_Toc25469"/>
      <w:r>
        <w:rPr>
          <w:rFonts w:hint="eastAsia"/>
          <w:lang w:val="en-US" w:eastAsia="zh-CN"/>
        </w:rPr>
        <w:t>鼓励农业信息化示范，推进5G+农业项目在崖州率先落地</w:t>
      </w:r>
      <w:bookmarkEnd w:id="251"/>
      <w:bookmarkEnd w:id="252"/>
      <w:bookmarkEnd w:id="253"/>
    </w:p>
    <w:p>
      <w:pPr>
        <w:rPr>
          <w:rFonts w:hint="default"/>
          <w:lang w:val="en-US" w:eastAsia="zh-CN"/>
        </w:rPr>
      </w:pPr>
      <w:r>
        <w:rPr>
          <w:rFonts w:hint="default"/>
          <w:lang w:val="en-US" w:eastAsia="zh-CN"/>
        </w:rPr>
        <w:t>科技成为现代农业发展的核心驱动力</w:t>
      </w:r>
      <w:r>
        <w:rPr>
          <w:rFonts w:hint="eastAsia" w:ascii="仿宋_GB2312" w:eastAsia="仿宋_GB2312"/>
          <w:lang w:val="en-US" w:eastAsia="zh-CN"/>
        </w:rPr>
        <w:t>，</w:t>
      </w:r>
      <w:r>
        <w:rPr>
          <w:rFonts w:hint="default"/>
          <w:lang w:val="en-US" w:eastAsia="zh-CN"/>
        </w:rPr>
        <w:t>荷兰、以色列</w:t>
      </w:r>
      <w:r>
        <w:rPr>
          <w:rFonts w:hint="eastAsia" w:ascii="仿宋_GB2312" w:eastAsia="仿宋_GB2312"/>
          <w:lang w:val="en-US" w:eastAsia="zh-CN"/>
        </w:rPr>
        <w:t>等</w:t>
      </w:r>
      <w:r>
        <w:rPr>
          <w:rFonts w:hint="default"/>
          <w:lang w:val="en-US" w:eastAsia="zh-CN"/>
        </w:rPr>
        <w:t>农业强国充分利用物联网、农业大数据、节水农业技术等实现农业生产高效化、精准化、标准化。崖州发挥与科技城紧密相连的</w:t>
      </w:r>
      <w:r>
        <w:rPr>
          <w:rFonts w:hint="eastAsia" w:ascii="仿宋_GB2312" w:eastAsia="仿宋_GB2312"/>
          <w:lang w:val="en-US" w:eastAsia="zh-CN"/>
        </w:rPr>
        <w:t>地缘</w:t>
      </w:r>
      <w:r>
        <w:rPr>
          <w:rFonts w:hint="default"/>
          <w:lang w:val="en-US" w:eastAsia="zh-CN"/>
        </w:rPr>
        <w:t>优势，引入</w:t>
      </w:r>
      <w:r>
        <w:rPr>
          <w:rFonts w:hint="eastAsia" w:ascii="仿宋_GB2312" w:eastAsia="仿宋_GB2312"/>
          <w:lang w:val="en-US" w:eastAsia="zh-CN"/>
        </w:rPr>
        <w:t>现代化</w:t>
      </w:r>
      <w:r>
        <w:rPr>
          <w:rFonts w:hint="default"/>
          <w:lang w:val="en-US" w:eastAsia="zh-CN"/>
        </w:rPr>
        <w:t>设施农业、农业物联网、信息自动化等手段，发展现代化设施种植、工厂化</w:t>
      </w:r>
      <w:r>
        <w:rPr>
          <w:rFonts w:hint="eastAsia"/>
          <w:lang w:val="en-US" w:eastAsia="zh-CN"/>
        </w:rPr>
        <w:t>种植</w:t>
      </w:r>
      <w:r>
        <w:rPr>
          <w:rFonts w:hint="default"/>
          <w:lang w:val="en-US" w:eastAsia="zh-CN"/>
        </w:rPr>
        <w:t>。</w:t>
      </w:r>
      <w:r>
        <w:rPr>
          <w:rFonts w:hint="eastAsia" w:ascii="仿宋_GB2312" w:eastAsia="仿宋_GB2312"/>
          <w:lang w:val="en-US" w:eastAsia="zh-CN"/>
        </w:rPr>
        <w:t>在</w:t>
      </w:r>
      <w:r>
        <w:rPr>
          <w:rFonts w:hint="default"/>
          <w:lang w:val="en-US" w:eastAsia="zh-CN"/>
        </w:rPr>
        <w:t>5G时代下加强农业与信息技术融合，</w:t>
      </w:r>
      <w:r>
        <w:rPr>
          <w:rFonts w:hint="eastAsia"/>
          <w:lang w:val="en-US" w:eastAsia="zh-CN"/>
        </w:rPr>
        <w:t>推进</w:t>
      </w:r>
      <w:r>
        <w:rPr>
          <w:rFonts w:hint="default"/>
          <w:lang w:val="en-US" w:eastAsia="zh-CN"/>
        </w:rPr>
        <w:t>信息技术在南繁育种田间管理、冬季瓜菜高效种植、芒果</w:t>
      </w:r>
      <w:r>
        <w:rPr>
          <w:rFonts w:hint="eastAsia"/>
          <w:lang w:val="en-US" w:eastAsia="zh-CN"/>
        </w:rPr>
        <w:t>种植</w:t>
      </w:r>
      <w:r>
        <w:rPr>
          <w:rFonts w:hint="default"/>
          <w:lang w:val="en-US" w:eastAsia="zh-CN"/>
        </w:rPr>
        <w:t>中的应用</w:t>
      </w:r>
      <w:r>
        <w:rPr>
          <w:rFonts w:hint="eastAsia"/>
          <w:lang w:val="en-US" w:eastAsia="zh-CN"/>
        </w:rPr>
        <w:t>，</w:t>
      </w:r>
      <w:r>
        <w:rPr>
          <w:rFonts w:hint="default"/>
          <w:lang w:val="en-US" w:eastAsia="zh-CN"/>
        </w:rPr>
        <w:t>打造</w:t>
      </w:r>
      <w:r>
        <w:rPr>
          <w:rFonts w:hint="eastAsia" w:ascii="仿宋_GB2312" w:eastAsia="仿宋_GB2312"/>
          <w:lang w:val="en-US" w:eastAsia="zh-CN"/>
        </w:rPr>
        <w:t>农业领域</w:t>
      </w:r>
      <w:r>
        <w:rPr>
          <w:rFonts w:hint="default"/>
          <w:lang w:val="en-US" w:eastAsia="zh-CN"/>
        </w:rPr>
        <w:t>垂直应用典范，提供优质高效农产品，实现农业生产方式彻底变革，打造叫响全球的现代农业示范基地。</w:t>
      </w:r>
    </w:p>
    <w:p>
      <w:pPr>
        <w:pStyle w:val="4"/>
        <w:bidi w:val="0"/>
        <w:rPr>
          <w:rFonts w:hint="eastAsia"/>
          <w:lang w:val="en-US" w:eastAsia="zh-CN"/>
        </w:rPr>
      </w:pPr>
      <w:bookmarkStart w:id="254" w:name="_Toc14780"/>
      <w:bookmarkStart w:id="255" w:name="_Toc13194"/>
      <w:bookmarkStart w:id="256" w:name="_Toc2143"/>
      <w:r>
        <w:rPr>
          <w:rFonts w:hint="eastAsia"/>
          <w:lang w:val="en-US" w:eastAsia="zh-CN"/>
        </w:rPr>
        <w:t>二、现代渔业发展路径</w:t>
      </w:r>
      <w:bookmarkEnd w:id="254"/>
      <w:bookmarkEnd w:id="255"/>
      <w:bookmarkEnd w:id="256"/>
    </w:p>
    <w:p>
      <w:pPr>
        <w:pStyle w:val="5"/>
        <w:numPr>
          <w:ilvl w:val="0"/>
          <w:numId w:val="14"/>
        </w:numPr>
        <w:bidi w:val="0"/>
        <w:ind w:left="0" w:leftChars="0" w:firstLine="624" w:firstLineChars="0"/>
        <w:rPr>
          <w:rFonts w:hint="default"/>
          <w:lang w:val="en-US" w:eastAsia="zh-CN"/>
        </w:rPr>
      </w:pPr>
      <w:bookmarkStart w:id="257" w:name="_Toc9099"/>
      <w:bookmarkStart w:id="258" w:name="_Toc10586"/>
      <w:bookmarkStart w:id="259" w:name="_Toc6451"/>
      <w:r>
        <w:rPr>
          <w:rFonts w:hint="eastAsia"/>
          <w:lang w:val="en-US" w:eastAsia="zh-CN"/>
        </w:rPr>
        <w:t>发展工厂化循环水养殖，推进养殖业向集约、高效、生态转变</w:t>
      </w:r>
      <w:bookmarkEnd w:id="257"/>
      <w:bookmarkEnd w:id="258"/>
      <w:bookmarkEnd w:id="259"/>
    </w:p>
    <w:p>
      <w:pPr>
        <w:rPr>
          <w:rFonts w:hint="default" w:ascii="仿宋_GB2312" w:eastAsia="仿宋_GB2312"/>
          <w:lang w:val="en-US" w:eastAsia="zh-CN"/>
        </w:rPr>
      </w:pPr>
      <w:r>
        <w:rPr>
          <w:rFonts w:hint="eastAsia" w:ascii="仿宋_GB2312" w:eastAsia="仿宋_GB2312"/>
          <w:lang w:val="en-US" w:eastAsia="zh-CN"/>
        </w:rPr>
        <w:t>按照陆海统筹、科学规划、生态优先、合理开发、综合管理、协调发展的原则，</w:t>
      </w:r>
      <w:r>
        <w:rPr>
          <w:rFonts w:hint="eastAsia"/>
          <w:lang w:val="en-US" w:eastAsia="zh-CN"/>
        </w:rPr>
        <w:t>全省</w:t>
      </w:r>
      <w:r>
        <w:rPr>
          <w:rFonts w:hint="default"/>
          <w:lang w:val="en-US" w:eastAsia="zh-CN"/>
        </w:rPr>
        <w:t>实施海岸线</w:t>
      </w:r>
      <w:r>
        <w:rPr>
          <w:rFonts w:hint="eastAsia" w:ascii="仿宋_GB2312" w:eastAsia="仿宋_GB2312"/>
          <w:lang w:val="en-US" w:eastAsia="zh-CN"/>
        </w:rPr>
        <w:t>陆域2</w:t>
      </w:r>
      <w:r>
        <w:rPr>
          <w:rFonts w:hint="default"/>
          <w:lang w:val="en-US" w:eastAsia="zh-CN"/>
        </w:rPr>
        <w:t>00米</w:t>
      </w:r>
      <w:r>
        <w:rPr>
          <w:rFonts w:hint="eastAsia" w:ascii="仿宋_GB2312" w:eastAsia="仿宋_GB2312"/>
          <w:lang w:val="en-US" w:eastAsia="zh-CN"/>
        </w:rPr>
        <w:t>生态红线范围内鱼虾塘和养殖场专项清理工作</w:t>
      </w:r>
      <w:r>
        <w:rPr>
          <w:rFonts w:hint="eastAsia"/>
          <w:lang w:val="en-US" w:eastAsia="zh-CN"/>
        </w:rPr>
        <w:t>，</w:t>
      </w:r>
      <w:r>
        <w:rPr>
          <w:rFonts w:hint="eastAsia" w:ascii="仿宋_GB2312" w:eastAsia="仿宋_GB2312"/>
          <w:lang w:val="en-US" w:eastAsia="zh-CN"/>
        </w:rPr>
        <w:t>崖州需清理2430亩，2019年已完成900亩，2020年计划完成1000亩，2021年</w:t>
      </w:r>
      <w:r>
        <w:rPr>
          <w:rFonts w:hint="eastAsia"/>
          <w:lang w:val="en-US" w:eastAsia="zh-CN"/>
        </w:rPr>
        <w:t>要求</w:t>
      </w:r>
      <w:r>
        <w:rPr>
          <w:rFonts w:hint="eastAsia" w:ascii="仿宋_GB2312" w:eastAsia="仿宋_GB2312"/>
          <w:lang w:val="en-US" w:eastAsia="zh-CN"/>
        </w:rPr>
        <w:t>全部完成</w:t>
      </w:r>
      <w:r>
        <w:rPr>
          <w:rFonts w:hint="eastAsia"/>
          <w:lang w:val="en-US" w:eastAsia="zh-CN"/>
        </w:rPr>
        <w:t>，届时全区鱼虾塘面积减少1/3，需要尽早谋划发展工厂化循环水养殖，弥补渔业养殖规模的下滑，</w:t>
      </w:r>
      <w:r>
        <w:rPr>
          <w:rFonts w:hint="eastAsia" w:ascii="仿宋_GB2312" w:eastAsia="仿宋_GB2312"/>
          <w:lang w:val="en-US" w:eastAsia="zh-CN"/>
        </w:rPr>
        <w:t>实现产业腾笼换鸟、转型升级。</w:t>
      </w:r>
    </w:p>
    <w:p>
      <w:pPr>
        <w:rPr>
          <w:rFonts w:hint="eastAsia" w:ascii="仿宋_GB2312" w:eastAsia="仿宋_GB2312"/>
          <w:b w:val="0"/>
          <w:bCs w:val="0"/>
          <w:lang w:val="en-US" w:eastAsia="zh-CN"/>
        </w:rPr>
      </w:pPr>
      <w:r>
        <w:rPr>
          <w:rFonts w:hint="eastAsia" w:ascii="仿宋_GB2312" w:eastAsia="仿宋_GB2312"/>
          <w:b/>
          <w:bCs/>
          <w:lang w:val="en-US" w:eastAsia="zh-CN"/>
        </w:rPr>
        <w:t>一是建设工厂化养殖</w:t>
      </w:r>
      <w:r>
        <w:rPr>
          <w:rFonts w:hint="eastAsia"/>
          <w:b/>
          <w:bCs/>
          <w:lang w:val="en-US" w:eastAsia="zh-CN"/>
        </w:rPr>
        <w:t>基地。</w:t>
      </w:r>
      <w:r>
        <w:rPr>
          <w:rFonts w:hint="eastAsia" w:ascii="仿宋_GB2312" w:eastAsia="仿宋_GB2312"/>
          <w:b w:val="0"/>
          <w:bCs w:val="0"/>
          <w:lang w:val="en-US" w:eastAsia="zh-CN"/>
        </w:rPr>
        <w:t>在镇海、盐灶等适宜地区建设工厂化循环水养殖基地，具有管理高效、环境可控、</w:t>
      </w:r>
      <w:r>
        <w:rPr>
          <w:rFonts w:hint="eastAsia"/>
          <w:b w:val="0"/>
          <w:bCs w:val="0"/>
          <w:lang w:val="en-US" w:eastAsia="zh-CN"/>
        </w:rPr>
        <w:t>用地集约</w:t>
      </w:r>
      <w:r>
        <w:rPr>
          <w:rFonts w:hint="eastAsia" w:ascii="仿宋_GB2312" w:eastAsia="仿宋_GB2312"/>
          <w:b w:val="0"/>
          <w:bCs w:val="0"/>
          <w:lang w:val="en-US" w:eastAsia="zh-CN"/>
        </w:rPr>
        <w:t>、产量高、品质可靠、均衡上市等优点，是海水养殖产业的</w:t>
      </w:r>
      <w:r>
        <w:rPr>
          <w:rFonts w:hint="eastAsia"/>
          <w:b w:val="0"/>
          <w:bCs w:val="0"/>
          <w:lang w:val="en-US" w:eastAsia="zh-CN"/>
        </w:rPr>
        <w:t>升级方向</w:t>
      </w:r>
      <w:r>
        <w:rPr>
          <w:rFonts w:hint="eastAsia" w:ascii="仿宋_GB2312" w:eastAsia="仿宋_GB2312"/>
          <w:b w:val="0"/>
          <w:bCs w:val="0"/>
          <w:lang w:val="en-US" w:eastAsia="zh-CN"/>
        </w:rPr>
        <w:t>。</w:t>
      </w:r>
    </w:p>
    <w:p>
      <w:pPr>
        <w:rPr>
          <w:rFonts w:hint="default" w:ascii="仿宋_GB2312" w:eastAsia="仿宋_GB2312"/>
          <w:b w:val="0"/>
          <w:bCs w:val="0"/>
          <w:lang w:val="en-US" w:eastAsia="zh-CN"/>
        </w:rPr>
      </w:pPr>
      <w:r>
        <w:rPr>
          <w:rFonts w:hint="eastAsia"/>
          <w:b/>
          <w:bCs/>
          <w:lang w:val="en-US" w:eastAsia="zh-CN"/>
        </w:rPr>
        <w:t>二是</w:t>
      </w:r>
      <w:r>
        <w:rPr>
          <w:rFonts w:hint="default" w:ascii="仿宋_GB2312" w:eastAsia="仿宋_GB2312"/>
          <w:b/>
          <w:bCs/>
          <w:lang w:val="en-US" w:eastAsia="zh-CN"/>
        </w:rPr>
        <w:t>创新</w:t>
      </w:r>
      <w:r>
        <w:rPr>
          <w:rFonts w:hint="eastAsia"/>
          <w:b/>
          <w:bCs/>
          <w:lang w:val="en-US" w:eastAsia="zh-CN"/>
        </w:rPr>
        <w:t>基地建设运营</w:t>
      </w:r>
      <w:r>
        <w:rPr>
          <w:rFonts w:hint="default" w:ascii="仿宋_GB2312" w:eastAsia="仿宋_GB2312"/>
          <w:b/>
          <w:bCs/>
          <w:lang w:val="en-US" w:eastAsia="zh-CN"/>
        </w:rPr>
        <w:t>方式</w:t>
      </w:r>
      <w:r>
        <w:rPr>
          <w:rFonts w:hint="eastAsia"/>
          <w:b/>
          <w:bCs/>
          <w:lang w:val="en-US" w:eastAsia="zh-CN"/>
        </w:rPr>
        <w:t>。</w:t>
      </w:r>
      <w:r>
        <w:rPr>
          <w:rFonts w:hint="default" w:ascii="仿宋_GB2312" w:eastAsia="仿宋_GB2312"/>
          <w:b w:val="0"/>
          <w:bCs w:val="0"/>
          <w:lang w:val="en-US" w:eastAsia="zh-CN"/>
        </w:rPr>
        <w:t>由运营投资方实施水产养殖</w:t>
      </w:r>
      <w:r>
        <w:rPr>
          <w:rFonts w:hint="eastAsia"/>
          <w:b w:val="0"/>
          <w:bCs w:val="0"/>
          <w:lang w:val="en-US" w:eastAsia="zh-CN"/>
        </w:rPr>
        <w:t>基地</w:t>
      </w:r>
      <w:r>
        <w:rPr>
          <w:rFonts w:hint="default" w:ascii="仿宋_GB2312" w:eastAsia="仿宋_GB2312"/>
          <w:b w:val="0"/>
          <w:bCs w:val="0"/>
          <w:lang w:val="en-US" w:eastAsia="zh-CN"/>
        </w:rPr>
        <w:t>建设</w:t>
      </w:r>
      <w:r>
        <w:rPr>
          <w:rFonts w:hint="eastAsia"/>
          <w:b w:val="0"/>
          <w:bCs w:val="0"/>
          <w:lang w:val="en-US" w:eastAsia="zh-CN"/>
        </w:rPr>
        <w:t>运营</w:t>
      </w:r>
      <w:r>
        <w:rPr>
          <w:rFonts w:hint="default" w:ascii="仿宋_GB2312" w:eastAsia="仿宋_GB2312"/>
          <w:b w:val="0"/>
          <w:bCs w:val="0"/>
          <w:lang w:val="en-US" w:eastAsia="zh-CN"/>
        </w:rPr>
        <w:t>工作，建设完善的尾水环保处理设施，建设双联、三联标准化养殖厂房，引入养殖水体物联网实时预警监控和全自动净水投料系统，打造工厂化养殖示范工程。</w:t>
      </w:r>
    </w:p>
    <w:p>
      <w:pPr>
        <w:rPr>
          <w:rFonts w:hint="default" w:ascii="仿宋_GB2312" w:eastAsia="仿宋_GB2312"/>
          <w:b w:val="0"/>
          <w:bCs w:val="0"/>
          <w:lang w:val="en-US" w:eastAsia="zh-CN"/>
        </w:rPr>
      </w:pPr>
      <w:r>
        <w:rPr>
          <w:rFonts w:hint="eastAsia"/>
          <w:b/>
          <w:bCs/>
          <w:lang w:val="en-US" w:eastAsia="zh-CN"/>
        </w:rPr>
        <w:t>三是优化生产组织方式。</w:t>
      </w:r>
      <w:r>
        <w:rPr>
          <w:rFonts w:hint="default" w:ascii="仿宋_GB2312" w:eastAsia="仿宋_GB2312"/>
          <w:b w:val="0"/>
          <w:bCs w:val="0"/>
          <w:lang w:val="en-US" w:eastAsia="zh-CN"/>
        </w:rPr>
        <w:t>优先向清理整治养殖户出租标准厂房，向</w:t>
      </w:r>
      <w:r>
        <w:rPr>
          <w:rFonts w:hint="eastAsia"/>
          <w:b w:val="0"/>
          <w:bCs w:val="0"/>
          <w:lang w:val="en-US" w:eastAsia="zh-CN"/>
        </w:rPr>
        <w:t>园区</w:t>
      </w:r>
      <w:r>
        <w:rPr>
          <w:rFonts w:hint="default" w:ascii="仿宋_GB2312" w:eastAsia="仿宋_GB2312"/>
          <w:b w:val="0"/>
          <w:bCs w:val="0"/>
          <w:lang w:val="en-US" w:eastAsia="zh-CN"/>
        </w:rPr>
        <w:t>养殖户提供技术、种苗、渠道、污水处理等服务，形成由</w:t>
      </w:r>
      <w:r>
        <w:rPr>
          <w:rFonts w:hint="eastAsia"/>
          <w:b w:val="0"/>
          <w:bCs w:val="0"/>
          <w:lang w:val="en-US" w:eastAsia="zh-CN"/>
        </w:rPr>
        <w:t>基地</w:t>
      </w:r>
      <w:r>
        <w:rPr>
          <w:rFonts w:hint="default" w:ascii="仿宋_GB2312" w:eastAsia="仿宋_GB2312"/>
          <w:b w:val="0"/>
          <w:bCs w:val="0"/>
          <w:lang w:val="en-US" w:eastAsia="zh-CN"/>
        </w:rPr>
        <w:t>、技术单位、养殖户、加工企业、渠道</w:t>
      </w:r>
      <w:r>
        <w:rPr>
          <w:rFonts w:hint="eastAsia"/>
          <w:b w:val="0"/>
          <w:bCs w:val="0"/>
          <w:lang w:val="en-US" w:eastAsia="zh-CN"/>
        </w:rPr>
        <w:t>经销</w:t>
      </w:r>
      <w:r>
        <w:rPr>
          <w:rFonts w:hint="default" w:ascii="仿宋_GB2312" w:eastAsia="仿宋_GB2312"/>
          <w:b w:val="0"/>
          <w:bCs w:val="0"/>
          <w:lang w:val="en-US" w:eastAsia="zh-CN"/>
        </w:rPr>
        <w:t>商组成的水产共同体，实现水产养殖业转型升级。</w:t>
      </w:r>
    </w:p>
    <w:tbl>
      <w:tblPr>
        <w:tblStyle w:val="19"/>
        <w:tblW w:w="5000" w:type="pct"/>
        <w:tblInd w:w="0" w:type="dxa"/>
        <w:tblBorders>
          <w:top w:val="thinThickSmallGap" w:color="auto" w:sz="2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thinThickSmallGap" w:color="auto" w:sz="2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22" w:type="dxa"/>
            <w:tcBorders>
              <w:top w:val="thinThickSmallGap" w:color="A4A4A4" w:sz="12" w:space="0"/>
              <w:bottom w:val="thickThinSmallGap" w:color="A4A4A4" w:sz="12" w:space="0"/>
            </w:tcBorders>
            <w:vAlign w:val="top"/>
          </w:tcPr>
          <w:p>
            <w:pPr>
              <w:pStyle w:val="31"/>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b/>
                <w:bCs/>
                <w:sz w:val="24"/>
                <w:szCs w:val="24"/>
                <w:lang w:val="en-US" w:eastAsia="zh-CN"/>
              </w:rPr>
            </w:pPr>
            <w:r>
              <w:rPr>
                <w:rFonts w:hint="eastAsia"/>
                <w:b/>
                <w:bCs/>
                <w:sz w:val="24"/>
                <w:szCs w:val="24"/>
                <w:lang w:val="en-US" w:eastAsia="zh-CN"/>
              </w:rPr>
              <w:t>专栏12  水产养殖业发展前景看好</w:t>
            </w:r>
          </w:p>
          <w:p>
            <w:pPr>
              <w:pStyle w:val="3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val="0"/>
                <w:bCs w:val="0"/>
                <w:sz w:val="24"/>
                <w:szCs w:val="24"/>
                <w:lang w:val="en-US" w:eastAsia="zh-CN"/>
              </w:rPr>
            </w:pPr>
            <w:r>
              <w:rPr>
                <w:rFonts w:hint="eastAsia"/>
                <w:b w:val="0"/>
                <w:bCs w:val="0"/>
                <w:sz w:val="24"/>
                <w:szCs w:val="24"/>
                <w:lang w:val="en-US" w:eastAsia="zh-CN"/>
              </w:rPr>
              <w:t>受到人口增加、收入提高、城市化发展等综合作用推动，以及水产品产量供给充分和更高效的配送渠道等有利因素，全球人均水产品消费量逐年增长。2014年，全球水产养殖产品的消费量历史上首次超过野生捕捞渔业产品，预计2030年，直接供人类食用的水产品供应量中超过60%来自水产养殖业。</w:t>
            </w:r>
          </w:p>
          <w:p>
            <w:pPr>
              <w:pStyle w:val="3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b w:val="0"/>
                <w:bCs w:val="0"/>
                <w:sz w:val="24"/>
                <w:szCs w:val="24"/>
                <w:lang w:val="en-US" w:eastAsia="zh-CN"/>
              </w:rPr>
            </w:pPr>
            <w:r>
              <w:rPr>
                <w:rFonts w:hint="eastAsia"/>
                <w:b w:val="0"/>
                <w:bCs w:val="0"/>
                <w:sz w:val="24"/>
                <w:szCs w:val="24"/>
                <w:lang w:val="en-US" w:eastAsia="zh-CN"/>
              </w:rPr>
              <w:t>我国是全球最大的渔业生产国和水产养殖国，是全球水产品贸易大国，对全球水产行业的影响不断增强。海洋水产品为我国城乡居民膳食营养提供了近1/3的优质动物蛋白，已成为我国食物供给的重要来源，也是维护我国粮食安全的新途径。根据联合国粮农组织的预测，到2030年，我国水产品总量达到7000万吨，中国市场海鲜消费将占到全球消费总量的38%。由于捕捞能力远超渔业资源可持续发展承受能力，我国实行渔业资源总量管理制度，大幅缩减捕捞产量，发展水产养殖是水产业必然趋势，市场发展空间巨大。</w:t>
            </w:r>
          </w:p>
        </w:tc>
      </w:tr>
    </w:tbl>
    <w:p>
      <w:pPr>
        <w:pStyle w:val="5"/>
        <w:numPr>
          <w:ilvl w:val="0"/>
          <w:numId w:val="14"/>
        </w:numPr>
        <w:bidi w:val="0"/>
        <w:ind w:left="0" w:leftChars="0" w:firstLine="624" w:firstLineChars="0"/>
        <w:rPr>
          <w:rFonts w:hint="eastAsia"/>
          <w:lang w:val="en-US" w:eastAsia="zh-CN"/>
        </w:rPr>
      </w:pPr>
      <w:bookmarkStart w:id="260" w:name="_Toc14356"/>
      <w:bookmarkStart w:id="261" w:name="_Toc11538"/>
      <w:bookmarkStart w:id="262" w:name="_Toc21948"/>
      <w:r>
        <w:rPr>
          <w:rFonts w:hint="eastAsia"/>
          <w:lang w:val="en-US" w:eastAsia="zh-CN"/>
        </w:rPr>
        <w:t>推进近岸合规养殖区向生态化、现代化、集约化方向升级</w:t>
      </w:r>
      <w:bookmarkEnd w:id="260"/>
      <w:bookmarkEnd w:id="261"/>
      <w:bookmarkEnd w:id="262"/>
    </w:p>
    <w:p>
      <w:pPr>
        <w:rPr>
          <w:rFonts w:hint="eastAsia"/>
          <w:lang w:val="en-US" w:eastAsia="zh-CN"/>
        </w:rPr>
      </w:pPr>
      <w:r>
        <w:rPr>
          <w:rFonts w:hint="eastAsia" w:ascii="仿宋_GB2312" w:eastAsia="仿宋_GB2312"/>
          <w:b/>
          <w:bCs/>
          <w:lang w:val="en-US" w:eastAsia="zh-CN"/>
        </w:rPr>
        <w:t>一是高度重视海水养殖区环保工作</w:t>
      </w:r>
      <w:r>
        <w:rPr>
          <w:rFonts w:hint="eastAsia"/>
          <w:b/>
          <w:bCs/>
          <w:lang w:val="en-US" w:eastAsia="zh-CN"/>
        </w:rPr>
        <w:t>。</w:t>
      </w:r>
      <w:r>
        <w:rPr>
          <w:rFonts w:hint="eastAsia"/>
          <w:lang w:val="en-US" w:eastAsia="zh-CN"/>
        </w:rPr>
        <w:t>重点</w:t>
      </w:r>
      <w:r>
        <w:rPr>
          <w:rFonts w:hint="eastAsia" w:ascii="仿宋_GB2312" w:eastAsia="仿宋_GB2312"/>
          <w:lang w:val="en-US" w:eastAsia="zh-CN"/>
        </w:rPr>
        <w:t>对保留养殖项目开展养殖尾水收集处理工作，尾水排放严格执行国家相关标准。加强养殖区水环境监测，监控海水养殖区域水质变化，加强养殖区沉淀池、过滤坝、曝气池、生物处理池等养殖尾水处理设施建设监督检查，海水养殖尾水处理达标排放，为海水养殖业持续健康发展提供保障。</w:t>
      </w:r>
    </w:p>
    <w:p>
      <w:pPr>
        <w:rPr>
          <w:rFonts w:hint="eastAsia"/>
          <w:lang w:val="en-US" w:eastAsia="zh-CN"/>
        </w:rPr>
      </w:pPr>
      <w:r>
        <w:rPr>
          <w:rFonts w:hint="eastAsia" w:ascii="仿宋_GB2312" w:eastAsia="仿宋_GB2312"/>
          <w:b/>
          <w:bCs/>
          <w:lang w:val="en-US" w:eastAsia="zh-CN"/>
        </w:rPr>
        <w:t>二是</w:t>
      </w:r>
      <w:r>
        <w:rPr>
          <w:rFonts w:hint="eastAsia"/>
          <w:b/>
          <w:bCs/>
          <w:lang w:val="en-US" w:eastAsia="zh-CN"/>
        </w:rPr>
        <w:t>鼓励</w:t>
      </w:r>
      <w:r>
        <w:rPr>
          <w:rFonts w:hint="eastAsia" w:ascii="仿宋_GB2312" w:eastAsia="仿宋_GB2312"/>
          <w:b/>
          <w:bCs/>
          <w:lang w:val="en-US" w:eastAsia="zh-CN"/>
        </w:rPr>
        <w:t>低产老旧养殖场标准化升级改造</w:t>
      </w:r>
      <w:r>
        <w:rPr>
          <w:rFonts w:hint="eastAsia"/>
          <w:b/>
          <w:bCs/>
          <w:lang w:val="en-US" w:eastAsia="zh-CN"/>
        </w:rPr>
        <w:t>。</w:t>
      </w:r>
      <w:r>
        <w:rPr>
          <w:rFonts w:hint="eastAsia"/>
          <w:lang w:val="en-US" w:eastAsia="zh-CN"/>
        </w:rPr>
        <w:t>主要</w:t>
      </w:r>
      <w:r>
        <w:rPr>
          <w:rFonts w:hint="eastAsia" w:ascii="仿宋_GB2312" w:eastAsia="仿宋_GB2312"/>
          <w:lang w:val="en-US" w:eastAsia="zh-CN"/>
        </w:rPr>
        <w:t>升级改造进排水系统、电路设备、道路设施、技术装备等，推广节能减排、集约化、生态化养殖模式。</w:t>
      </w:r>
    </w:p>
    <w:p>
      <w:pPr>
        <w:rPr>
          <w:rFonts w:hint="eastAsia"/>
          <w:lang w:val="en-US" w:eastAsia="zh-CN"/>
        </w:rPr>
      </w:pPr>
      <w:r>
        <w:rPr>
          <w:rFonts w:hint="eastAsia" w:ascii="仿宋_GB2312" w:eastAsia="仿宋_GB2312"/>
          <w:b/>
          <w:bCs/>
          <w:lang w:val="en-US" w:eastAsia="zh-CN"/>
        </w:rPr>
        <w:t>三是推进以养殖容量为管理目标的生态养殖</w:t>
      </w:r>
      <w:r>
        <w:rPr>
          <w:rFonts w:hint="eastAsia"/>
          <w:b/>
          <w:bCs/>
          <w:lang w:val="en-US" w:eastAsia="zh-CN"/>
        </w:rPr>
        <w:t>。</w:t>
      </w:r>
      <w:r>
        <w:rPr>
          <w:rFonts w:hint="eastAsia" w:ascii="仿宋_GB2312" w:eastAsia="仿宋_GB2312"/>
          <w:lang w:val="en-US" w:eastAsia="zh-CN"/>
        </w:rPr>
        <w:t>推广疫苗免疫、生态防控等病害防控方法，加强用药技术指导，倡导少用药、不用药理念，推进科学用药。推广循环水养殖、鱼虾蟹贝藻立体综合混养等生态循环碳汇养殖模式。</w:t>
      </w:r>
    </w:p>
    <w:p>
      <w:pPr>
        <w:pStyle w:val="5"/>
        <w:numPr>
          <w:ilvl w:val="0"/>
          <w:numId w:val="14"/>
        </w:numPr>
        <w:bidi w:val="0"/>
        <w:ind w:left="0" w:leftChars="0" w:firstLine="624" w:firstLineChars="0"/>
        <w:rPr>
          <w:rFonts w:hint="default"/>
          <w:lang w:val="en-US" w:eastAsia="zh-CN"/>
        </w:rPr>
      </w:pPr>
      <w:bookmarkStart w:id="263" w:name="_Toc21026"/>
      <w:bookmarkStart w:id="264" w:name="_Toc23906"/>
      <w:bookmarkStart w:id="265" w:name="_Toc19456"/>
      <w:r>
        <w:rPr>
          <w:rFonts w:hint="eastAsia"/>
          <w:lang w:val="en-US" w:eastAsia="zh-CN"/>
        </w:rPr>
        <w:t>发展海洋牧场深水养殖，打造中心渔港基地母港，“往深海走”</w:t>
      </w:r>
      <w:bookmarkEnd w:id="263"/>
      <w:bookmarkEnd w:id="264"/>
      <w:bookmarkEnd w:id="265"/>
    </w:p>
    <w:p>
      <w:pPr>
        <w:rPr>
          <w:rFonts w:hint="eastAsia" w:ascii="仿宋_GB2312" w:eastAsia="仿宋_GB2312"/>
          <w:lang w:val="en-US" w:eastAsia="zh-CN"/>
        </w:rPr>
      </w:pPr>
      <w:r>
        <w:rPr>
          <w:rFonts w:hint="eastAsia" w:ascii="仿宋_GB2312" w:eastAsia="仿宋_GB2312"/>
          <w:lang w:val="en-US" w:eastAsia="zh-CN"/>
        </w:rPr>
        <w:t>崖州</w:t>
      </w:r>
      <w:r>
        <w:rPr>
          <w:rFonts w:hint="eastAsia"/>
          <w:lang w:val="en-US" w:eastAsia="zh-CN"/>
        </w:rPr>
        <w:t>直</w:t>
      </w:r>
      <w:r>
        <w:rPr>
          <w:rFonts w:hint="eastAsia" w:ascii="仿宋_GB2312" w:eastAsia="仿宋_GB2312"/>
          <w:lang w:val="en-US" w:eastAsia="zh-CN"/>
        </w:rPr>
        <w:t>面广阔南海，生物多样性十分丰富，适合多种名贵大型经济鱼类生长</w:t>
      </w:r>
      <w:r>
        <w:rPr>
          <w:rFonts w:hint="eastAsia"/>
          <w:lang w:val="en-US" w:eastAsia="zh-CN"/>
        </w:rPr>
        <w:t>，应积极发展海洋牧场深水养殖，实现渔业“往深海走”</w:t>
      </w:r>
      <w:r>
        <w:rPr>
          <w:rFonts w:hint="eastAsia" w:ascii="仿宋_GB2312" w:eastAsia="仿宋_GB2312"/>
          <w:lang w:val="en-US" w:eastAsia="zh-CN"/>
        </w:rPr>
        <w:t>。</w:t>
      </w:r>
    </w:p>
    <w:p>
      <w:pPr>
        <w:rPr>
          <w:rFonts w:hint="eastAsia" w:ascii="仿宋_GB2312" w:eastAsia="仿宋_GB2312"/>
          <w:lang w:val="en-US" w:eastAsia="zh-CN"/>
        </w:rPr>
      </w:pPr>
      <w:r>
        <w:rPr>
          <w:rFonts w:hint="eastAsia" w:ascii="仿宋_GB2312" w:eastAsia="仿宋_GB2312"/>
          <w:b/>
          <w:bCs/>
          <w:lang w:val="en-US" w:eastAsia="zh-CN"/>
        </w:rPr>
        <w:t>一是</w:t>
      </w:r>
      <w:r>
        <w:rPr>
          <w:rFonts w:hint="default"/>
          <w:b/>
          <w:bCs/>
          <w:lang w:val="en-US" w:eastAsia="zh-CN"/>
        </w:rPr>
        <w:t>建设琼南海洋牧场区</w:t>
      </w:r>
      <w:r>
        <w:rPr>
          <w:rFonts w:hint="eastAsia"/>
          <w:b/>
          <w:bCs/>
          <w:lang w:val="en-US" w:eastAsia="zh-CN"/>
        </w:rPr>
        <w:t>。</w:t>
      </w:r>
      <w:r>
        <w:rPr>
          <w:rFonts w:hint="default"/>
          <w:lang w:val="en-US" w:eastAsia="zh-CN"/>
        </w:rPr>
        <w:t>建设人工鱼礁、人工珊瑚礁、海藻场</w:t>
      </w:r>
      <w:r>
        <w:rPr>
          <w:rFonts w:hint="eastAsia"/>
          <w:lang w:val="en-US" w:eastAsia="zh-CN"/>
        </w:rPr>
        <w:t>，</w:t>
      </w:r>
      <w:r>
        <w:rPr>
          <w:rFonts w:hint="eastAsia" w:ascii="仿宋_GB2312" w:eastAsia="仿宋_GB2312"/>
          <w:lang w:val="en-US" w:eastAsia="zh-CN"/>
        </w:rPr>
        <w:t>修复</w:t>
      </w:r>
      <w:r>
        <w:rPr>
          <w:rFonts w:hint="default"/>
          <w:lang w:val="en-US" w:eastAsia="zh-CN"/>
        </w:rPr>
        <w:t>海藻床</w:t>
      </w:r>
      <w:r>
        <w:rPr>
          <w:rFonts w:hint="eastAsia" w:ascii="仿宋_GB2312" w:eastAsia="仿宋_GB2312"/>
          <w:lang w:val="en-US" w:eastAsia="zh-CN"/>
        </w:rPr>
        <w:t>生态</w:t>
      </w:r>
      <w:r>
        <w:rPr>
          <w:rFonts w:hint="eastAsia"/>
          <w:lang w:val="en-US" w:eastAsia="zh-CN"/>
        </w:rPr>
        <w:t>，实施增殖放流</w:t>
      </w:r>
      <w:r>
        <w:rPr>
          <w:rFonts w:hint="eastAsia" w:ascii="仿宋_GB2312" w:eastAsia="仿宋_GB2312"/>
          <w:lang w:val="en-US" w:eastAsia="zh-CN"/>
        </w:rPr>
        <w:t>。</w:t>
      </w:r>
    </w:p>
    <w:p>
      <w:pPr>
        <w:rPr>
          <w:rFonts w:hint="default"/>
          <w:lang w:val="en-US" w:eastAsia="zh-CN"/>
        </w:rPr>
      </w:pPr>
      <w:r>
        <w:rPr>
          <w:rFonts w:hint="eastAsia" w:ascii="仿宋_GB2312" w:eastAsia="仿宋_GB2312"/>
          <w:b/>
          <w:bCs/>
          <w:lang w:val="en-US" w:eastAsia="zh-CN"/>
        </w:rPr>
        <w:t>二是</w:t>
      </w:r>
      <w:r>
        <w:rPr>
          <w:rFonts w:hint="eastAsia"/>
          <w:b/>
          <w:bCs/>
          <w:lang w:val="en-US" w:eastAsia="zh-CN"/>
        </w:rPr>
        <w:t>发展大型工船网箱养殖。</w:t>
      </w:r>
      <w:r>
        <w:rPr>
          <w:rFonts w:hint="eastAsia" w:ascii="仿宋_GB2312" w:eastAsia="仿宋_GB2312"/>
          <w:lang w:val="en-US" w:eastAsia="zh-CN"/>
        </w:rPr>
        <w:t>抓住全球海洋工程装备需求低迷、海工制造企业转型契机，</w:t>
      </w:r>
      <w:r>
        <w:rPr>
          <w:rFonts w:hint="default"/>
          <w:lang w:val="en-US" w:eastAsia="zh-CN"/>
        </w:rPr>
        <w:t>引入</w:t>
      </w:r>
      <w:r>
        <w:rPr>
          <w:rFonts w:hint="eastAsia"/>
          <w:lang w:val="en-US" w:eastAsia="zh-CN"/>
        </w:rPr>
        <w:t>国内外</w:t>
      </w:r>
      <w:r>
        <w:rPr>
          <w:rFonts w:hint="eastAsia" w:ascii="仿宋_GB2312" w:eastAsia="仿宋_GB2312"/>
          <w:lang w:val="en-US" w:eastAsia="zh-CN"/>
        </w:rPr>
        <w:t>海洋牧场</w:t>
      </w:r>
      <w:r>
        <w:rPr>
          <w:rFonts w:hint="default"/>
          <w:lang w:val="en-US" w:eastAsia="zh-CN"/>
        </w:rPr>
        <w:t>行业头部企业</w:t>
      </w:r>
      <w:r>
        <w:rPr>
          <w:rFonts w:hint="eastAsia" w:ascii="仿宋_GB2312" w:eastAsia="仿宋_GB2312"/>
          <w:lang w:val="en-US" w:eastAsia="zh-CN"/>
        </w:rPr>
        <w:t>，</w:t>
      </w:r>
      <w:r>
        <w:rPr>
          <w:rFonts w:hint="default"/>
          <w:b w:val="0"/>
          <w:bCs w:val="0"/>
          <w:lang w:val="en-US" w:eastAsia="zh-CN"/>
        </w:rPr>
        <w:t>发展深远海、坐底式、抗风浪大型网箱养殖工船</w:t>
      </w:r>
      <w:r>
        <w:rPr>
          <w:rFonts w:hint="default"/>
          <w:lang w:val="en-US" w:eastAsia="zh-CN"/>
        </w:rPr>
        <w:t>，养殖高附加值深水鱼类。</w:t>
      </w:r>
    </w:p>
    <w:p>
      <w:pPr>
        <w:rPr>
          <w:rFonts w:hint="eastAsia" w:ascii="仿宋_GB2312" w:eastAsia="仿宋_GB2312"/>
          <w:b w:val="0"/>
          <w:bCs w:val="0"/>
          <w:lang w:val="en-US" w:eastAsia="zh-CN"/>
        </w:rPr>
      </w:pPr>
      <w:r>
        <w:rPr>
          <w:rFonts w:hint="eastAsia" w:ascii="仿宋_GB2312" w:eastAsia="仿宋_GB2312"/>
          <w:b/>
          <w:bCs/>
          <w:lang w:val="en-US" w:eastAsia="zh-CN"/>
        </w:rPr>
        <w:t>三是</w:t>
      </w:r>
      <w:r>
        <w:rPr>
          <w:rFonts w:hint="eastAsia"/>
          <w:b/>
          <w:bCs/>
          <w:lang w:val="en-US" w:eastAsia="zh-CN"/>
        </w:rPr>
        <w:t>发展近岸养殖。</w:t>
      </w:r>
      <w:r>
        <w:rPr>
          <w:rFonts w:hint="eastAsia"/>
          <w:b w:val="0"/>
          <w:bCs w:val="0"/>
          <w:lang w:val="en-US" w:eastAsia="zh-CN"/>
        </w:rPr>
        <w:t>支持在近岸区域发展</w:t>
      </w:r>
      <w:r>
        <w:rPr>
          <w:rFonts w:hint="eastAsia" w:ascii="仿宋_GB2312" w:eastAsia="仿宋_GB2312"/>
          <w:b w:val="0"/>
          <w:bCs w:val="0"/>
          <w:lang w:val="en-US" w:eastAsia="zh-CN"/>
        </w:rPr>
        <w:t>网箱养殖、吊笼（筏式）养殖</w:t>
      </w:r>
      <w:r>
        <w:rPr>
          <w:rFonts w:hint="eastAsia"/>
          <w:b w:val="0"/>
          <w:bCs w:val="0"/>
          <w:lang w:val="en-US" w:eastAsia="zh-CN"/>
        </w:rPr>
        <w:t>，支持发展人工鱼礁等开放式养殖用海。</w:t>
      </w:r>
    </w:p>
    <w:p>
      <w:pPr>
        <w:rPr>
          <w:rFonts w:hint="eastAsia"/>
          <w:lang w:val="en-US" w:eastAsia="zh-CN"/>
        </w:rPr>
      </w:pPr>
      <w:r>
        <w:rPr>
          <w:rFonts w:hint="eastAsia" w:ascii="仿宋_GB2312" w:eastAsia="仿宋_GB2312"/>
          <w:b/>
          <w:bCs/>
          <w:lang w:val="en-US" w:eastAsia="zh-CN"/>
        </w:rPr>
        <w:t>四是</w:t>
      </w:r>
      <w:r>
        <w:rPr>
          <w:rFonts w:hint="eastAsia"/>
          <w:b/>
          <w:bCs/>
          <w:lang w:val="en-US" w:eastAsia="zh-CN"/>
        </w:rPr>
        <w:t>用好自贸港政策。</w:t>
      </w:r>
      <w:r>
        <w:rPr>
          <w:rFonts w:hint="eastAsia"/>
          <w:b w:val="0"/>
          <w:bCs w:val="0"/>
          <w:lang w:val="en-US" w:eastAsia="zh-CN"/>
        </w:rPr>
        <w:t>（1）用好贸易政策和航空政策，</w:t>
      </w:r>
      <w:r>
        <w:rPr>
          <w:rFonts w:hint="eastAsia" w:ascii="仿宋_GB2312" w:eastAsia="仿宋_GB2312"/>
          <w:b w:val="0"/>
          <w:bCs w:val="0"/>
          <w:lang w:val="en-US" w:eastAsia="zh-CN"/>
        </w:rPr>
        <w:t>开拓国内国外高端鱼类市场，</w:t>
      </w:r>
      <w:r>
        <w:rPr>
          <w:rFonts w:hint="eastAsia" w:ascii="仿宋_GB2312" w:eastAsia="仿宋_GB2312"/>
          <w:lang w:val="en-US" w:eastAsia="zh-CN"/>
        </w:rPr>
        <w:t>供应国内</w:t>
      </w:r>
      <w:r>
        <w:rPr>
          <w:rFonts w:hint="eastAsia"/>
          <w:lang w:val="en-US" w:eastAsia="zh-CN"/>
        </w:rPr>
        <w:t>和</w:t>
      </w:r>
      <w:r>
        <w:rPr>
          <w:rFonts w:hint="eastAsia" w:ascii="仿宋_GB2312" w:eastAsia="仿宋_GB2312"/>
          <w:lang w:val="en-US" w:eastAsia="zh-CN"/>
        </w:rPr>
        <w:t>日韩欧美地区</w:t>
      </w:r>
      <w:r>
        <w:rPr>
          <w:rFonts w:hint="eastAsia"/>
          <w:lang w:val="en-US" w:eastAsia="zh-CN"/>
        </w:rPr>
        <w:t>。（2）用好境外融资政策，</w:t>
      </w:r>
      <w:r>
        <w:rPr>
          <w:rFonts w:hint="eastAsia" w:ascii="仿宋_GB2312" w:eastAsia="仿宋_GB2312"/>
          <w:b w:val="0"/>
          <w:bCs w:val="0"/>
          <w:lang w:val="en-US" w:eastAsia="zh-CN"/>
        </w:rPr>
        <w:t>利用</w:t>
      </w:r>
      <w:r>
        <w:rPr>
          <w:rFonts w:hint="default"/>
          <w:b w:val="0"/>
          <w:bCs w:val="0"/>
          <w:lang w:val="en-US" w:eastAsia="zh-CN"/>
        </w:rPr>
        <w:t>境外低成本资金</w:t>
      </w:r>
      <w:r>
        <w:rPr>
          <w:rFonts w:hint="eastAsia" w:ascii="仿宋_GB2312" w:eastAsia="仿宋_GB2312"/>
          <w:b w:val="0"/>
          <w:bCs w:val="0"/>
          <w:lang w:val="en-US" w:eastAsia="zh-CN"/>
        </w:rPr>
        <w:t>解决深海养殖</w:t>
      </w:r>
      <w:r>
        <w:rPr>
          <w:rFonts w:hint="default"/>
          <w:b w:val="0"/>
          <w:bCs w:val="0"/>
          <w:lang w:val="en-US" w:eastAsia="zh-CN"/>
        </w:rPr>
        <w:t>投入高、资本</w:t>
      </w:r>
      <w:r>
        <w:rPr>
          <w:rFonts w:hint="eastAsia" w:ascii="仿宋_GB2312" w:eastAsia="仿宋_GB2312"/>
          <w:b w:val="0"/>
          <w:bCs w:val="0"/>
          <w:lang w:val="en-US" w:eastAsia="zh-CN"/>
        </w:rPr>
        <w:t>重</w:t>
      </w:r>
      <w:r>
        <w:rPr>
          <w:rFonts w:hint="eastAsia"/>
          <w:b w:val="0"/>
          <w:bCs w:val="0"/>
          <w:lang w:val="en-US" w:eastAsia="zh-CN"/>
        </w:rPr>
        <w:t>的</w:t>
      </w:r>
      <w:r>
        <w:rPr>
          <w:rFonts w:hint="eastAsia" w:ascii="仿宋_GB2312" w:eastAsia="仿宋_GB2312"/>
          <w:b w:val="0"/>
          <w:bCs w:val="0"/>
          <w:lang w:val="en-US" w:eastAsia="zh-CN"/>
        </w:rPr>
        <w:t>难题</w:t>
      </w:r>
      <w:r>
        <w:rPr>
          <w:rFonts w:hint="eastAsia"/>
          <w:b w:val="0"/>
          <w:bCs w:val="0"/>
          <w:lang w:val="en-US" w:eastAsia="zh-CN"/>
        </w:rPr>
        <w:t>。</w:t>
      </w:r>
    </w:p>
    <w:tbl>
      <w:tblPr>
        <w:tblStyle w:val="19"/>
        <w:tblW w:w="5000" w:type="pct"/>
        <w:tblInd w:w="0" w:type="dxa"/>
        <w:tblBorders>
          <w:top w:val="thinThickSmallGap" w:color="auto" w:sz="2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thinThickSmallGap" w:color="auto" w:sz="2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22" w:type="dxa"/>
            <w:tcBorders>
              <w:top w:val="thinThickSmallGap" w:color="A4A4A4" w:sz="12" w:space="0"/>
              <w:bottom w:val="thickThinSmallGap" w:color="A4A4A4" w:sz="12" w:space="0"/>
            </w:tcBorders>
            <w:vAlign w:val="top"/>
          </w:tcPr>
          <w:p>
            <w:pPr>
              <w:pStyle w:val="31"/>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b/>
                <w:bCs/>
                <w:sz w:val="24"/>
                <w:szCs w:val="24"/>
                <w:lang w:val="en-US" w:eastAsia="zh-CN"/>
              </w:rPr>
            </w:pPr>
            <w:r>
              <w:rPr>
                <w:rFonts w:hint="eastAsia"/>
                <w:b/>
                <w:bCs/>
                <w:sz w:val="24"/>
                <w:szCs w:val="24"/>
                <w:lang w:val="en-US" w:eastAsia="zh-CN"/>
              </w:rPr>
              <w:t>专栏13  崖州湾养殖水域规划指引</w:t>
            </w:r>
          </w:p>
          <w:p>
            <w:pPr>
              <w:pStyle w:val="3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val="0"/>
                <w:bCs w:val="0"/>
                <w:sz w:val="24"/>
                <w:szCs w:val="24"/>
                <w:lang w:val="en-US" w:eastAsia="zh-CN"/>
              </w:rPr>
            </w:pPr>
            <w:r>
              <w:rPr>
                <w:rFonts w:hint="eastAsia"/>
                <w:b w:val="0"/>
                <w:bCs w:val="0"/>
                <w:sz w:val="24"/>
                <w:szCs w:val="24"/>
                <w:lang w:val="en-US" w:eastAsia="zh-CN"/>
              </w:rPr>
              <w:t>崖州湾为岬间海湾，呈弯月型，海湾东部为基岩岬角，湾内避风条件好，中部、西部均为冲海积平原，海南第四大河流宁远河自此入海，海域水质好，海洋生态环境优良。宁远河河口海域有养殖池塘。该区水深适宜，水质佳，底质为沙，温度适中，宜发展抗风浪能力强的深水网箱养殖和鲍鱼、大珠母贝、扇贝等增殖繁育。该岸段近岸海域主要为崖州中心渔港建设用海、抗风浪深水网箱养殖和重要渔业品种增殖用海。</w:t>
            </w:r>
          </w:p>
          <w:p>
            <w:pPr>
              <w:pStyle w:val="3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val="0"/>
                <w:bCs w:val="0"/>
                <w:sz w:val="24"/>
                <w:szCs w:val="24"/>
                <w:lang w:val="en-US" w:eastAsia="zh-CN"/>
              </w:rPr>
            </w:pPr>
            <w:r>
              <w:rPr>
                <w:rFonts w:hint="eastAsia"/>
                <w:b w:val="0"/>
                <w:bCs w:val="0"/>
                <w:sz w:val="24"/>
                <w:szCs w:val="24"/>
                <w:lang w:val="en-US" w:eastAsia="zh-CN"/>
              </w:rPr>
              <w:t>崖州湾海域同时分布禁止养殖区、限制养殖区、养殖区。禁止养殖区包括海上旅游休闲娱乐区（东锣岛、西鼓岛、南山风景区海域），渔业基础设施区（崖州中心渔港海域），港口航运区（南山港海域）。限制养殖区包括生态保留区（镇海、长山海域），珍惜濒危物种集中分布区（东锣岛、西鼓岛以南海域）。海上养殖区分布在盐灶沿岸向西南方向海域。</w:t>
            </w:r>
          </w:p>
          <w:p>
            <w:pPr>
              <w:pStyle w:val="3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b w:val="0"/>
                <w:bCs w:val="0"/>
                <w:sz w:val="24"/>
                <w:szCs w:val="24"/>
                <w:lang w:val="en-US" w:eastAsia="zh-CN"/>
              </w:rPr>
            </w:pPr>
            <w:r>
              <w:rPr>
                <w:rFonts w:hint="default"/>
                <w:b w:val="0"/>
                <w:bCs w:val="0"/>
                <w:sz w:val="24"/>
                <w:szCs w:val="24"/>
                <w:lang w:val="en-US" w:eastAsia="zh-CN"/>
              </w:rPr>
              <w:t>海上养殖包括近岸网箱养殖、深水网箱养殖、吊笼（筏式）养殖等。海上养殖区应控制养殖规模，合理布局设施建设；近海海域可适当布置深水网箱、人工鱼礁等开放式养殖用海，但应严格控制规模和数量，避免影响该海域的传统捕捞生产；执行二类海水水质标准，一类海洋沉积物质量标准，一类海洋生物质量标准。</w:t>
            </w:r>
          </w:p>
          <w:p>
            <w:pPr>
              <w:pStyle w:val="31"/>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b w:val="0"/>
                <w:bCs w:val="0"/>
                <w:sz w:val="24"/>
                <w:szCs w:val="24"/>
                <w:lang w:val="en-US" w:eastAsia="zh-CN"/>
              </w:rPr>
            </w:pPr>
            <w:r>
              <w:rPr>
                <w:rFonts w:hint="eastAsia"/>
                <w:b w:val="0"/>
                <w:bCs w:val="0"/>
                <w:sz w:val="24"/>
                <w:szCs w:val="24"/>
                <w:lang w:val="en-US" w:eastAsia="zh-CN"/>
              </w:rPr>
              <w:drawing>
                <wp:inline distT="0" distB="0" distL="114300" distR="114300">
                  <wp:extent cx="5260975" cy="3475990"/>
                  <wp:effectExtent l="0" t="0" r="15875" b="10160"/>
                  <wp:docPr id="17" name="图片 1" descr="18三亚市养殖水域滩涂规划分幅图-崖州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 descr="18三亚市养殖水域滩涂规划分幅图-崖州湾.jpg"/>
                          <pic:cNvPicPr>
                            <a:picLocks noChangeAspect="1"/>
                          </pic:cNvPicPr>
                        </pic:nvPicPr>
                        <pic:blipFill>
                          <a:blip r:embed="rId16">
                            <a:lum bright="12000"/>
                          </a:blip>
                          <a:srcRect l="3806" t="7316" r="3806" b="6298"/>
                          <a:stretch>
                            <a:fillRect/>
                          </a:stretch>
                        </pic:blipFill>
                        <pic:spPr>
                          <a:xfrm>
                            <a:off x="0" y="0"/>
                            <a:ext cx="5260975" cy="3475990"/>
                          </a:xfrm>
                          <a:prstGeom prst="rect">
                            <a:avLst/>
                          </a:prstGeom>
                          <a:noFill/>
                          <a:ln>
                            <a:noFill/>
                          </a:ln>
                        </pic:spPr>
                      </pic:pic>
                    </a:graphicData>
                  </a:graphic>
                </wp:inline>
              </w:drawing>
            </w:r>
          </w:p>
          <w:p>
            <w:pPr>
              <w:pStyle w:val="31"/>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default"/>
                <w:b w:val="0"/>
                <w:bCs w:val="0"/>
                <w:sz w:val="24"/>
                <w:szCs w:val="24"/>
                <w:lang w:val="en-US" w:eastAsia="zh-CN"/>
              </w:rPr>
            </w:pPr>
            <w:r>
              <w:rPr>
                <w:rFonts w:hint="eastAsia"/>
                <w:b w:val="0"/>
                <w:bCs w:val="0"/>
                <w:sz w:val="24"/>
                <w:szCs w:val="24"/>
                <w:lang w:val="en-US" w:eastAsia="zh-CN"/>
              </w:rPr>
              <w:t>（根据</w:t>
            </w:r>
            <w:r>
              <w:rPr>
                <w:rFonts w:hint="eastAsia" w:ascii="楷体" w:hAnsi="楷体" w:eastAsia="楷体" w:cs="楷体"/>
                <w:b w:val="0"/>
                <w:bCs w:val="0"/>
                <w:sz w:val="24"/>
                <w:szCs w:val="24"/>
                <w:lang w:val="en-US" w:eastAsia="zh-CN"/>
              </w:rPr>
              <w:t>《</w:t>
            </w:r>
            <w:r>
              <w:rPr>
                <w:rFonts w:hint="eastAsia"/>
                <w:b w:val="0"/>
                <w:bCs w:val="0"/>
                <w:sz w:val="24"/>
                <w:szCs w:val="24"/>
                <w:lang w:val="en-US" w:eastAsia="zh-CN"/>
              </w:rPr>
              <w:t>三亚市养殖水域滩涂规划（2018-2030年）</w:t>
            </w:r>
            <w:r>
              <w:rPr>
                <w:rFonts w:hint="eastAsia" w:ascii="楷体" w:hAnsi="楷体" w:eastAsia="楷体" w:cs="楷体"/>
                <w:b w:val="0"/>
                <w:bCs w:val="0"/>
                <w:sz w:val="24"/>
                <w:szCs w:val="24"/>
                <w:lang w:val="en-US" w:eastAsia="zh-CN"/>
              </w:rPr>
              <w:t>》</w:t>
            </w:r>
            <w:r>
              <w:rPr>
                <w:rFonts w:hint="eastAsia"/>
                <w:b w:val="0"/>
                <w:bCs w:val="0"/>
                <w:sz w:val="24"/>
                <w:szCs w:val="24"/>
                <w:lang w:val="en-US" w:eastAsia="zh-CN"/>
              </w:rPr>
              <w:t>）</w:t>
            </w:r>
          </w:p>
        </w:tc>
      </w:tr>
    </w:tbl>
    <w:p>
      <w:pPr>
        <w:pStyle w:val="5"/>
        <w:numPr>
          <w:ilvl w:val="0"/>
          <w:numId w:val="14"/>
        </w:numPr>
        <w:bidi w:val="0"/>
        <w:ind w:left="0" w:leftChars="0" w:firstLine="624" w:firstLineChars="0"/>
        <w:rPr>
          <w:rFonts w:hint="eastAsia"/>
          <w:lang w:val="en-US" w:eastAsia="zh-CN"/>
        </w:rPr>
      </w:pPr>
      <w:bookmarkStart w:id="266" w:name="_Toc20626"/>
      <w:bookmarkStart w:id="267" w:name="_Toc16507"/>
      <w:bookmarkStart w:id="268" w:name="_Toc19143"/>
      <w:r>
        <w:rPr>
          <w:rFonts w:hint="eastAsia"/>
          <w:lang w:val="en-US" w:eastAsia="zh-CN"/>
        </w:rPr>
        <w:t>对接崖州湾科技城“水产种业硅谷”，发展水产苗种和特色养殖</w:t>
      </w:r>
      <w:bookmarkEnd w:id="266"/>
      <w:bookmarkEnd w:id="267"/>
      <w:bookmarkEnd w:id="268"/>
    </w:p>
    <w:p>
      <w:pPr>
        <w:rPr>
          <w:rFonts w:hint="eastAsia"/>
          <w:lang w:val="en-US" w:eastAsia="zh-CN"/>
        </w:rPr>
      </w:pPr>
      <w:r>
        <w:rPr>
          <w:rFonts w:hint="eastAsia"/>
          <w:b/>
          <w:bCs/>
          <w:lang w:val="en-US" w:eastAsia="zh-CN"/>
        </w:rPr>
        <w:t>一是</w:t>
      </w:r>
      <w:r>
        <w:rPr>
          <w:rFonts w:hint="eastAsia" w:ascii="仿宋_GB2312" w:eastAsia="仿宋_GB2312"/>
          <w:b/>
          <w:bCs/>
          <w:lang w:val="en-US" w:eastAsia="zh-CN"/>
        </w:rPr>
        <w:t>做好成果转化工作</w:t>
      </w:r>
      <w:r>
        <w:rPr>
          <w:rFonts w:hint="eastAsia"/>
          <w:b/>
          <w:bCs/>
          <w:lang w:val="en-US" w:eastAsia="zh-CN"/>
        </w:rPr>
        <w:t>。</w:t>
      </w:r>
      <w:r>
        <w:rPr>
          <w:rFonts w:hint="eastAsia"/>
          <w:lang w:val="en-US" w:eastAsia="zh-CN"/>
        </w:rPr>
        <w:t>延伸</w:t>
      </w:r>
      <w:r>
        <w:rPr>
          <w:rFonts w:hint="eastAsia" w:ascii="仿宋_GB2312" w:eastAsia="仿宋_GB2312"/>
          <w:lang w:val="en-US" w:eastAsia="zh-CN"/>
        </w:rPr>
        <w:t>崖州湾科技城“水产种业硅谷”</w:t>
      </w:r>
      <w:r>
        <w:rPr>
          <w:rFonts w:hint="eastAsia"/>
          <w:lang w:val="en-US" w:eastAsia="zh-CN"/>
        </w:rPr>
        <w:t>产业链条，</w:t>
      </w:r>
      <w:r>
        <w:rPr>
          <w:rFonts w:hint="eastAsia" w:ascii="仿宋_GB2312" w:eastAsia="仿宋_GB2312"/>
          <w:lang w:val="en-US" w:eastAsia="zh-CN"/>
        </w:rPr>
        <w:t>发展高价值鱼类、名贵鱼类、</w:t>
      </w:r>
      <w:r>
        <w:rPr>
          <w:rFonts w:hint="eastAsia"/>
          <w:lang w:val="en-US" w:eastAsia="zh-CN"/>
        </w:rPr>
        <w:t>热带观赏鱼、</w:t>
      </w:r>
      <w:r>
        <w:rPr>
          <w:rFonts w:hint="eastAsia" w:ascii="仿宋_GB2312" w:eastAsia="仿宋_GB2312"/>
          <w:lang w:val="en-US" w:eastAsia="zh-CN"/>
        </w:rPr>
        <w:t>水产新品种养殖</w:t>
      </w:r>
      <w:r>
        <w:rPr>
          <w:rFonts w:hint="eastAsia"/>
          <w:lang w:val="en-US" w:eastAsia="zh-CN"/>
        </w:rPr>
        <w:t>。</w:t>
      </w:r>
    </w:p>
    <w:p>
      <w:pPr>
        <w:rPr>
          <w:rFonts w:hint="eastAsia" w:ascii="仿宋_GB2312" w:eastAsia="仿宋_GB2312"/>
          <w:lang w:val="en-US" w:eastAsia="zh-CN"/>
        </w:rPr>
      </w:pPr>
      <w:r>
        <w:rPr>
          <w:rFonts w:hint="eastAsia"/>
          <w:b/>
          <w:bCs/>
          <w:lang w:val="en-US" w:eastAsia="zh-CN"/>
        </w:rPr>
        <w:t>二是发展水产苗种养殖。</w:t>
      </w:r>
      <w:r>
        <w:rPr>
          <w:rFonts w:hint="eastAsia"/>
          <w:lang w:val="en-US" w:eastAsia="zh-CN"/>
        </w:rPr>
        <w:t>发展鱼虾种苗、海珍品种苗养殖，</w:t>
      </w:r>
      <w:r>
        <w:rPr>
          <w:rFonts w:hint="eastAsia" w:ascii="仿宋_GB2312" w:eastAsia="仿宋_GB2312"/>
          <w:lang w:val="en-US" w:eastAsia="zh-CN"/>
        </w:rPr>
        <w:t>构建“育繁推”一体化的现代渔业种业体系，将水产苗种产业建设成为崖州的优势产业，为国内和“一带一路”沿线国家提供优质水产种苗。</w:t>
      </w:r>
    </w:p>
    <w:p>
      <w:pPr>
        <w:rPr>
          <w:rFonts w:hint="eastAsia" w:ascii="仿宋_GB2312" w:eastAsia="仿宋_GB2312"/>
          <w:lang w:val="en-US" w:eastAsia="zh-CN"/>
        </w:rPr>
      </w:pPr>
      <w:r>
        <w:rPr>
          <w:rFonts w:hint="eastAsia" w:ascii="仿宋_GB2312" w:eastAsia="仿宋_GB2312"/>
          <w:lang w:val="en-US" w:eastAsia="zh-CN"/>
        </w:rPr>
        <w:br w:type="page"/>
      </w:r>
    </w:p>
    <w:p>
      <w:pPr>
        <w:pStyle w:val="3"/>
        <w:bidi w:val="0"/>
        <w:rPr>
          <w:rFonts w:hint="eastAsia"/>
          <w:lang w:val="en-US" w:eastAsia="zh-CN"/>
        </w:rPr>
      </w:pPr>
      <w:bookmarkStart w:id="269" w:name="_Toc1982"/>
      <w:bookmarkStart w:id="270" w:name="_Toc23042"/>
      <w:bookmarkStart w:id="271" w:name="_Toc26513"/>
      <w:r>
        <w:rPr>
          <w:rFonts w:hint="eastAsia"/>
          <w:lang w:val="en-US" w:eastAsia="zh-CN"/>
        </w:rPr>
        <w:t>第四节  发展目标</w:t>
      </w:r>
      <w:bookmarkEnd w:id="269"/>
      <w:bookmarkEnd w:id="270"/>
      <w:bookmarkEnd w:id="271"/>
    </w:p>
    <w:p>
      <w:pPr>
        <w:pStyle w:val="4"/>
        <w:bidi w:val="0"/>
        <w:rPr>
          <w:rFonts w:hint="eastAsia"/>
          <w:lang w:val="en-US" w:eastAsia="zh-CN"/>
        </w:rPr>
      </w:pPr>
      <w:bookmarkStart w:id="272" w:name="_Toc21362"/>
      <w:bookmarkStart w:id="273" w:name="_Toc28677"/>
      <w:bookmarkStart w:id="274" w:name="_Toc14908"/>
      <w:r>
        <w:rPr>
          <w:rFonts w:hint="eastAsia"/>
          <w:lang w:val="en-US" w:eastAsia="zh-CN"/>
        </w:rPr>
        <w:t>一、细分领域</w:t>
      </w:r>
      <w:bookmarkEnd w:id="272"/>
      <w:bookmarkEnd w:id="273"/>
      <w:bookmarkEnd w:id="274"/>
    </w:p>
    <w:p>
      <w:pPr>
        <w:rPr>
          <w:rFonts w:hint="eastAsia"/>
          <w:lang w:val="en-US" w:eastAsia="zh-CN"/>
        </w:rPr>
      </w:pPr>
      <w:r>
        <w:rPr>
          <w:rFonts w:hint="eastAsia" w:ascii="仿宋_GB2312" w:eastAsia="仿宋_GB2312"/>
          <w:lang w:val="en-US" w:eastAsia="zh-CN"/>
        </w:rPr>
        <w:t>崖州区第</w:t>
      </w:r>
      <w:r>
        <w:rPr>
          <w:rFonts w:hint="eastAsia"/>
          <w:lang w:val="en-US" w:eastAsia="zh-CN"/>
        </w:rPr>
        <w:t>一</w:t>
      </w:r>
      <w:r>
        <w:rPr>
          <w:rFonts w:hint="eastAsia" w:ascii="仿宋_GB2312" w:eastAsia="仿宋_GB2312"/>
          <w:lang w:val="en-US" w:eastAsia="zh-CN"/>
        </w:rPr>
        <w:t>产业重点发展</w:t>
      </w:r>
      <w:r>
        <w:rPr>
          <w:rFonts w:hint="eastAsia"/>
          <w:b/>
          <w:bCs/>
          <w:lang w:val="en-US" w:eastAsia="zh-CN"/>
        </w:rPr>
        <w:t>热带特色高效农业</w:t>
      </w:r>
      <w:r>
        <w:rPr>
          <w:rFonts w:hint="eastAsia" w:ascii="仿宋_GB2312" w:eastAsia="仿宋_GB2312"/>
          <w:lang w:val="en-US" w:eastAsia="zh-CN"/>
        </w:rPr>
        <w:t>和</w:t>
      </w:r>
      <w:r>
        <w:rPr>
          <w:rFonts w:hint="eastAsia"/>
          <w:b/>
          <w:bCs/>
          <w:lang w:val="en-US" w:eastAsia="zh-CN"/>
        </w:rPr>
        <w:t>现代渔业</w:t>
      </w:r>
      <w:r>
        <w:rPr>
          <w:rFonts w:hint="eastAsia" w:ascii="仿宋_GB2312" w:eastAsia="仿宋_GB2312"/>
          <w:lang w:val="en-US" w:eastAsia="zh-CN"/>
        </w:rPr>
        <w:t>。</w:t>
      </w:r>
    </w:p>
    <w:p>
      <w:pPr>
        <w:rPr>
          <w:rFonts w:hint="eastAsia" w:ascii="仿宋_GB2312" w:eastAsia="仿宋_GB2312"/>
          <w:lang w:val="en-US" w:eastAsia="zh-CN"/>
        </w:rPr>
      </w:pPr>
      <w:r>
        <w:rPr>
          <w:rFonts w:hint="eastAsia" w:ascii="仿宋_GB2312" w:eastAsia="仿宋_GB2312"/>
          <w:lang w:val="en-US" w:eastAsia="zh-CN"/>
        </w:rPr>
        <w:t>热带特色高效农业重点发展</w:t>
      </w:r>
      <w:r>
        <w:rPr>
          <w:rFonts w:hint="eastAsia" w:ascii="仿宋_GB2312" w:eastAsia="仿宋_GB2312"/>
          <w:b/>
          <w:bCs/>
          <w:lang w:val="en-US" w:eastAsia="zh-CN"/>
        </w:rPr>
        <w:t>冬季瓜菜、热带水果、南繁育种及服务、特色种养殖</w:t>
      </w:r>
      <w:r>
        <w:rPr>
          <w:rFonts w:hint="eastAsia" w:ascii="仿宋_GB2312" w:eastAsia="仿宋_GB2312"/>
          <w:lang w:val="en-US" w:eastAsia="zh-CN"/>
        </w:rPr>
        <w:t>等细分领域。</w:t>
      </w:r>
    </w:p>
    <w:p>
      <w:pPr>
        <w:rPr>
          <w:rFonts w:hint="default" w:ascii="仿宋_GB2312" w:eastAsia="仿宋_GB2312"/>
          <w:lang w:val="en-US" w:eastAsia="zh-CN"/>
        </w:rPr>
      </w:pPr>
      <w:r>
        <w:rPr>
          <w:rFonts w:hint="eastAsia" w:ascii="仿宋_GB2312" w:eastAsia="仿宋_GB2312"/>
          <w:lang w:val="en-US" w:eastAsia="zh-CN"/>
        </w:rPr>
        <w:t>现代渔业重点发展</w:t>
      </w:r>
      <w:r>
        <w:rPr>
          <w:rFonts w:hint="eastAsia" w:ascii="仿宋_GB2312" w:eastAsia="仿宋_GB2312"/>
          <w:b/>
          <w:bCs/>
          <w:lang w:val="en-US" w:eastAsia="zh-CN"/>
        </w:rPr>
        <w:t>渔港经济、岸上养殖、深海养殖、水产捕捞</w:t>
      </w:r>
      <w:r>
        <w:rPr>
          <w:rFonts w:hint="eastAsia" w:ascii="仿宋_GB2312" w:eastAsia="仿宋_GB2312"/>
          <w:lang w:val="en-US" w:eastAsia="zh-CN"/>
        </w:rPr>
        <w:t>等细分领域。</w:t>
      </w:r>
    </w:p>
    <w:p>
      <w:pPr>
        <w:bidi w:val="0"/>
        <w:spacing w:line="240" w:lineRule="auto"/>
        <w:ind w:firstLine="0" w:firstLineChars="0"/>
        <w:jc w:val="center"/>
        <w:rPr>
          <w:rFonts w:hint="default" w:ascii="楷体" w:hAnsi="楷体" w:eastAsia="楷体" w:cs="楷体"/>
          <w:b w:val="0"/>
          <w:bCs w:val="0"/>
          <w:sz w:val="28"/>
          <w:szCs w:val="28"/>
          <w:lang w:val="en-US" w:eastAsia="zh-CN"/>
        </w:rPr>
      </w:pPr>
      <w:r>
        <w:rPr>
          <w:rFonts w:hint="eastAsia" w:ascii="楷体" w:hAnsi="楷体" w:eastAsia="楷体" w:cs="楷体"/>
          <w:b w:val="0"/>
          <w:bCs w:val="0"/>
          <w:sz w:val="28"/>
          <w:szCs w:val="28"/>
          <w:lang w:val="en-US" w:eastAsia="zh-CN"/>
        </w:rPr>
        <w:t>表15  第一产业发展方向和细分领域</w:t>
      </w:r>
    </w:p>
    <w:tbl>
      <w:tblPr>
        <w:tblStyle w:val="18"/>
        <w:tblW w:w="5000" w:type="pct"/>
        <w:jc w:val="center"/>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33"/>
        <w:gridCol w:w="1234"/>
        <w:gridCol w:w="6055"/>
      </w:tblGrid>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blHeader/>
          <w:jc w:val="center"/>
        </w:trPr>
        <w:tc>
          <w:tcPr>
            <w:tcW w:w="1233"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产业方向</w:t>
            </w:r>
          </w:p>
        </w:tc>
        <w:tc>
          <w:tcPr>
            <w:tcW w:w="123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细分领域</w:t>
            </w:r>
          </w:p>
        </w:tc>
        <w:tc>
          <w:tcPr>
            <w:tcW w:w="6055"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发展重点</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33" w:type="dxa"/>
            <w:vMerge w:val="restart"/>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1.热带特色高效农业</w:t>
            </w:r>
          </w:p>
        </w:tc>
        <w:tc>
          <w:tcPr>
            <w:tcW w:w="123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（1）冬季瓜菜</w:t>
            </w:r>
          </w:p>
        </w:tc>
        <w:tc>
          <w:tcPr>
            <w:tcW w:w="6055" w:type="dxa"/>
            <w:vAlign w:val="top"/>
          </w:tcPr>
          <w:p>
            <w:pPr>
              <w:keepNext w:val="0"/>
              <w:keepLines w:val="0"/>
              <w:pageBreakBefore w:val="0"/>
              <w:widowControl/>
              <w:numPr>
                <w:ilvl w:val="0"/>
                <w:numId w:val="15"/>
              </w:numPr>
              <w:suppressLineNumbers w:val="0"/>
              <w:kinsoku/>
              <w:wordWrap/>
              <w:overflowPunct/>
              <w:topLinePunct w:val="0"/>
              <w:autoSpaceDE/>
              <w:autoSpaceDN/>
              <w:bidi w:val="0"/>
              <w:adjustRightInd/>
              <w:snapToGrid/>
              <w:spacing w:line="240" w:lineRule="auto"/>
              <w:ind w:left="0" w:leftChars="0" w:firstLine="397"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升级瓜菜种植产业组织方式，以土地入股方式组建村集体企业，农民变股民、资金变股金、资源变资产，发展规模化、设施化、现代化农业</w:t>
            </w:r>
          </w:p>
          <w:p>
            <w:pPr>
              <w:keepNext w:val="0"/>
              <w:keepLines w:val="0"/>
              <w:pageBreakBefore w:val="0"/>
              <w:widowControl/>
              <w:numPr>
                <w:ilvl w:val="0"/>
                <w:numId w:val="15"/>
              </w:numPr>
              <w:suppressLineNumbers w:val="0"/>
              <w:kinsoku/>
              <w:wordWrap/>
              <w:overflowPunct/>
              <w:topLinePunct w:val="0"/>
              <w:autoSpaceDE/>
              <w:autoSpaceDN/>
              <w:bidi w:val="0"/>
              <w:adjustRightInd/>
              <w:snapToGrid/>
              <w:spacing w:line="240" w:lineRule="auto"/>
              <w:ind w:left="0" w:leftChars="0" w:firstLine="397"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加大农田基建投入，建设冬季瓜菜标准化生产基地和三亚市“菜篮子”生产基地</w:t>
            </w:r>
          </w:p>
          <w:p>
            <w:pPr>
              <w:keepNext w:val="0"/>
              <w:keepLines w:val="0"/>
              <w:pageBreakBefore w:val="0"/>
              <w:widowControl/>
              <w:numPr>
                <w:ilvl w:val="0"/>
                <w:numId w:val="15"/>
              </w:numPr>
              <w:suppressLineNumbers w:val="0"/>
              <w:kinsoku/>
              <w:wordWrap/>
              <w:overflowPunct/>
              <w:topLinePunct w:val="0"/>
              <w:autoSpaceDE/>
              <w:autoSpaceDN/>
              <w:bidi w:val="0"/>
              <w:adjustRightInd/>
              <w:snapToGrid/>
              <w:spacing w:line="240" w:lineRule="auto"/>
              <w:ind w:left="0" w:leftChars="0" w:firstLine="397"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宣传塑造“崖州瓜菜”整体品牌形象，注册“崖州豇豆”等农产品地理标志产品</w:t>
            </w:r>
          </w:p>
          <w:p>
            <w:pPr>
              <w:keepNext w:val="0"/>
              <w:keepLines w:val="0"/>
              <w:pageBreakBefore w:val="0"/>
              <w:widowControl/>
              <w:numPr>
                <w:ilvl w:val="0"/>
                <w:numId w:val="15"/>
              </w:numPr>
              <w:suppressLineNumbers w:val="0"/>
              <w:kinsoku/>
              <w:wordWrap/>
              <w:overflowPunct/>
              <w:topLinePunct w:val="0"/>
              <w:autoSpaceDE/>
              <w:autoSpaceDN/>
              <w:bidi w:val="0"/>
              <w:adjustRightInd/>
              <w:snapToGrid/>
              <w:spacing w:line="240" w:lineRule="auto"/>
              <w:ind w:left="0" w:leftChars="0" w:firstLine="397"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优化流通直销渠道，深度参与主销区渠道终端的大型O2O（线上线下）平台</w:t>
            </w:r>
          </w:p>
          <w:p>
            <w:pPr>
              <w:keepNext w:val="0"/>
              <w:keepLines w:val="0"/>
              <w:pageBreakBefore w:val="0"/>
              <w:widowControl/>
              <w:numPr>
                <w:ilvl w:val="0"/>
                <w:numId w:val="15"/>
              </w:numPr>
              <w:suppressLineNumbers w:val="0"/>
              <w:kinsoku/>
              <w:wordWrap/>
              <w:overflowPunct/>
              <w:topLinePunct w:val="0"/>
              <w:autoSpaceDE/>
              <w:autoSpaceDN/>
              <w:bidi w:val="0"/>
              <w:adjustRightInd/>
              <w:snapToGrid/>
              <w:spacing w:line="240" w:lineRule="auto"/>
              <w:ind w:left="0" w:leftChars="0" w:firstLine="397"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南繁瓜菜新品种科研成果就地转化、示范性推广种植</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33" w:type="dxa"/>
            <w:vMerge w:val="continue"/>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23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（2）热带水果</w:t>
            </w:r>
          </w:p>
        </w:tc>
        <w:tc>
          <w:tcPr>
            <w:tcW w:w="6055" w:type="dxa"/>
            <w:vAlign w:val="top"/>
          </w:tcPr>
          <w:p>
            <w:pPr>
              <w:keepNext w:val="0"/>
              <w:keepLines w:val="0"/>
              <w:pageBreakBefore w:val="0"/>
              <w:widowControl/>
              <w:numPr>
                <w:ilvl w:val="0"/>
                <w:numId w:val="16"/>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建设芒果、莲雾、蜜瓜等标准化种植示范基地和出口种植基地</w:t>
            </w:r>
          </w:p>
          <w:p>
            <w:pPr>
              <w:keepNext w:val="0"/>
              <w:keepLines w:val="0"/>
              <w:pageBreakBefore w:val="0"/>
              <w:widowControl/>
              <w:numPr>
                <w:ilvl w:val="0"/>
                <w:numId w:val="16"/>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把三亚芒果、三亚莲雾、三亚甜瓜地理标志产品纳入“崖州水果”整体品牌形象，创建一批知名商标品牌，形成品牌联合体</w:t>
            </w:r>
          </w:p>
          <w:p>
            <w:pPr>
              <w:keepNext w:val="0"/>
              <w:keepLines w:val="0"/>
              <w:pageBreakBefore w:val="0"/>
              <w:widowControl/>
              <w:numPr>
                <w:ilvl w:val="0"/>
                <w:numId w:val="16"/>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在生产、加工、销售等环节主动与互联网融合发展，培育一批互联网应用型农业经营主体</w:t>
            </w:r>
          </w:p>
          <w:p>
            <w:pPr>
              <w:keepNext w:val="0"/>
              <w:keepLines w:val="0"/>
              <w:pageBreakBefore w:val="0"/>
              <w:widowControl/>
              <w:numPr>
                <w:ilvl w:val="0"/>
                <w:numId w:val="16"/>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抓住自贸港重大政策机遇，向日韩俄欧盟等温带地区出口热带水果</w:t>
            </w:r>
          </w:p>
          <w:p>
            <w:pPr>
              <w:keepNext w:val="0"/>
              <w:keepLines w:val="0"/>
              <w:pageBreakBefore w:val="0"/>
              <w:widowControl/>
              <w:numPr>
                <w:ilvl w:val="0"/>
                <w:numId w:val="16"/>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促进热带新品种水果科研成果就地转化，开展示范性推广种植</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33" w:type="dxa"/>
            <w:vMerge w:val="continue"/>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23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（3）南繁育种及服务</w:t>
            </w:r>
          </w:p>
        </w:tc>
        <w:tc>
          <w:tcPr>
            <w:tcW w:w="6055" w:type="dxa"/>
            <w:vAlign w:val="top"/>
          </w:tcPr>
          <w:p>
            <w:pPr>
              <w:keepNext w:val="0"/>
              <w:keepLines w:val="0"/>
              <w:pageBreakBefore w:val="0"/>
              <w:widowControl/>
              <w:numPr>
                <w:ilvl w:val="0"/>
                <w:numId w:val="17"/>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持续开展高标准农田建设，保障国家南繁育种战略需要</w:t>
            </w:r>
          </w:p>
          <w:p>
            <w:pPr>
              <w:keepNext w:val="0"/>
              <w:keepLines w:val="0"/>
              <w:pageBreakBefore w:val="0"/>
              <w:widowControl/>
              <w:numPr>
                <w:ilvl w:val="0"/>
                <w:numId w:val="17"/>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围绕种子加工、仓储、物流等环节延长本地南繁育种产业链</w:t>
            </w:r>
          </w:p>
          <w:p>
            <w:pPr>
              <w:keepNext w:val="0"/>
              <w:keepLines w:val="0"/>
              <w:pageBreakBefore w:val="0"/>
              <w:widowControl/>
              <w:numPr>
                <w:ilvl w:val="0"/>
                <w:numId w:val="17"/>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创新合作机制，鼓励以土地使用权折价入股制种企业，分享种子增值收益</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33" w:type="dxa"/>
            <w:vMerge w:val="continue"/>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23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（4）特色种养殖</w:t>
            </w:r>
          </w:p>
        </w:tc>
        <w:tc>
          <w:tcPr>
            <w:tcW w:w="6055" w:type="dxa"/>
            <w:vAlign w:val="top"/>
          </w:tcPr>
          <w:p>
            <w:pPr>
              <w:keepNext w:val="0"/>
              <w:keepLines w:val="0"/>
              <w:pageBreakBefore w:val="0"/>
              <w:widowControl/>
              <w:numPr>
                <w:ilvl w:val="0"/>
                <w:numId w:val="18"/>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猪、猴、犬、兔、鼠等模式动物（实验动物）现代化工厂化封闭式养殖</w:t>
            </w:r>
          </w:p>
          <w:p>
            <w:pPr>
              <w:keepNext w:val="0"/>
              <w:keepLines w:val="0"/>
              <w:pageBreakBefore w:val="0"/>
              <w:widowControl/>
              <w:numPr>
                <w:ilvl w:val="0"/>
                <w:numId w:val="18"/>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结合“一村一品”，培育一批具有乡土特色的种植养殖基地</w:t>
            </w:r>
          </w:p>
          <w:p>
            <w:pPr>
              <w:keepNext w:val="0"/>
              <w:keepLines w:val="0"/>
              <w:pageBreakBefore w:val="0"/>
              <w:widowControl/>
              <w:numPr>
                <w:ilvl w:val="0"/>
                <w:numId w:val="18"/>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发展生猪、黑山羊、肉牛、家禽等畜禽规模化现代化养殖工厂</w:t>
            </w:r>
          </w:p>
          <w:p>
            <w:pPr>
              <w:keepNext w:val="0"/>
              <w:keepLines w:val="0"/>
              <w:pageBreakBefore w:val="0"/>
              <w:widowControl/>
              <w:numPr>
                <w:ilvl w:val="0"/>
                <w:numId w:val="18"/>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因地制宜发展睡莲、莲雾、百香果、槟榔种植庭院经济</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33" w:type="dxa"/>
            <w:vMerge w:val="restart"/>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2.现代渔业</w:t>
            </w:r>
          </w:p>
        </w:tc>
        <w:tc>
          <w:tcPr>
            <w:tcW w:w="123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（1）岸上养殖</w:t>
            </w:r>
          </w:p>
        </w:tc>
        <w:tc>
          <w:tcPr>
            <w:tcW w:w="6055" w:type="dxa"/>
            <w:vAlign w:val="top"/>
          </w:tcPr>
          <w:p>
            <w:pPr>
              <w:keepNext w:val="0"/>
              <w:keepLines w:val="0"/>
              <w:pageBreakBefore w:val="0"/>
              <w:widowControl/>
              <w:numPr>
                <w:ilvl w:val="0"/>
                <w:numId w:val="19"/>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发展工厂化循环水养殖，实现园区化运营管理</w:t>
            </w:r>
          </w:p>
          <w:p>
            <w:pPr>
              <w:keepNext w:val="0"/>
              <w:keepLines w:val="0"/>
              <w:pageBreakBefore w:val="0"/>
              <w:widowControl/>
              <w:numPr>
                <w:ilvl w:val="0"/>
                <w:numId w:val="19"/>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开展合规合法低产老旧养殖场标准化升级改造</w:t>
            </w:r>
          </w:p>
          <w:p>
            <w:pPr>
              <w:keepNext w:val="0"/>
              <w:keepLines w:val="0"/>
              <w:pageBreakBefore w:val="0"/>
              <w:widowControl/>
              <w:numPr>
                <w:ilvl w:val="0"/>
                <w:numId w:val="19"/>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对接崖州湾科技城创新链，发展种苗、高价值名贵鱼类、水产新品种、热带观赏鱼类养殖</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33" w:type="dxa"/>
            <w:vMerge w:val="continue"/>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23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（2）深海养殖</w:t>
            </w:r>
          </w:p>
        </w:tc>
        <w:tc>
          <w:tcPr>
            <w:tcW w:w="6055" w:type="dxa"/>
            <w:vAlign w:val="top"/>
          </w:tcPr>
          <w:p>
            <w:pPr>
              <w:keepNext w:val="0"/>
              <w:keepLines w:val="0"/>
              <w:pageBreakBefore w:val="0"/>
              <w:widowControl/>
              <w:numPr>
                <w:ilvl w:val="0"/>
                <w:numId w:val="20"/>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建设琼南海洋牧场</w:t>
            </w:r>
          </w:p>
          <w:p>
            <w:pPr>
              <w:keepNext w:val="0"/>
              <w:keepLines w:val="0"/>
              <w:pageBreakBefore w:val="0"/>
              <w:widowControl/>
              <w:numPr>
                <w:ilvl w:val="0"/>
                <w:numId w:val="20"/>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发展深远海、坐底式、抗风浪大型网箱养殖工船</w:t>
            </w:r>
          </w:p>
          <w:p>
            <w:pPr>
              <w:keepNext w:val="0"/>
              <w:keepLines w:val="0"/>
              <w:pageBreakBefore w:val="0"/>
              <w:widowControl/>
              <w:numPr>
                <w:ilvl w:val="0"/>
                <w:numId w:val="20"/>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发展深水抗风浪网箱养殖</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33" w:type="dxa"/>
            <w:vMerge w:val="continue"/>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23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（3）渔港经济</w:t>
            </w:r>
          </w:p>
        </w:tc>
        <w:tc>
          <w:tcPr>
            <w:tcW w:w="6055" w:type="dxa"/>
            <w:vAlign w:val="top"/>
          </w:tcPr>
          <w:p>
            <w:pPr>
              <w:keepNext w:val="0"/>
              <w:keepLines w:val="0"/>
              <w:pageBreakBefore w:val="0"/>
              <w:widowControl/>
              <w:numPr>
                <w:ilvl w:val="0"/>
                <w:numId w:val="21"/>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做好崖州中心渔港港航基础设施建设</w:t>
            </w:r>
          </w:p>
          <w:p>
            <w:pPr>
              <w:keepNext w:val="0"/>
              <w:keepLines w:val="0"/>
              <w:pageBreakBefore w:val="0"/>
              <w:widowControl/>
              <w:numPr>
                <w:ilvl w:val="0"/>
                <w:numId w:val="21"/>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发展海产品保税仓储加工交易，为国内外远洋捕捞船队提供免税后勤保障服务</w:t>
            </w:r>
          </w:p>
          <w:p>
            <w:pPr>
              <w:keepNext w:val="0"/>
              <w:keepLines w:val="0"/>
              <w:pageBreakBefore w:val="0"/>
              <w:widowControl/>
              <w:numPr>
                <w:ilvl w:val="0"/>
                <w:numId w:val="21"/>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打造深远海养殖基地母港，打造休闲渔业基地港</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33" w:type="dxa"/>
            <w:vMerge w:val="continue"/>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23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（4）水产捕捞</w:t>
            </w:r>
          </w:p>
        </w:tc>
        <w:tc>
          <w:tcPr>
            <w:tcW w:w="6055" w:type="dxa"/>
            <w:vAlign w:val="top"/>
          </w:tcPr>
          <w:p>
            <w:pPr>
              <w:keepNext w:val="0"/>
              <w:keepLines w:val="0"/>
              <w:pageBreakBefore w:val="0"/>
              <w:widowControl/>
              <w:numPr>
                <w:ilvl w:val="0"/>
                <w:numId w:val="22"/>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在总吨位不增加前提下有序推进小船换大船，提高生产效率</w:t>
            </w:r>
          </w:p>
        </w:tc>
      </w:tr>
    </w:tbl>
    <w:p>
      <w:pPr>
        <w:pStyle w:val="4"/>
        <w:bidi w:val="0"/>
        <w:rPr>
          <w:rFonts w:hint="eastAsia"/>
          <w:lang w:val="en-US" w:eastAsia="zh-CN"/>
        </w:rPr>
      </w:pPr>
      <w:bookmarkStart w:id="275" w:name="_Toc31215"/>
      <w:bookmarkStart w:id="276" w:name="_Toc16758"/>
      <w:bookmarkStart w:id="277" w:name="_Toc15390"/>
      <w:r>
        <w:rPr>
          <w:rFonts w:hint="eastAsia"/>
          <w:lang w:val="en-US" w:eastAsia="zh-CN"/>
        </w:rPr>
        <w:t>二、发展目标</w:t>
      </w:r>
      <w:bookmarkEnd w:id="275"/>
      <w:bookmarkEnd w:id="276"/>
      <w:bookmarkEnd w:id="277"/>
    </w:p>
    <w:p>
      <w:pPr>
        <w:rPr>
          <w:rFonts w:hint="eastAsia"/>
          <w:lang w:val="en-US" w:eastAsia="zh-CN"/>
        </w:rPr>
      </w:pPr>
      <w:r>
        <w:rPr>
          <w:rFonts w:hint="eastAsia"/>
          <w:lang w:val="en-US" w:eastAsia="zh-CN"/>
        </w:rPr>
        <w:t>到2025年，全区第一产业地区生产总值（GDP）达到30亿元，年均增速达到7.2%。</w:t>
      </w:r>
    </w:p>
    <w:p>
      <w:pPr>
        <w:rPr>
          <w:rFonts w:hint="eastAsia"/>
          <w:lang w:val="en-US" w:eastAsia="zh-CN"/>
        </w:rPr>
      </w:pPr>
      <w:r>
        <w:rPr>
          <w:rFonts w:hint="eastAsia"/>
          <w:lang w:val="en-US" w:eastAsia="zh-CN"/>
        </w:rPr>
        <w:t>到2035年，全区第一产业地区生产总值（GDP）达到60亿元，2025-2035年的年均增速达到7.2%。</w:t>
      </w:r>
    </w:p>
    <w:p>
      <w:pPr>
        <w:rPr>
          <w:rFonts w:hint="eastAsia"/>
          <w:lang w:val="en-US" w:eastAsia="zh-CN"/>
        </w:rPr>
      </w:pPr>
    </w:p>
    <w:p>
      <w:pPr>
        <w:rPr>
          <w:rFonts w:hint="eastAsia"/>
          <w:lang w:val="en-US" w:eastAsia="zh-CN"/>
        </w:rPr>
      </w:pPr>
    </w:p>
    <w:p>
      <w:pPr>
        <w:bidi w:val="0"/>
        <w:spacing w:line="240" w:lineRule="auto"/>
        <w:ind w:firstLine="0" w:firstLineChars="0"/>
        <w:jc w:val="center"/>
        <w:rPr>
          <w:rFonts w:hint="eastAsia" w:ascii="楷体" w:hAnsi="楷体" w:eastAsia="楷体" w:cs="楷体"/>
          <w:b w:val="0"/>
          <w:bCs w:val="0"/>
          <w:sz w:val="28"/>
          <w:szCs w:val="28"/>
          <w:lang w:val="en-US" w:eastAsia="zh-CN"/>
        </w:rPr>
      </w:pPr>
      <w:r>
        <w:rPr>
          <w:rFonts w:hint="eastAsia" w:ascii="楷体" w:hAnsi="楷体" w:eastAsia="楷体" w:cs="楷体"/>
          <w:b w:val="0"/>
          <w:bCs w:val="0"/>
          <w:sz w:val="28"/>
          <w:szCs w:val="28"/>
          <w:lang w:val="en-US" w:eastAsia="zh-CN"/>
        </w:rPr>
        <w:t>表16  第一产业产值预测表</w:t>
      </w:r>
    </w:p>
    <w:tbl>
      <w:tblPr>
        <w:tblStyle w:val="18"/>
        <w:tblW w:w="5000" w:type="pct"/>
        <w:tblInd w:w="0" w:type="dxa"/>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85"/>
        <w:gridCol w:w="630"/>
        <w:gridCol w:w="1163"/>
        <w:gridCol w:w="5376"/>
        <w:gridCol w:w="968"/>
      </w:tblGrid>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tblHeader/>
        </w:trPr>
        <w:tc>
          <w:tcPr>
            <w:tcW w:w="1015" w:type="dxa"/>
            <w:gridSpan w:val="2"/>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bCs/>
                <w:i w:val="0"/>
                <w:iCs w:val="0"/>
                <w:color w:val="000000"/>
                <w:kern w:val="2"/>
                <w:sz w:val="21"/>
                <w:szCs w:val="21"/>
                <w:u w:val="none"/>
                <w:lang w:val="en-US" w:eastAsia="zh-CN" w:bidi="ar"/>
              </w:rPr>
            </w:pPr>
            <w:r>
              <w:rPr>
                <w:rFonts w:hint="eastAsia" w:ascii="楷体" w:hAnsi="楷体" w:eastAsia="楷体" w:cs="楷体"/>
                <w:b/>
                <w:bCs/>
                <w:i w:val="0"/>
                <w:color w:val="000000"/>
                <w:kern w:val="2"/>
                <w:sz w:val="21"/>
                <w:szCs w:val="21"/>
                <w:u w:val="none"/>
                <w:lang w:val="en-US" w:eastAsia="zh-CN" w:bidi="ar"/>
              </w:rPr>
              <w:t>产业</w:t>
            </w:r>
          </w:p>
        </w:tc>
        <w:tc>
          <w:tcPr>
            <w:tcW w:w="1163" w:type="dxa"/>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bCs/>
                <w:i w:val="0"/>
                <w:iCs w:val="0"/>
                <w:color w:val="000000"/>
                <w:kern w:val="2"/>
                <w:sz w:val="21"/>
                <w:szCs w:val="21"/>
                <w:u w:val="none"/>
                <w:lang w:val="en-US" w:eastAsia="zh-CN" w:bidi="ar"/>
              </w:rPr>
            </w:pPr>
            <w:r>
              <w:rPr>
                <w:rFonts w:hint="eastAsia" w:ascii="楷体" w:hAnsi="楷体" w:eastAsia="楷体" w:cs="楷体"/>
                <w:b/>
                <w:bCs/>
                <w:i w:val="0"/>
                <w:iCs w:val="0"/>
                <w:color w:val="000000"/>
                <w:kern w:val="2"/>
                <w:sz w:val="21"/>
                <w:szCs w:val="21"/>
                <w:u w:val="none"/>
                <w:lang w:val="en-US" w:eastAsia="zh-CN" w:bidi="ar"/>
              </w:rPr>
              <w:t>细分方向</w:t>
            </w:r>
          </w:p>
        </w:tc>
        <w:tc>
          <w:tcPr>
            <w:tcW w:w="5376" w:type="dxa"/>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bCs/>
                <w:i w:val="0"/>
                <w:iCs w:val="0"/>
                <w:color w:val="000000"/>
                <w:kern w:val="2"/>
                <w:sz w:val="21"/>
                <w:szCs w:val="21"/>
                <w:u w:val="none"/>
                <w:lang w:val="en-US" w:eastAsia="zh-CN" w:bidi="ar"/>
              </w:rPr>
            </w:pPr>
            <w:r>
              <w:rPr>
                <w:rFonts w:hint="eastAsia" w:ascii="楷体" w:hAnsi="楷体" w:eastAsia="楷体" w:cs="楷体"/>
                <w:b/>
                <w:bCs/>
                <w:i w:val="0"/>
                <w:iCs w:val="0"/>
                <w:color w:val="000000"/>
                <w:kern w:val="2"/>
                <w:sz w:val="21"/>
                <w:szCs w:val="21"/>
                <w:u w:val="none"/>
                <w:lang w:val="en-US" w:eastAsia="zh-CN" w:bidi="ar"/>
              </w:rPr>
              <w:t>测算说明</w:t>
            </w:r>
          </w:p>
        </w:tc>
        <w:tc>
          <w:tcPr>
            <w:tcW w:w="968" w:type="dxa"/>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bCs/>
                <w:i w:val="0"/>
                <w:iCs w:val="0"/>
                <w:color w:val="000000"/>
                <w:kern w:val="2"/>
                <w:sz w:val="21"/>
                <w:szCs w:val="21"/>
                <w:u w:val="none"/>
                <w:lang w:val="en-US" w:eastAsia="zh-CN" w:bidi="ar"/>
              </w:rPr>
            </w:pPr>
            <w:r>
              <w:rPr>
                <w:rFonts w:hint="eastAsia" w:ascii="楷体" w:hAnsi="楷体" w:eastAsia="楷体" w:cs="楷体"/>
                <w:b/>
                <w:bCs/>
                <w:i w:val="0"/>
                <w:iCs w:val="0"/>
                <w:color w:val="000000"/>
                <w:kern w:val="2"/>
                <w:sz w:val="21"/>
                <w:szCs w:val="21"/>
                <w:u w:val="none"/>
                <w:lang w:val="en-US" w:eastAsia="zh-CN" w:bidi="ar"/>
              </w:rPr>
              <w:t>结论</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1015" w:type="dxa"/>
            <w:gridSpan w:val="2"/>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黑体" w:hAnsi="黑体" w:eastAsia="黑体" w:cs="黑体"/>
                <w:b w:val="0"/>
                <w:bCs w:val="0"/>
                <w:i w:val="0"/>
                <w:color w:val="000000"/>
                <w:kern w:val="2"/>
                <w:sz w:val="18"/>
                <w:szCs w:val="18"/>
                <w:u w:val="none"/>
                <w:lang w:val="en-US" w:eastAsia="zh-CN" w:bidi="ar"/>
              </w:rPr>
            </w:pPr>
            <w:r>
              <w:rPr>
                <w:rFonts w:hint="eastAsia" w:ascii="黑体" w:hAnsi="黑体" w:eastAsia="黑体" w:cs="黑体"/>
                <w:b w:val="0"/>
                <w:bCs w:val="0"/>
                <w:i w:val="0"/>
                <w:color w:val="000000"/>
                <w:kern w:val="2"/>
                <w:sz w:val="18"/>
                <w:szCs w:val="18"/>
                <w:u w:val="none"/>
                <w:lang w:val="en-US" w:eastAsia="zh-CN" w:bidi="ar"/>
              </w:rPr>
              <w:t>最</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黑体" w:hAnsi="黑体" w:eastAsia="黑体" w:cs="黑体"/>
                <w:b w:val="0"/>
                <w:bCs w:val="0"/>
                <w:i w:val="0"/>
                <w:color w:val="000000"/>
                <w:kern w:val="2"/>
                <w:sz w:val="18"/>
                <w:szCs w:val="18"/>
                <w:u w:val="none"/>
                <w:lang w:val="en-US" w:eastAsia="zh-CN" w:bidi="ar"/>
              </w:rPr>
            </w:pPr>
            <w:r>
              <w:rPr>
                <w:rFonts w:hint="eastAsia" w:ascii="黑体" w:hAnsi="黑体" w:eastAsia="黑体" w:cs="黑体"/>
                <w:b w:val="0"/>
                <w:bCs w:val="0"/>
                <w:i w:val="0"/>
                <w:color w:val="000000"/>
                <w:kern w:val="2"/>
                <w:sz w:val="18"/>
                <w:szCs w:val="18"/>
                <w:u w:val="none"/>
                <w:lang w:val="en-US" w:eastAsia="zh-CN" w:bidi="ar"/>
              </w:rPr>
              <w:t>终</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黑体" w:hAnsi="黑体" w:eastAsia="黑体" w:cs="黑体"/>
                <w:b w:val="0"/>
                <w:bCs w:val="0"/>
                <w:i w:val="0"/>
                <w:color w:val="000000"/>
                <w:kern w:val="2"/>
                <w:sz w:val="18"/>
                <w:szCs w:val="18"/>
                <w:u w:val="none"/>
                <w:lang w:val="en-US" w:eastAsia="zh-CN" w:bidi="ar"/>
              </w:rPr>
            </w:pPr>
            <w:r>
              <w:rPr>
                <w:rFonts w:hint="eastAsia" w:ascii="黑体" w:hAnsi="黑体" w:eastAsia="黑体" w:cs="黑体"/>
                <w:b w:val="0"/>
                <w:bCs w:val="0"/>
                <w:i w:val="0"/>
                <w:color w:val="000000"/>
                <w:kern w:val="2"/>
                <w:sz w:val="18"/>
                <w:szCs w:val="18"/>
                <w:u w:val="none"/>
                <w:lang w:val="en-US" w:eastAsia="zh-CN" w:bidi="ar"/>
              </w:rPr>
              <w:t>总</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黑体" w:hAnsi="黑体" w:eastAsia="黑体" w:cs="黑体"/>
                <w:b w:val="0"/>
                <w:bCs w:val="0"/>
                <w:i w:val="0"/>
                <w:color w:val="000000"/>
                <w:kern w:val="2"/>
                <w:sz w:val="18"/>
                <w:szCs w:val="18"/>
                <w:u w:val="none"/>
                <w:lang w:val="en-US" w:eastAsia="zh-CN" w:bidi="ar"/>
              </w:rPr>
            </w:pPr>
            <w:r>
              <w:rPr>
                <w:rFonts w:hint="eastAsia" w:ascii="黑体" w:hAnsi="黑体" w:eastAsia="黑体" w:cs="黑体"/>
                <w:b w:val="0"/>
                <w:bCs w:val="0"/>
                <w:i w:val="0"/>
                <w:color w:val="000000"/>
                <w:kern w:val="2"/>
                <w:sz w:val="18"/>
                <w:szCs w:val="18"/>
                <w:u w:val="none"/>
                <w:lang w:val="en-US" w:eastAsia="zh-CN" w:bidi="ar"/>
              </w:rPr>
              <w:t>结</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黑体" w:hAnsi="黑体" w:eastAsia="黑体" w:cs="黑体"/>
                <w:b w:val="0"/>
                <w:bCs w:val="0"/>
                <w:i w:val="0"/>
                <w:color w:val="000000"/>
                <w:kern w:val="2"/>
                <w:sz w:val="18"/>
                <w:szCs w:val="18"/>
                <w:u w:val="none"/>
                <w:lang w:val="en-US" w:eastAsia="zh-CN" w:bidi="ar"/>
              </w:rPr>
            </w:pPr>
            <w:r>
              <w:rPr>
                <w:rFonts w:hint="eastAsia" w:ascii="黑体" w:hAnsi="黑体" w:eastAsia="黑体" w:cs="黑体"/>
                <w:b w:val="0"/>
                <w:bCs w:val="0"/>
                <w:i w:val="0"/>
                <w:color w:val="000000"/>
                <w:kern w:val="2"/>
                <w:sz w:val="18"/>
                <w:szCs w:val="18"/>
                <w:u w:val="none"/>
                <w:lang w:val="en-US" w:eastAsia="zh-CN" w:bidi="ar"/>
              </w:rPr>
              <w:t>论</w:t>
            </w:r>
          </w:p>
        </w:tc>
        <w:tc>
          <w:tcPr>
            <w:tcW w:w="1163" w:type="dxa"/>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2019-2020</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现状基础</w:t>
            </w:r>
          </w:p>
        </w:tc>
        <w:tc>
          <w:tcPr>
            <w:tcW w:w="5376" w:type="dxa"/>
            <w:vAlign w:val="top"/>
          </w:tcPr>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黑体" w:hAnsi="黑体" w:eastAsia="黑体" w:cs="黑体"/>
                <w:b w:val="0"/>
                <w:bCs w:val="0"/>
                <w:i w:val="0"/>
                <w:iCs w:val="0"/>
                <w:color w:val="000000"/>
                <w:kern w:val="2"/>
                <w:sz w:val="18"/>
                <w:szCs w:val="18"/>
                <w:u w:val="none"/>
                <w:lang w:val="en-US" w:eastAsia="zh-CN" w:bidi="ar"/>
              </w:rPr>
              <w:t>2</w:t>
            </w:r>
            <w:r>
              <w:rPr>
                <w:rFonts w:hint="eastAsia" w:ascii="楷体" w:hAnsi="楷体" w:eastAsia="楷体" w:cs="楷体"/>
                <w:b w:val="0"/>
                <w:bCs w:val="0"/>
                <w:i w:val="0"/>
                <w:iCs w:val="0"/>
                <w:color w:val="000000"/>
                <w:kern w:val="2"/>
                <w:sz w:val="18"/>
                <w:szCs w:val="18"/>
                <w:u w:val="none"/>
                <w:lang w:val="en-US" w:eastAsia="zh-CN" w:bidi="ar"/>
              </w:rPr>
              <w:t>019年：全区GDP为64.3亿，建区到2019年年均增速9.1%</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黑体" w:hAnsi="黑体" w:eastAsia="黑体" w:cs="黑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2020年：全区GDP为66.3亿，建区到2020年年均增速7.9%</w:t>
            </w:r>
          </w:p>
        </w:tc>
        <w:tc>
          <w:tcPr>
            <w:tcW w:w="968" w:type="dxa"/>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2020年</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黑体" w:hAnsi="黑体" w:eastAsia="黑体" w:cs="黑体"/>
                <w:b w:val="0"/>
                <w:bCs w:val="0"/>
                <w:i w:val="0"/>
                <w:iCs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66.3亿</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1015" w:type="dxa"/>
            <w:gridSpan w:val="2"/>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黑体" w:hAnsi="黑体" w:eastAsia="黑体" w:cs="黑体"/>
                <w:b w:val="0"/>
                <w:bCs w:val="0"/>
                <w:i w:val="0"/>
                <w:color w:val="000000"/>
                <w:kern w:val="2"/>
                <w:sz w:val="18"/>
                <w:szCs w:val="18"/>
                <w:u w:val="none"/>
                <w:lang w:val="en-US" w:eastAsia="zh-CN" w:bidi="ar"/>
              </w:rPr>
            </w:pPr>
          </w:p>
        </w:tc>
        <w:tc>
          <w:tcPr>
            <w:tcW w:w="1163" w:type="dxa"/>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2025年</w:t>
            </w:r>
          </w:p>
        </w:tc>
        <w:tc>
          <w:tcPr>
            <w:tcW w:w="5376" w:type="dxa"/>
            <w:vAlign w:val="top"/>
          </w:tcPr>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低值：97亿，按建区以来到GDP年均增速7.9%预测</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高值：169亿，各产业门类测算合计得到的结果，年均增速20%</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黑体" w:hAnsi="黑体" w:eastAsia="黑体" w:cs="黑体"/>
                <w:b w:val="0"/>
                <w:bCs w:val="0"/>
                <w:i w:val="0"/>
                <w:iCs w:val="0"/>
                <w:color w:val="000000"/>
                <w:kern w:val="2"/>
                <w:sz w:val="18"/>
                <w:szCs w:val="18"/>
                <w:u w:val="none"/>
                <w:lang w:val="en-US" w:eastAsia="zh-CN" w:bidi="ar"/>
              </w:rPr>
            </w:pPr>
            <w:r>
              <w:rPr>
                <w:rFonts w:hint="eastAsia" w:ascii="黑体" w:hAnsi="黑体" w:eastAsia="黑体" w:cs="黑体"/>
                <w:b w:val="0"/>
                <w:bCs w:val="0"/>
                <w:i w:val="0"/>
                <w:iCs w:val="0"/>
                <w:color w:val="000000"/>
                <w:kern w:val="2"/>
                <w:sz w:val="18"/>
                <w:szCs w:val="18"/>
                <w:u w:val="none"/>
                <w:lang w:val="en-US" w:eastAsia="zh-CN" w:bidi="ar"/>
              </w:rPr>
              <w:t>结论：</w:t>
            </w:r>
            <w:r>
              <w:rPr>
                <w:rFonts w:hint="eastAsia" w:ascii="楷体" w:hAnsi="楷体" w:eastAsia="楷体" w:cs="楷体"/>
                <w:b w:val="0"/>
                <w:bCs w:val="0"/>
                <w:i w:val="0"/>
                <w:iCs w:val="0"/>
                <w:color w:val="000000"/>
                <w:kern w:val="2"/>
                <w:sz w:val="18"/>
                <w:szCs w:val="18"/>
                <w:u w:val="none"/>
                <w:lang w:val="en-US" w:eastAsia="zh-CN" w:bidi="ar"/>
              </w:rPr>
              <w:t>参考全省目标，</w:t>
            </w:r>
            <w:r>
              <w:rPr>
                <w:rFonts w:hint="eastAsia" w:ascii="黑体" w:hAnsi="黑体" w:eastAsia="黑体" w:cs="黑体"/>
                <w:b w:val="0"/>
                <w:bCs w:val="0"/>
                <w:i w:val="0"/>
                <w:iCs w:val="0"/>
                <w:color w:val="000000"/>
                <w:kern w:val="2"/>
                <w:sz w:val="18"/>
                <w:szCs w:val="18"/>
                <w:u w:val="none"/>
                <w:lang w:val="en-US" w:eastAsia="zh-CN" w:bidi="ar"/>
              </w:rPr>
              <w:t>2025年在2020年基础上实现翻番，“十四五”实际GDP年均增速10%（名义12-13%），GDP达到130亿</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黑体" w:hAnsi="黑体" w:eastAsia="黑体" w:cs="黑体"/>
                <w:b w:val="0"/>
                <w:bCs w:val="0"/>
                <w:i w:val="0"/>
                <w:iCs w:val="0"/>
                <w:color w:val="000000"/>
                <w:kern w:val="2"/>
                <w:sz w:val="18"/>
                <w:szCs w:val="18"/>
                <w:u w:val="none"/>
                <w:lang w:val="en-US" w:eastAsia="zh-CN" w:bidi="ar"/>
              </w:rPr>
            </w:pPr>
            <w:r>
              <w:rPr>
                <w:rFonts w:hint="eastAsia" w:ascii="黑体" w:hAnsi="黑体" w:eastAsia="黑体" w:cs="黑体"/>
                <w:b w:val="0"/>
                <w:bCs w:val="0"/>
                <w:i w:val="0"/>
                <w:iCs w:val="0"/>
                <w:color w:val="000000"/>
                <w:kern w:val="2"/>
                <w:sz w:val="18"/>
                <w:szCs w:val="18"/>
                <w:u w:val="none"/>
                <w:lang w:val="en-US" w:eastAsia="zh-CN" w:bidi="ar"/>
              </w:rPr>
              <w:t>对三次产业产值进行修正</w:t>
            </w:r>
            <w:r>
              <w:rPr>
                <w:rFonts w:hint="eastAsia" w:ascii="楷体" w:hAnsi="楷体" w:eastAsia="楷体" w:cs="楷体"/>
                <w:b w:val="0"/>
                <w:bCs w:val="0"/>
                <w:i w:val="0"/>
                <w:iCs w:val="0"/>
                <w:color w:val="000000"/>
                <w:kern w:val="2"/>
                <w:sz w:val="18"/>
                <w:szCs w:val="18"/>
                <w:u w:val="none"/>
                <w:lang w:val="en-US" w:eastAsia="zh-CN" w:bidi="ar"/>
              </w:rPr>
              <w:t>（以同比例修正为基准、根据产业项目情况适当微调）</w:t>
            </w:r>
            <w:r>
              <w:rPr>
                <w:rFonts w:hint="eastAsia" w:ascii="黑体" w:hAnsi="黑体" w:eastAsia="黑体" w:cs="黑体"/>
                <w:b w:val="0"/>
                <w:bCs w:val="0"/>
                <w:i w:val="0"/>
                <w:iCs w:val="0"/>
                <w:color w:val="000000"/>
                <w:kern w:val="2"/>
                <w:sz w:val="18"/>
                <w:szCs w:val="18"/>
                <w:u w:val="none"/>
                <w:lang w:val="en-US" w:eastAsia="zh-CN" w:bidi="ar"/>
              </w:rPr>
              <w:t>，第一产业为30亿、第二产业为15亿、第三产业为85亿，三产结构为23∶12∶65</w:t>
            </w:r>
          </w:p>
        </w:tc>
        <w:tc>
          <w:tcPr>
            <w:tcW w:w="968" w:type="dxa"/>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黑体" w:hAnsi="黑体" w:eastAsia="黑体" w:cs="黑体"/>
                <w:b w:val="0"/>
                <w:bCs w:val="0"/>
                <w:i w:val="0"/>
                <w:iCs w:val="0"/>
                <w:color w:val="000000"/>
                <w:kern w:val="2"/>
                <w:sz w:val="18"/>
                <w:szCs w:val="18"/>
                <w:u w:val="none"/>
                <w:lang w:val="en-US" w:eastAsia="zh-CN" w:bidi="ar"/>
              </w:rPr>
            </w:pPr>
            <w:r>
              <w:rPr>
                <w:rFonts w:hint="eastAsia" w:ascii="黑体" w:hAnsi="黑体" w:eastAsia="黑体" w:cs="黑体"/>
                <w:b w:val="0"/>
                <w:bCs w:val="0"/>
                <w:i w:val="0"/>
                <w:iCs w:val="0"/>
                <w:color w:val="000000"/>
                <w:kern w:val="2"/>
                <w:sz w:val="18"/>
                <w:szCs w:val="18"/>
                <w:u w:val="none"/>
                <w:lang w:val="en-US" w:eastAsia="zh-CN" w:bidi="ar"/>
              </w:rPr>
              <w:t>130亿</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1015" w:type="dxa"/>
            <w:gridSpan w:val="2"/>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黑体" w:hAnsi="黑体" w:eastAsia="黑体" w:cs="黑体"/>
                <w:b w:val="0"/>
                <w:bCs w:val="0"/>
                <w:i w:val="0"/>
                <w:color w:val="000000"/>
                <w:kern w:val="2"/>
                <w:sz w:val="18"/>
                <w:szCs w:val="18"/>
                <w:u w:val="none"/>
                <w:lang w:val="en-US" w:eastAsia="zh-CN" w:bidi="ar"/>
              </w:rPr>
            </w:pPr>
          </w:p>
        </w:tc>
        <w:tc>
          <w:tcPr>
            <w:tcW w:w="1163" w:type="dxa"/>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2035年</w:t>
            </w:r>
          </w:p>
        </w:tc>
        <w:tc>
          <w:tcPr>
            <w:tcW w:w="5376" w:type="dxa"/>
            <w:vAlign w:val="top"/>
          </w:tcPr>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低值：281亿，在2025年130亿基础上，按2026-2035年名义GDP年均增速8%预测</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高值：568亿，在各产业门类分别测算的基础上合计得到的结果，2025-2035年名义GDP年均增速13%</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黑体" w:hAnsi="黑体" w:eastAsia="黑体" w:cs="黑体"/>
                <w:b w:val="0"/>
                <w:bCs w:val="0"/>
                <w:i w:val="0"/>
                <w:iCs w:val="0"/>
                <w:color w:val="000000"/>
                <w:kern w:val="2"/>
                <w:sz w:val="18"/>
                <w:szCs w:val="18"/>
                <w:u w:val="none"/>
                <w:lang w:val="en-US" w:eastAsia="zh-CN" w:bidi="ar"/>
              </w:rPr>
            </w:pPr>
            <w:r>
              <w:rPr>
                <w:rFonts w:hint="eastAsia" w:ascii="黑体" w:hAnsi="黑体" w:eastAsia="黑体" w:cs="黑体"/>
                <w:b w:val="0"/>
                <w:bCs w:val="0"/>
                <w:i w:val="0"/>
                <w:iCs w:val="0"/>
                <w:color w:val="000000"/>
                <w:kern w:val="2"/>
                <w:sz w:val="18"/>
                <w:szCs w:val="18"/>
                <w:u w:val="none"/>
                <w:lang w:val="en-US" w:eastAsia="zh-CN" w:bidi="ar"/>
              </w:rPr>
              <w:t>结论：</w:t>
            </w:r>
            <w:r>
              <w:rPr>
                <w:rFonts w:hint="eastAsia" w:ascii="楷体" w:hAnsi="楷体" w:eastAsia="楷体" w:cs="楷体"/>
                <w:b w:val="0"/>
                <w:bCs w:val="0"/>
                <w:i w:val="0"/>
                <w:iCs w:val="0"/>
                <w:color w:val="000000"/>
                <w:kern w:val="2"/>
                <w:sz w:val="18"/>
                <w:szCs w:val="18"/>
                <w:u w:val="none"/>
                <w:lang w:val="en-US" w:eastAsia="zh-CN" w:bidi="ar"/>
              </w:rPr>
              <w:t>考虑到新开发区域GDP通常由高速逐年向中高速转换，且发展基础基数不断提高壮大，2025年之后GDP的增速有所下降，</w:t>
            </w:r>
            <w:r>
              <w:rPr>
                <w:rFonts w:hint="eastAsia" w:ascii="黑体" w:hAnsi="黑体" w:eastAsia="黑体" w:cs="黑体"/>
                <w:b w:val="0"/>
                <w:bCs w:val="0"/>
                <w:i w:val="0"/>
                <w:iCs w:val="0"/>
                <w:color w:val="000000"/>
                <w:kern w:val="2"/>
                <w:sz w:val="18"/>
                <w:szCs w:val="18"/>
                <w:u w:val="none"/>
                <w:lang w:val="en-US" w:eastAsia="zh-CN" w:bidi="ar"/>
              </w:rPr>
              <w:t>取低值和高值名义GDP的平均增速11%（实际GDP为8%左右），测算2035年GDP达到370亿</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黑体" w:hAnsi="黑体" w:eastAsia="黑体" w:cs="黑体"/>
                <w:b w:val="0"/>
                <w:bCs w:val="0"/>
                <w:i w:val="0"/>
                <w:iCs w:val="0"/>
                <w:color w:val="000000"/>
                <w:kern w:val="2"/>
                <w:sz w:val="18"/>
                <w:szCs w:val="18"/>
                <w:u w:val="none"/>
                <w:lang w:val="en-US" w:eastAsia="zh-CN" w:bidi="ar"/>
              </w:rPr>
            </w:pPr>
            <w:r>
              <w:rPr>
                <w:rFonts w:hint="eastAsia" w:ascii="黑体" w:hAnsi="黑体" w:eastAsia="黑体" w:cs="黑体"/>
                <w:b w:val="0"/>
                <w:bCs w:val="0"/>
                <w:i w:val="0"/>
                <w:iCs w:val="0"/>
                <w:color w:val="000000"/>
                <w:kern w:val="2"/>
                <w:sz w:val="18"/>
                <w:szCs w:val="18"/>
                <w:u w:val="none"/>
                <w:lang w:val="en-US" w:eastAsia="zh-CN" w:bidi="ar"/>
              </w:rPr>
              <w:t>对三次产业产值进行修正</w:t>
            </w:r>
            <w:r>
              <w:rPr>
                <w:rFonts w:hint="eastAsia" w:ascii="楷体" w:hAnsi="楷体" w:eastAsia="楷体" w:cs="楷体"/>
                <w:b w:val="0"/>
                <w:bCs w:val="0"/>
                <w:i w:val="0"/>
                <w:iCs w:val="0"/>
                <w:color w:val="000000"/>
                <w:kern w:val="2"/>
                <w:sz w:val="18"/>
                <w:szCs w:val="18"/>
                <w:u w:val="none"/>
                <w:lang w:val="en-US" w:eastAsia="zh-CN" w:bidi="ar"/>
              </w:rPr>
              <w:t>（以同比例修正为基准、根据产业项目情况适当微调）</w:t>
            </w:r>
            <w:r>
              <w:rPr>
                <w:rFonts w:hint="eastAsia" w:ascii="黑体" w:hAnsi="黑体" w:eastAsia="黑体" w:cs="黑体"/>
                <w:b w:val="0"/>
                <w:bCs w:val="0"/>
                <w:i w:val="0"/>
                <w:iCs w:val="0"/>
                <w:color w:val="000000"/>
                <w:kern w:val="2"/>
                <w:sz w:val="18"/>
                <w:szCs w:val="18"/>
                <w:u w:val="none"/>
                <w:lang w:val="en-US" w:eastAsia="zh-CN" w:bidi="ar"/>
              </w:rPr>
              <w:t>，第一产业为60亿、第二产业为60亿、第三产业为250亿，三产结构为16∶16∶68</w:t>
            </w:r>
          </w:p>
        </w:tc>
        <w:tc>
          <w:tcPr>
            <w:tcW w:w="968" w:type="dxa"/>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黑体" w:hAnsi="黑体" w:eastAsia="黑体" w:cs="黑体"/>
                <w:b w:val="0"/>
                <w:bCs w:val="0"/>
                <w:i w:val="0"/>
                <w:iCs w:val="0"/>
                <w:color w:val="000000"/>
                <w:kern w:val="2"/>
                <w:sz w:val="18"/>
                <w:szCs w:val="18"/>
                <w:u w:val="none"/>
                <w:lang w:val="en-US" w:eastAsia="zh-CN" w:bidi="ar"/>
              </w:rPr>
            </w:pPr>
            <w:r>
              <w:rPr>
                <w:rFonts w:hint="eastAsia" w:ascii="黑体" w:hAnsi="黑体" w:eastAsia="黑体" w:cs="黑体"/>
                <w:b w:val="0"/>
                <w:bCs w:val="0"/>
                <w:i w:val="0"/>
                <w:iCs w:val="0"/>
                <w:color w:val="000000"/>
                <w:kern w:val="2"/>
                <w:sz w:val="18"/>
                <w:szCs w:val="18"/>
                <w:u w:val="none"/>
                <w:lang w:val="en-US" w:eastAsia="zh-CN" w:bidi="ar"/>
              </w:rPr>
              <w:t>370亿</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385"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第一产业</w:t>
            </w:r>
          </w:p>
        </w:tc>
        <w:tc>
          <w:tcPr>
            <w:tcW w:w="630"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default" w:ascii="楷体" w:hAnsi="楷体" w:eastAsia="楷体" w:cs="楷体"/>
                <w:b w:val="0"/>
                <w:bCs w:val="0"/>
                <w:i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增速预测法：</w:t>
            </w:r>
          </w:p>
        </w:tc>
        <w:tc>
          <w:tcPr>
            <w:tcW w:w="1163" w:type="dxa"/>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both"/>
              <w:textAlignment w:val="auto"/>
              <w:rPr>
                <w:rFonts w:hint="eastAsia" w:ascii="楷体" w:hAnsi="楷体" w:eastAsia="楷体" w:cs="楷体"/>
                <w:b w:val="0"/>
                <w:bCs w:val="0"/>
                <w:i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2019-2020</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both"/>
              <w:textAlignment w:val="auto"/>
              <w:rPr>
                <w:rFonts w:hint="eastAsia" w:ascii="楷体" w:hAnsi="楷体" w:eastAsia="楷体" w:cs="楷体"/>
                <w:b w:val="0"/>
                <w:bCs w:val="0"/>
                <w:i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现状基础</w:t>
            </w:r>
          </w:p>
        </w:tc>
        <w:tc>
          <w:tcPr>
            <w:tcW w:w="5376" w:type="dxa"/>
            <w:vAlign w:val="top"/>
          </w:tcPr>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2019年一产GDP为20.6亿，建区到2019年年均增速3.9%</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2020年一产GDP为21.2亿，建区到2020年年均增速3.7%</w:t>
            </w:r>
          </w:p>
        </w:tc>
        <w:tc>
          <w:tcPr>
            <w:tcW w:w="968" w:type="dxa"/>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2020年</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21.2亿</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385"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val="0"/>
                <w:bCs w:val="0"/>
                <w:i w:val="0"/>
                <w:iCs w:val="0"/>
                <w:color w:val="000000"/>
                <w:kern w:val="2"/>
                <w:sz w:val="18"/>
                <w:szCs w:val="18"/>
                <w:u w:val="none"/>
                <w:lang w:val="en-US" w:eastAsia="zh-CN" w:bidi="ar"/>
              </w:rPr>
            </w:pPr>
          </w:p>
        </w:tc>
        <w:tc>
          <w:tcPr>
            <w:tcW w:w="630"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val="0"/>
                <w:bCs w:val="0"/>
                <w:i w:val="0"/>
                <w:color w:val="000000"/>
                <w:kern w:val="2"/>
                <w:sz w:val="18"/>
                <w:szCs w:val="18"/>
                <w:u w:val="none"/>
                <w:lang w:val="en-US" w:eastAsia="zh-CN" w:bidi="ar"/>
              </w:rPr>
            </w:pPr>
          </w:p>
        </w:tc>
        <w:tc>
          <w:tcPr>
            <w:tcW w:w="1163" w:type="dxa"/>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both"/>
              <w:textAlignment w:val="auto"/>
              <w:rPr>
                <w:rFonts w:hint="eastAsia" w:ascii="楷体" w:hAnsi="楷体" w:eastAsia="楷体" w:cs="楷体"/>
                <w:b w:val="0"/>
                <w:bCs w:val="0"/>
                <w:i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2025年</w:t>
            </w:r>
          </w:p>
        </w:tc>
        <w:tc>
          <w:tcPr>
            <w:tcW w:w="5376" w:type="dxa"/>
            <w:vAlign w:val="top"/>
          </w:tcPr>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低值：按建区以来年均增速3.7%，2025年为25亿</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中值：按新增贡献3%测算，年均增速6.7%，2025年为30亿</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高值：按新增贡献5%测算，年均增速8.7%，2025年为32亿</w:t>
            </w:r>
          </w:p>
        </w:tc>
        <w:tc>
          <w:tcPr>
            <w:tcW w:w="968" w:type="dxa"/>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GDP中值</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30亿</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385"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val="0"/>
                <w:bCs w:val="0"/>
                <w:i w:val="0"/>
                <w:iCs w:val="0"/>
                <w:color w:val="000000"/>
                <w:kern w:val="2"/>
                <w:sz w:val="18"/>
                <w:szCs w:val="18"/>
                <w:u w:val="none"/>
                <w:lang w:val="en-US" w:eastAsia="zh-CN" w:bidi="ar"/>
              </w:rPr>
            </w:pPr>
          </w:p>
        </w:tc>
        <w:tc>
          <w:tcPr>
            <w:tcW w:w="630"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val="0"/>
                <w:bCs w:val="0"/>
                <w:i w:val="0"/>
                <w:color w:val="000000"/>
                <w:kern w:val="2"/>
                <w:sz w:val="18"/>
                <w:szCs w:val="18"/>
                <w:u w:val="none"/>
                <w:lang w:val="en-US" w:eastAsia="zh-CN" w:bidi="ar"/>
              </w:rPr>
            </w:pPr>
          </w:p>
        </w:tc>
        <w:tc>
          <w:tcPr>
            <w:tcW w:w="1163" w:type="dxa"/>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both"/>
              <w:textAlignment w:val="auto"/>
              <w:rPr>
                <w:rFonts w:hint="eastAsia" w:ascii="楷体" w:hAnsi="楷体" w:eastAsia="楷体" w:cs="楷体"/>
                <w:b w:val="0"/>
                <w:bCs w:val="0"/>
                <w:i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2035年</w:t>
            </w:r>
          </w:p>
        </w:tc>
        <w:tc>
          <w:tcPr>
            <w:tcW w:w="5376" w:type="dxa"/>
            <w:vAlign w:val="top"/>
          </w:tcPr>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低值：按建区以来GDP年均增速3.7%，2035年为36亿</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中值：按2025年之前6.7%、之后8.4%测算，2035年为67亿</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高值：按2025年之前8.9%、之后10.9%测算，2035年为96亿</w:t>
            </w:r>
          </w:p>
        </w:tc>
        <w:tc>
          <w:tcPr>
            <w:tcW w:w="968" w:type="dxa"/>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GDP中值</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67亿</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385"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val="0"/>
                <w:bCs w:val="0"/>
                <w:i w:val="0"/>
                <w:iCs w:val="0"/>
                <w:color w:val="000000"/>
                <w:kern w:val="2"/>
                <w:sz w:val="18"/>
                <w:szCs w:val="18"/>
                <w:u w:val="none"/>
                <w:lang w:val="en-US" w:eastAsia="zh-CN" w:bidi="ar"/>
              </w:rPr>
            </w:pPr>
          </w:p>
        </w:tc>
        <w:tc>
          <w:tcPr>
            <w:tcW w:w="630"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val="0"/>
                <w:bCs w:val="0"/>
                <w:i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结构预测法：</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农业</w:t>
            </w:r>
          </w:p>
        </w:tc>
        <w:tc>
          <w:tcPr>
            <w:tcW w:w="1163" w:type="dxa"/>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20" w:lineRule="exact"/>
              <w:ind w:left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冬季瓜菜</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20" w:lineRule="exact"/>
              <w:ind w:left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热带水果</w:t>
            </w:r>
          </w:p>
        </w:tc>
        <w:tc>
          <w:tcPr>
            <w:tcW w:w="5376" w:type="dxa"/>
            <w:vAlign w:val="top"/>
          </w:tcPr>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全区待耕地较少，瓜菜水果规模稳定，通过增加土地面积提产的空间不大</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受土地租金制约，农业规模化、设施化、现代化提产空间有限，估计对增速贡献1-2%</w:t>
            </w:r>
          </w:p>
        </w:tc>
        <w:tc>
          <w:tcPr>
            <w:tcW w:w="968"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增速贡献</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2-4%</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385"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sz w:val="18"/>
                <w:szCs w:val="18"/>
              </w:rPr>
            </w:pPr>
          </w:p>
        </w:tc>
        <w:tc>
          <w:tcPr>
            <w:tcW w:w="630"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sz w:val="18"/>
                <w:szCs w:val="18"/>
              </w:rPr>
            </w:pPr>
          </w:p>
        </w:tc>
        <w:tc>
          <w:tcPr>
            <w:tcW w:w="1163" w:type="dxa"/>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20" w:lineRule="exact"/>
              <w:ind w:left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南繁育种及服务</w:t>
            </w:r>
          </w:p>
        </w:tc>
        <w:tc>
          <w:tcPr>
            <w:tcW w:w="5376" w:type="dxa"/>
            <w:vAlign w:val="top"/>
          </w:tcPr>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南繁田洋种植规模稳定，科技城提振发展质量、提高种植附加值，估计对增速贡献1-2%</w:t>
            </w:r>
          </w:p>
        </w:tc>
        <w:tc>
          <w:tcPr>
            <w:tcW w:w="968"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left="227" w:leftChars="0" w:hanging="227" w:firstLineChars="0"/>
              <w:jc w:val="right"/>
              <w:textAlignment w:val="auto"/>
              <w:rPr>
                <w:rFonts w:hint="eastAsia" w:ascii="楷体" w:hAnsi="楷体" w:eastAsia="楷体" w:cs="楷体"/>
                <w:b w:val="0"/>
                <w:bCs w:val="0"/>
                <w:i w:val="0"/>
                <w:iCs w:val="0"/>
                <w:color w:val="000000"/>
                <w:kern w:val="2"/>
                <w:sz w:val="18"/>
                <w:szCs w:val="18"/>
                <w:u w:val="none"/>
                <w:lang w:val="en-US" w:eastAsia="zh-CN" w:bidi="ar"/>
              </w:rPr>
            </w:pP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24" w:hRule="atLeast"/>
        </w:trPr>
        <w:tc>
          <w:tcPr>
            <w:tcW w:w="385"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val="0"/>
                <w:bCs w:val="0"/>
                <w:i w:val="0"/>
                <w:iCs w:val="0"/>
                <w:color w:val="000000"/>
                <w:kern w:val="2"/>
                <w:sz w:val="18"/>
                <w:szCs w:val="18"/>
                <w:u w:val="none"/>
                <w:lang w:val="en-US" w:eastAsia="zh-CN" w:bidi="ar"/>
              </w:rPr>
            </w:pPr>
          </w:p>
        </w:tc>
        <w:tc>
          <w:tcPr>
            <w:tcW w:w="630"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val="0"/>
                <w:bCs w:val="0"/>
                <w:i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结构预测法：</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渔业</w:t>
            </w:r>
          </w:p>
        </w:tc>
        <w:tc>
          <w:tcPr>
            <w:tcW w:w="1163" w:type="dxa"/>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20" w:lineRule="exact"/>
              <w:ind w:left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岸上养殖</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20" w:lineRule="exact"/>
              <w:ind w:left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深海养殖</w:t>
            </w:r>
          </w:p>
        </w:tc>
        <w:tc>
          <w:tcPr>
            <w:tcW w:w="5376" w:type="dxa"/>
            <w:vAlign w:val="top"/>
          </w:tcPr>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2022年前清理2430亩鱼虾塘，总面积减少1/3，3年内渔业产出预计持续下滑，3年后得益工厂化和深海养殖提振得到恢复</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到2025年先损后补，整体维持现状不变，对农业增速没有贡献</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2025-2035年对农业增速贡献按2%测算</w:t>
            </w:r>
          </w:p>
        </w:tc>
        <w:tc>
          <w:tcPr>
            <w:tcW w:w="968"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增速贡献</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2025前：0%</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2025后：2%</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385"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sz w:val="18"/>
                <w:szCs w:val="18"/>
              </w:rPr>
            </w:pPr>
          </w:p>
        </w:tc>
        <w:tc>
          <w:tcPr>
            <w:tcW w:w="630"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sz w:val="18"/>
                <w:szCs w:val="18"/>
              </w:rPr>
            </w:pPr>
          </w:p>
        </w:tc>
        <w:tc>
          <w:tcPr>
            <w:tcW w:w="1163" w:type="dxa"/>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20" w:lineRule="exact"/>
              <w:ind w:left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水产捕捞</w:t>
            </w:r>
          </w:p>
        </w:tc>
        <w:tc>
          <w:tcPr>
            <w:tcW w:w="5376" w:type="dxa"/>
            <w:vAlign w:val="top"/>
          </w:tcPr>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水产捕捞（海洋+淡水）体量小，对农业总体增速影响不显著</w:t>
            </w:r>
          </w:p>
        </w:tc>
        <w:tc>
          <w:tcPr>
            <w:tcW w:w="968"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left="227" w:leftChars="0" w:hanging="227" w:firstLineChars="0"/>
              <w:jc w:val="right"/>
              <w:textAlignment w:val="auto"/>
              <w:rPr>
                <w:rFonts w:hint="eastAsia" w:ascii="楷体" w:hAnsi="楷体" w:eastAsia="楷体" w:cs="楷体"/>
                <w:b w:val="0"/>
                <w:bCs w:val="0"/>
                <w:i w:val="0"/>
                <w:iCs w:val="0"/>
                <w:color w:val="000000"/>
                <w:kern w:val="2"/>
                <w:sz w:val="18"/>
                <w:szCs w:val="18"/>
                <w:u w:val="none"/>
                <w:lang w:val="en-US" w:eastAsia="zh-CN" w:bidi="ar"/>
              </w:rPr>
            </w:pP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385"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p>
        </w:tc>
        <w:tc>
          <w:tcPr>
            <w:tcW w:w="630"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p>
        </w:tc>
        <w:tc>
          <w:tcPr>
            <w:tcW w:w="1163" w:type="dxa"/>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20" w:lineRule="exact"/>
              <w:ind w:left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渔港经济</w:t>
            </w:r>
          </w:p>
        </w:tc>
        <w:tc>
          <w:tcPr>
            <w:tcW w:w="5376" w:type="dxa"/>
            <w:vAlign w:val="top"/>
          </w:tcPr>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渔港经济增量主要为商贸物流、水产加工等，在相应部分测算</w:t>
            </w:r>
          </w:p>
        </w:tc>
        <w:tc>
          <w:tcPr>
            <w:tcW w:w="968"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left="227" w:leftChars="0" w:hanging="227" w:firstLineChars="0"/>
              <w:jc w:val="right"/>
              <w:textAlignment w:val="auto"/>
              <w:rPr>
                <w:rFonts w:hint="eastAsia" w:ascii="楷体" w:hAnsi="楷体" w:eastAsia="楷体" w:cs="楷体"/>
                <w:b w:val="0"/>
                <w:bCs w:val="0"/>
                <w:i w:val="0"/>
                <w:iCs w:val="0"/>
                <w:color w:val="000000"/>
                <w:kern w:val="2"/>
                <w:sz w:val="18"/>
                <w:szCs w:val="18"/>
                <w:u w:val="none"/>
                <w:lang w:val="en-US" w:eastAsia="zh-CN" w:bidi="ar"/>
              </w:rPr>
            </w:pP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385"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val="0"/>
                <w:bCs w:val="0"/>
                <w:i w:val="0"/>
                <w:iCs w:val="0"/>
                <w:color w:val="000000"/>
                <w:kern w:val="2"/>
                <w:sz w:val="18"/>
                <w:szCs w:val="18"/>
                <w:u w:val="none"/>
                <w:lang w:val="en-US" w:eastAsia="zh-CN" w:bidi="ar"/>
              </w:rPr>
            </w:pPr>
          </w:p>
        </w:tc>
        <w:tc>
          <w:tcPr>
            <w:tcW w:w="630" w:type="dxa"/>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结构预测法：</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val="0"/>
                <w:bCs w:val="0"/>
                <w:i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养殖</w:t>
            </w:r>
          </w:p>
        </w:tc>
        <w:tc>
          <w:tcPr>
            <w:tcW w:w="1163" w:type="dxa"/>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20" w:lineRule="exact"/>
              <w:ind w:left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畜牧养殖</w:t>
            </w:r>
          </w:p>
        </w:tc>
        <w:tc>
          <w:tcPr>
            <w:tcW w:w="5376" w:type="dxa"/>
            <w:vAlign w:val="top"/>
          </w:tcPr>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000000"/>
                <w:kern w:val="2"/>
                <w:sz w:val="18"/>
                <w:szCs w:val="18"/>
                <w:u w:val="none"/>
                <w:lang w:val="en-US" w:eastAsia="zh-CN" w:bidi="ar"/>
              </w:rPr>
            </w:pPr>
            <w:r>
              <w:rPr>
                <w:rFonts w:hint="eastAsia" w:ascii="楷体" w:hAnsi="楷体" w:eastAsia="楷体" w:cs="楷体"/>
                <w:b w:val="0"/>
                <w:bCs w:val="0"/>
                <w:i w:val="0"/>
                <w:iCs w:val="0"/>
                <w:color w:val="000000"/>
                <w:kern w:val="2"/>
                <w:sz w:val="18"/>
                <w:szCs w:val="18"/>
                <w:u w:val="none"/>
                <w:lang w:val="en-US" w:eastAsia="zh-CN" w:bidi="ar"/>
              </w:rPr>
              <w:t>畜牧养殖投入新增项目效益较为显著，估计对增速贡献0.5-1%</w:t>
            </w:r>
          </w:p>
        </w:tc>
        <w:tc>
          <w:tcPr>
            <w:tcW w:w="968" w:type="dxa"/>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增速贡献</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000000"/>
                <w:kern w:val="2"/>
                <w:sz w:val="18"/>
                <w:szCs w:val="18"/>
                <w:u w:val="none"/>
                <w:lang w:val="en-US" w:eastAsia="zh-CN" w:bidi="ar"/>
              </w:rPr>
            </w:pPr>
            <w:r>
              <w:rPr>
                <w:rFonts w:hint="eastAsia" w:ascii="楷体" w:hAnsi="楷体" w:eastAsia="楷体" w:cs="楷体"/>
                <w:b w:val="0"/>
                <w:bCs w:val="0"/>
                <w:i w:val="0"/>
                <w:color w:val="000000"/>
                <w:kern w:val="2"/>
                <w:sz w:val="18"/>
                <w:szCs w:val="18"/>
                <w:u w:val="none"/>
                <w:lang w:val="en-US" w:eastAsia="zh-CN" w:bidi="ar"/>
              </w:rPr>
              <w:t>0.5-1%</w:t>
            </w:r>
          </w:p>
        </w:tc>
      </w:tr>
    </w:tbl>
    <w:p>
      <w:pPr>
        <w:pStyle w:val="3"/>
        <w:bidi w:val="0"/>
        <w:rPr>
          <w:rFonts w:hint="eastAsia"/>
          <w:lang w:val="en-US" w:eastAsia="zh-CN"/>
        </w:rPr>
      </w:pPr>
      <w:bookmarkStart w:id="278" w:name="_Toc5078"/>
      <w:bookmarkStart w:id="279" w:name="_Toc16441"/>
      <w:bookmarkStart w:id="280" w:name="_Toc20928"/>
      <w:r>
        <w:rPr>
          <w:rFonts w:hint="eastAsia"/>
          <w:lang w:val="en-US" w:eastAsia="zh-CN"/>
        </w:rPr>
        <w:t>第五节  产业布局</w:t>
      </w:r>
      <w:bookmarkEnd w:id="278"/>
      <w:bookmarkEnd w:id="279"/>
      <w:bookmarkEnd w:id="280"/>
    </w:p>
    <w:p>
      <w:pPr>
        <w:pStyle w:val="4"/>
        <w:bidi w:val="0"/>
        <w:rPr>
          <w:rFonts w:hint="eastAsia"/>
          <w:lang w:val="en-US" w:eastAsia="zh-CN"/>
        </w:rPr>
      </w:pPr>
      <w:bookmarkStart w:id="281" w:name="_Toc14405"/>
      <w:bookmarkStart w:id="282" w:name="_Toc27745"/>
      <w:bookmarkStart w:id="283" w:name="_Toc7521"/>
      <w:r>
        <w:rPr>
          <w:rFonts w:hint="eastAsia"/>
          <w:lang w:val="en-US" w:eastAsia="zh-CN"/>
        </w:rPr>
        <w:t>一、热带农业布局</w:t>
      </w:r>
      <w:bookmarkEnd w:id="281"/>
      <w:bookmarkEnd w:id="282"/>
      <w:bookmarkEnd w:id="283"/>
    </w:p>
    <w:p>
      <w:pPr>
        <w:rPr>
          <w:rFonts w:hint="eastAsia"/>
          <w:lang w:val="en-US" w:eastAsia="zh-CN"/>
        </w:rPr>
      </w:pPr>
      <w:r>
        <w:rPr>
          <w:rFonts w:hint="eastAsia"/>
          <w:lang w:val="en-US" w:eastAsia="zh-CN"/>
        </w:rPr>
        <w:t>崖州区打造形成</w:t>
      </w:r>
      <w:r>
        <w:rPr>
          <w:rFonts w:hint="eastAsia"/>
          <w:b/>
          <w:bCs/>
          <w:lang w:val="en-US" w:eastAsia="zh-CN"/>
        </w:rPr>
        <w:t>“一城、两区、多点”</w:t>
      </w:r>
      <w:r>
        <w:rPr>
          <w:rFonts w:hint="eastAsia"/>
          <w:lang w:val="en-US" w:eastAsia="zh-CN"/>
        </w:rPr>
        <w:t>的热带农业功能布局结构。</w:t>
      </w:r>
    </w:p>
    <w:p>
      <w:pPr>
        <w:rPr>
          <w:rFonts w:hint="eastAsia"/>
          <w:lang w:val="en-US" w:eastAsia="zh-CN"/>
        </w:rPr>
      </w:pPr>
      <w:r>
        <w:rPr>
          <w:rFonts w:hint="eastAsia"/>
          <w:lang w:val="en-US" w:eastAsia="zh-CN"/>
        </w:rPr>
        <w:t>“一城”指南繁科技城，代表了我国良种繁育科技的最高水平，为崖州区就近就地开展新品种水果蔬菜种植提供技术来源，为发展农业科技研学休闲农业提供条件，也是崖州区开展模式动物（实验动物）特色养殖的基础。</w:t>
      </w:r>
    </w:p>
    <w:p>
      <w:pPr>
        <w:rPr>
          <w:rFonts w:hint="eastAsia"/>
          <w:lang w:val="en-US" w:eastAsia="zh-CN"/>
        </w:rPr>
      </w:pPr>
      <w:r>
        <w:rPr>
          <w:rFonts w:hint="eastAsia"/>
          <w:lang w:val="en-US" w:eastAsia="zh-CN"/>
        </w:rPr>
        <w:t>“两区”指洋田种植区和丘陵种植区，洋田种植区位于南部平坦区域及宁远河两岸，重点发展南繁育种、冬季瓜菜种植等，丘陵种植区位于北部、东部外围，重点发展热带水果种植、特色种养殖等。</w:t>
      </w:r>
    </w:p>
    <w:p>
      <w:pPr>
        <w:rPr>
          <w:rFonts w:hint="eastAsia"/>
          <w:lang w:val="en-US" w:eastAsia="zh-CN"/>
        </w:rPr>
      </w:pPr>
      <w:r>
        <w:rPr>
          <w:rFonts w:hint="eastAsia"/>
          <w:lang w:val="en-US" w:eastAsia="zh-CN"/>
        </w:rPr>
        <w:t>“多点”指遍布全区的现代农业种养殖示范产业项目集聚点，根据农业要素分布因地制宜布局冬季瓜菜、热带水果、南繁育种，结合“一村一品”布局特色种养殖产业，结合崖州果蔬综合批发市场新建项目布局农产品加工，按照全域旅游的思路布局休闲农业，形成全域多点的现代农业发展格局。</w:t>
      </w:r>
    </w:p>
    <w:p>
      <w:pPr>
        <w:keepNext w:val="0"/>
        <w:keepLines w:val="0"/>
        <w:pageBreakBefore w:val="0"/>
        <w:widowControl w:val="0"/>
        <w:kinsoku/>
        <w:wordWrap/>
        <w:overflowPunct/>
        <w:topLinePunct w:val="0"/>
        <w:autoSpaceDE/>
        <w:autoSpaceDN/>
        <w:bidi w:val="0"/>
        <w:adjustRightInd/>
        <w:snapToGrid/>
        <w:ind w:left="-160" w:leftChars="-50" w:firstLine="0" w:firstLineChars="0"/>
        <w:jc w:val="center"/>
        <w:textAlignment w:val="auto"/>
        <w:rPr>
          <w:rFonts w:hint="eastAsia" w:ascii="仿宋_GB2312" w:eastAsia="仿宋_GB2312"/>
          <w:lang w:val="en-US" w:eastAsia="zh-CN"/>
        </w:rPr>
      </w:pPr>
      <w:r>
        <w:rPr>
          <w:rFonts w:hint="eastAsia" w:ascii="仿宋_GB2312" w:eastAsia="仿宋_GB2312"/>
          <w:lang w:val="en-US" w:eastAsia="zh-CN"/>
        </w:rPr>
        <w:drawing>
          <wp:inline distT="0" distB="0" distL="114300" distR="114300">
            <wp:extent cx="8496300" cy="5381625"/>
            <wp:effectExtent l="0" t="0" r="9525" b="0"/>
            <wp:docPr id="9" name="图片 9" descr="制图ppt_页面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制图ppt_页面_4"/>
                    <pic:cNvPicPr>
                      <a:picLocks noChangeAspect="1"/>
                    </pic:cNvPicPr>
                  </pic:nvPicPr>
                  <pic:blipFill>
                    <a:blip r:embed="rId17"/>
                    <a:srcRect t="4436" b="4593"/>
                    <a:stretch>
                      <a:fillRect/>
                    </a:stretch>
                  </pic:blipFill>
                  <pic:spPr>
                    <a:xfrm rot="5400000">
                      <a:off x="0" y="0"/>
                      <a:ext cx="8496300" cy="5381625"/>
                    </a:xfrm>
                    <a:prstGeom prst="rect">
                      <a:avLst/>
                    </a:prstGeom>
                  </pic:spPr>
                </pic:pic>
              </a:graphicData>
            </a:graphic>
          </wp:inline>
        </w:drawing>
      </w:r>
    </w:p>
    <w:p>
      <w:pPr>
        <w:ind w:left="0" w:leftChars="0" w:firstLine="0" w:firstLineChars="0"/>
        <w:jc w:val="center"/>
        <w:rPr>
          <w:rFonts w:hint="eastAsia"/>
          <w:b w:val="0"/>
          <w:bCs w:val="0"/>
          <w:lang w:val="en-US" w:eastAsia="zh-CN"/>
        </w:rPr>
      </w:pPr>
      <w:r>
        <w:rPr>
          <w:rFonts w:hint="eastAsia" w:ascii="楷体" w:hAnsi="楷体" w:eastAsia="楷体" w:cs="楷体"/>
          <w:b w:val="0"/>
          <w:bCs w:val="0"/>
          <w:sz w:val="28"/>
          <w:szCs w:val="28"/>
          <w:lang w:val="en-US" w:eastAsia="zh-CN"/>
        </w:rPr>
        <w:t>图2  崖州区热带农业发展布局示意图</w:t>
      </w:r>
    </w:p>
    <w:p>
      <w:pPr>
        <w:pStyle w:val="4"/>
        <w:bidi w:val="0"/>
        <w:rPr>
          <w:rFonts w:hint="eastAsia"/>
          <w:lang w:val="en-US" w:eastAsia="zh-CN"/>
        </w:rPr>
      </w:pPr>
      <w:bookmarkStart w:id="284" w:name="_Toc10625"/>
      <w:bookmarkStart w:id="285" w:name="_Toc25195"/>
      <w:bookmarkStart w:id="286" w:name="_Toc15648"/>
      <w:r>
        <w:rPr>
          <w:rFonts w:hint="eastAsia"/>
          <w:lang w:val="en-US" w:eastAsia="zh-CN"/>
        </w:rPr>
        <w:t>二、现代渔业布局</w:t>
      </w:r>
      <w:bookmarkEnd w:id="284"/>
      <w:bookmarkEnd w:id="285"/>
      <w:bookmarkEnd w:id="286"/>
    </w:p>
    <w:p>
      <w:pPr>
        <w:rPr>
          <w:rFonts w:hint="eastAsia"/>
          <w:lang w:val="en-US" w:eastAsia="zh-CN"/>
        </w:rPr>
      </w:pPr>
      <w:r>
        <w:rPr>
          <w:rFonts w:hint="eastAsia"/>
          <w:lang w:val="en-US" w:eastAsia="zh-CN"/>
        </w:rPr>
        <w:t>崖州区打造形成</w:t>
      </w:r>
      <w:r>
        <w:rPr>
          <w:rFonts w:hint="eastAsia"/>
          <w:b/>
          <w:bCs/>
          <w:lang w:val="en-US" w:eastAsia="zh-CN"/>
        </w:rPr>
        <w:t>“两区、一带、一核、多点”</w:t>
      </w:r>
      <w:r>
        <w:rPr>
          <w:rFonts w:hint="eastAsia"/>
          <w:lang w:val="en-US" w:eastAsia="zh-CN"/>
        </w:rPr>
        <w:t>的现代渔业功能布局结构。</w:t>
      </w:r>
    </w:p>
    <w:p>
      <w:pPr>
        <w:rPr>
          <w:rFonts w:hint="eastAsia"/>
          <w:lang w:val="en-US" w:eastAsia="zh-CN"/>
        </w:rPr>
      </w:pPr>
      <w:r>
        <w:rPr>
          <w:rFonts w:hint="eastAsia"/>
          <w:lang w:val="en-US" w:eastAsia="zh-CN"/>
        </w:rPr>
        <w:t>“两区”指陆地渔业经济区和海洋渔业经济区，陆地区域重点发展工厂化养殖、渔港经济、休闲渔业、水产品加工以及淡水养殖等，海洋渔区重点发展深海网箱养殖、海上垂钓等，改变崖州渔业重陆地、轻海洋的结构，实现现代渔业“两条腿”走路。</w:t>
      </w:r>
    </w:p>
    <w:p>
      <w:pPr>
        <w:rPr>
          <w:rFonts w:hint="eastAsia"/>
          <w:lang w:val="en-US" w:eastAsia="zh-CN"/>
        </w:rPr>
      </w:pPr>
      <w:r>
        <w:rPr>
          <w:rFonts w:hint="eastAsia"/>
          <w:lang w:val="en-US" w:eastAsia="zh-CN"/>
        </w:rPr>
        <w:t>“一带”指沿海现代渔业经济带，沿滨海岸线串联起崖州中心渔港、盐灶、镇海、梅山等区域，集中了全区现代渔业的主要产业项目，成为现代渔业发展的黄金带。</w:t>
      </w:r>
    </w:p>
    <w:p>
      <w:pPr>
        <w:rPr>
          <w:rFonts w:hint="eastAsia"/>
          <w:lang w:val="en-US" w:eastAsia="zh-CN"/>
        </w:rPr>
      </w:pPr>
      <w:r>
        <w:rPr>
          <w:rFonts w:hint="eastAsia"/>
          <w:lang w:val="en-US" w:eastAsia="zh-CN"/>
        </w:rPr>
        <w:t>“一核”指中心渔港发展核，重点发展海产品仓储、海产品交易、渔船补给、水产加工、休闲渔业等，为海上养殖提供母港基地保障，发挥全区现代渔业发展的核心枢纽作用。</w:t>
      </w:r>
    </w:p>
    <w:p>
      <w:pPr>
        <w:rPr>
          <w:rFonts w:hint="eastAsia"/>
          <w:lang w:val="en-US" w:eastAsia="zh-CN"/>
        </w:rPr>
      </w:pPr>
      <w:r>
        <w:rPr>
          <w:rFonts w:hint="eastAsia"/>
          <w:lang w:val="en-US" w:eastAsia="zh-CN"/>
        </w:rPr>
        <w:t>“多点”指遍布全区陆地海洋和淡水湖泊的产业集聚点，形成因地制宜、互为补充、相对集中、陆海统筹的发展格局。</w:t>
      </w:r>
    </w:p>
    <w:p>
      <w:pPr>
        <w:keepNext w:val="0"/>
        <w:keepLines w:val="0"/>
        <w:pageBreakBefore w:val="0"/>
        <w:widowControl w:val="0"/>
        <w:kinsoku/>
        <w:wordWrap/>
        <w:overflowPunct/>
        <w:topLinePunct w:val="0"/>
        <w:autoSpaceDE/>
        <w:autoSpaceDN/>
        <w:bidi w:val="0"/>
        <w:adjustRightInd/>
        <w:snapToGrid/>
        <w:spacing w:line="240" w:lineRule="auto"/>
        <w:ind w:left="-160" w:leftChars="-50" w:firstLine="0" w:firstLineChars="0"/>
        <w:jc w:val="center"/>
        <w:textAlignment w:val="auto"/>
        <w:rPr>
          <w:rFonts w:hint="eastAsia" w:ascii="楷体" w:hAnsi="楷体" w:eastAsia="楷体" w:cs="楷体"/>
          <w:b/>
          <w:bCs/>
          <w:sz w:val="28"/>
          <w:szCs w:val="28"/>
          <w:lang w:val="en-US" w:eastAsia="zh-CN"/>
        </w:rPr>
      </w:pPr>
      <w:r>
        <w:rPr>
          <w:rFonts w:hint="eastAsia" w:ascii="楷体" w:hAnsi="楷体" w:eastAsia="楷体" w:cs="楷体"/>
          <w:b/>
          <w:bCs/>
          <w:sz w:val="28"/>
          <w:szCs w:val="28"/>
          <w:lang w:val="en-US" w:eastAsia="zh-CN"/>
        </w:rPr>
        <w:drawing>
          <wp:inline distT="0" distB="0" distL="114300" distR="114300">
            <wp:extent cx="8481695" cy="5400040"/>
            <wp:effectExtent l="0" t="0" r="10160" b="14605"/>
            <wp:docPr id="10" name="图片 10" descr="制图ppt_页面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制图ppt_页面_5"/>
                    <pic:cNvPicPr>
                      <a:picLocks noChangeAspect="1"/>
                    </pic:cNvPicPr>
                  </pic:nvPicPr>
                  <pic:blipFill>
                    <a:blip r:embed="rId18"/>
                    <a:srcRect t="4110" b="4448"/>
                    <a:stretch>
                      <a:fillRect/>
                    </a:stretch>
                  </pic:blipFill>
                  <pic:spPr>
                    <a:xfrm rot="5400000">
                      <a:off x="0" y="0"/>
                      <a:ext cx="8481695" cy="5400040"/>
                    </a:xfrm>
                    <a:prstGeom prst="rect">
                      <a:avLst/>
                    </a:prstGeom>
                  </pic:spPr>
                </pic:pic>
              </a:graphicData>
            </a:graphic>
          </wp:inline>
        </w:drawing>
      </w:r>
    </w:p>
    <w:p>
      <w:pPr>
        <w:ind w:left="0" w:leftChars="0" w:firstLine="0" w:firstLineChars="0"/>
        <w:jc w:val="center"/>
        <w:rPr>
          <w:rFonts w:hint="eastAsia" w:ascii="楷体" w:hAnsi="楷体" w:eastAsia="楷体" w:cs="楷体"/>
          <w:b w:val="0"/>
          <w:bCs w:val="0"/>
          <w:sz w:val="28"/>
          <w:szCs w:val="28"/>
          <w:lang w:val="en-US" w:eastAsia="zh-CN"/>
        </w:rPr>
        <w:sectPr>
          <w:footerReference r:id="rId7" w:type="default"/>
          <w:pgSz w:w="11906" w:h="16838"/>
          <w:pgMar w:top="1440" w:right="1800" w:bottom="1440" w:left="1800" w:header="851" w:footer="992" w:gutter="0"/>
          <w:pgNumType w:start="1"/>
          <w:cols w:space="425" w:num="1"/>
          <w:docGrid w:type="lines" w:linePitch="312" w:charSpace="0"/>
        </w:sectPr>
      </w:pPr>
      <w:r>
        <w:rPr>
          <w:rFonts w:hint="eastAsia" w:ascii="楷体" w:hAnsi="楷体" w:eastAsia="楷体" w:cs="楷体"/>
          <w:b w:val="0"/>
          <w:bCs w:val="0"/>
          <w:sz w:val="28"/>
          <w:szCs w:val="28"/>
          <w:lang w:val="en-US" w:eastAsia="zh-CN"/>
        </w:rPr>
        <w:t>图3  崖州区现代渔业发展布局示意图</w:t>
      </w:r>
    </w:p>
    <w:p>
      <w:pPr>
        <w:pStyle w:val="3"/>
        <w:bidi w:val="0"/>
        <w:rPr>
          <w:rFonts w:hint="eastAsia"/>
          <w:lang w:val="en-US" w:eastAsia="zh-CN"/>
        </w:rPr>
      </w:pPr>
      <w:bookmarkStart w:id="287" w:name="_Toc15491"/>
      <w:bookmarkStart w:id="288" w:name="_Toc13309"/>
      <w:bookmarkStart w:id="289" w:name="_Toc14666"/>
      <w:r>
        <w:rPr>
          <w:rFonts w:hint="eastAsia"/>
          <w:lang w:val="en-US" w:eastAsia="zh-CN"/>
        </w:rPr>
        <w:t>第六节  项目策划</w:t>
      </w:r>
      <w:bookmarkEnd w:id="287"/>
      <w:bookmarkEnd w:id="288"/>
      <w:bookmarkEnd w:id="289"/>
    </w:p>
    <w:p>
      <w:pPr>
        <w:pStyle w:val="4"/>
        <w:bidi w:val="0"/>
        <w:rPr>
          <w:rFonts w:hint="eastAsia"/>
          <w:lang w:val="en-US" w:eastAsia="zh-CN"/>
        </w:rPr>
      </w:pPr>
      <w:bookmarkStart w:id="290" w:name="_Toc18900"/>
      <w:bookmarkStart w:id="291" w:name="_Toc16647"/>
      <w:bookmarkStart w:id="292" w:name="_Toc14025"/>
      <w:r>
        <w:rPr>
          <w:rFonts w:hint="eastAsia"/>
          <w:lang w:val="en-US" w:eastAsia="zh-CN"/>
        </w:rPr>
        <w:t>一、热带农业项目策划</w:t>
      </w:r>
      <w:bookmarkEnd w:id="290"/>
      <w:bookmarkEnd w:id="291"/>
      <w:bookmarkEnd w:id="292"/>
    </w:p>
    <w:p>
      <w:pPr>
        <w:bidi w:val="0"/>
        <w:spacing w:line="240" w:lineRule="auto"/>
        <w:ind w:firstLine="0" w:firstLineChars="0"/>
        <w:jc w:val="center"/>
        <w:rPr>
          <w:rFonts w:hint="eastAsia" w:ascii="楷体" w:hAnsi="楷体" w:eastAsia="楷体" w:cs="楷体"/>
          <w:b w:val="0"/>
          <w:bCs w:val="0"/>
          <w:sz w:val="28"/>
          <w:szCs w:val="28"/>
          <w:lang w:val="en-US" w:eastAsia="zh-CN"/>
        </w:rPr>
      </w:pPr>
      <w:r>
        <w:rPr>
          <w:rFonts w:hint="eastAsia" w:ascii="楷体" w:hAnsi="楷体" w:eastAsia="楷体" w:cs="楷体"/>
          <w:b w:val="0"/>
          <w:bCs w:val="0"/>
          <w:sz w:val="28"/>
          <w:szCs w:val="28"/>
          <w:lang w:val="en-US" w:eastAsia="zh-CN"/>
        </w:rPr>
        <w:t>表17  热带农业重点项目策划</w:t>
      </w:r>
    </w:p>
    <w:tbl>
      <w:tblPr>
        <w:tblStyle w:val="18"/>
        <w:tblW w:w="5000" w:type="pct"/>
        <w:jc w:val="center"/>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1"/>
        <w:gridCol w:w="739"/>
        <w:gridCol w:w="1436"/>
        <w:gridCol w:w="7180"/>
        <w:gridCol w:w="1436"/>
        <w:gridCol w:w="1436"/>
        <w:gridCol w:w="1436"/>
      </w:tblGrid>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blHeader/>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iCs w:val="0"/>
                <w:color w:val="000000"/>
                <w:kern w:val="2"/>
                <w:sz w:val="24"/>
                <w:szCs w:val="24"/>
                <w:u w:val="none"/>
                <w:lang w:val="en-US" w:eastAsia="zh-CN" w:bidi="ar"/>
              </w:rPr>
            </w:pPr>
          </w:p>
        </w:tc>
        <w:tc>
          <w:tcPr>
            <w:tcW w:w="739"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类型</w:t>
            </w:r>
          </w:p>
        </w:tc>
        <w:tc>
          <w:tcPr>
            <w:tcW w:w="1436"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项目名称</w:t>
            </w:r>
          </w:p>
        </w:tc>
        <w:tc>
          <w:tcPr>
            <w:tcW w:w="718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项目内容</w:t>
            </w:r>
          </w:p>
        </w:tc>
        <w:tc>
          <w:tcPr>
            <w:tcW w:w="1436"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投资主体</w:t>
            </w:r>
          </w:p>
        </w:tc>
        <w:tc>
          <w:tcPr>
            <w:tcW w:w="1436"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选址建议</w:t>
            </w:r>
          </w:p>
        </w:tc>
        <w:tc>
          <w:tcPr>
            <w:tcW w:w="1436"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启动时序</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w:t>
            </w:r>
          </w:p>
        </w:tc>
        <w:tc>
          <w:tcPr>
            <w:tcW w:w="739"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农业种植</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国家冬季瓜菜标准化生产基地</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建设1个国家级冬季瓜菜规模化、标准化、设施化生产示范基地，面积1万亩。</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1000万</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政府</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水土结合较好田洋地区</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（1-3年）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2</w:t>
            </w:r>
          </w:p>
        </w:tc>
        <w:tc>
          <w:tcPr>
            <w:tcW w:w="739"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常年蔬菜骨干基地</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建设1个供应三亚本地市场的常年蔬菜骨干基地，面积1000亩。实施露地基础设施改造升级、提升地力、改造提升原有设施大棚、新建经济实用大棚、建设智能化监控系统以及仓库、冷库、初加工车间等配套设施。</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1000万以上</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企业投资、政府补贴</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水土结合较好田洋地区</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（1-3年）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3</w:t>
            </w:r>
          </w:p>
        </w:tc>
        <w:tc>
          <w:tcPr>
            <w:tcW w:w="739"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芒果标准化种植（出口）示范基地</w:t>
            </w:r>
          </w:p>
        </w:tc>
        <w:tc>
          <w:tcPr>
            <w:tcW w:w="7180" w:type="dxa"/>
            <w:vMerge w:val="restart"/>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引进和改良芒果、莲雾、蜜瓜高值高效新品种，加强农业基础设施建设，采用生态化、绿色化、信息化田间管理手段，按照出口的质量和安全标准实施种植，打造芒果、莲雾、蜜瓜出口基地和种植示范基地。</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企业、政府支持</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区内适宜地区</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（1-3年）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4</w:t>
            </w:r>
          </w:p>
        </w:tc>
        <w:tc>
          <w:tcPr>
            <w:tcW w:w="739"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莲雾标准化种植（出口）示范基地</w:t>
            </w:r>
          </w:p>
        </w:tc>
        <w:tc>
          <w:tcPr>
            <w:tcW w:w="7180" w:type="dxa"/>
            <w:vMerge w:val="continue"/>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企业、政府支持</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区内适宜地区</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（1-3年）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5</w:t>
            </w:r>
          </w:p>
        </w:tc>
        <w:tc>
          <w:tcPr>
            <w:tcW w:w="739"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蜜瓜标准化种植（出口）示范基地</w:t>
            </w:r>
          </w:p>
        </w:tc>
        <w:tc>
          <w:tcPr>
            <w:tcW w:w="7180" w:type="dxa"/>
            <w:vMerge w:val="continue"/>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企业、政府支持</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区内适宜地区</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（1-3年）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6</w:t>
            </w:r>
          </w:p>
        </w:tc>
        <w:tc>
          <w:tcPr>
            <w:tcW w:w="739"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打造地理标志产品</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注册“崖州豇豆”国家农产品地理标志产品，打造“崖州水果”“崖州瓜菜”产地品牌联合体。</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行业协会</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近中期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（1-5年）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7</w:t>
            </w:r>
          </w:p>
        </w:tc>
        <w:tc>
          <w:tcPr>
            <w:tcW w:w="739"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特色养殖</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罗牛山现代循环农业示范基地（生猪基地）</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年出栏生猪18万头，满足三亚猪肉需求量的50%，形成从养殖、加工到冷链物流的完整产业链。</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罗牛山、三亚农投集团</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三公里村</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（1-3年）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8</w:t>
            </w:r>
          </w:p>
        </w:tc>
        <w:tc>
          <w:tcPr>
            <w:tcW w:w="739"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肉牛繁育</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建设绿色生态循环肉牛繁育示范基地，包括育肥牛舍、分娩牛舍、种母牛舍、后备牛舍、隔离牛舍、有机肥加工间、干草棚、无害化处理间、科研办公楼等。</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企业</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三更上村</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（1-3年）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9</w:t>
            </w:r>
          </w:p>
        </w:tc>
        <w:tc>
          <w:tcPr>
            <w:tcW w:w="739"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实验动物养殖基地</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就地就近承接崖州湾科技城模式动物研发的应用环节，同时为科技城医药科研、医药研发服务外包（CRO）、器官移植实验、生物制品实验提供大批量实验用猪、猴、犬、兔、鼠等模式动物。</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企业</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区内适宜区域</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中期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（3-5年）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10</w:t>
            </w:r>
          </w:p>
        </w:tc>
        <w:tc>
          <w:tcPr>
            <w:tcW w:w="739"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农业基础设施</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5G智慧种植示范项目</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基于云的高并发、松耦合、大数据支持、开放接入协议的物联网管理平台，通过5G网络，实现区域地区微气象实时监测/预报、多光谱远距离作物生长监测，土壤污染监控、土壤有机质和总菌落数监控、智能诊断；基于可见光的农作物防虫防害、基于多光谱的病虫害早期特征及作物生长状况分析、作物种植生产数据的追溯（农户档案、施肥记录、生长环境、生产流通），打造绿色生态农业；通过无人机实现防虫害高空作业。</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200万</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政府支持</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结合规模化热带水果、冬季瓜菜种植基地</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（1-3年）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11</w:t>
            </w:r>
          </w:p>
        </w:tc>
        <w:tc>
          <w:tcPr>
            <w:tcW w:w="739"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农业物联网管控示范平台项目</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温室环境智能化控制系统、物联网智能灌溉系统、节水灌溉系统、水肥一体化、生产可视化体系。</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政府支持</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结合规模化热带水果、冬季瓜菜种植基地</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（1-3年）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12</w:t>
            </w:r>
          </w:p>
        </w:tc>
        <w:tc>
          <w:tcPr>
            <w:tcW w:w="739"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南繁育种农田基础设施建设项目</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按照每亩6000元以上标准开展南繁育种农田基础设施建设，实施土地平整连片、田块划分、田间干道硬化、机耕桥路、灌排沟渠、电网改造等工程，总规模3.5万亩，把南繁耕地打造成国家农田建设样板工程，保障国家“南繁硅谷”产业发展。</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21000万</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城投公司</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南繁科技城周边田洋为主</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（1-3年）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13</w:t>
            </w:r>
          </w:p>
        </w:tc>
        <w:tc>
          <w:tcPr>
            <w:tcW w:w="739"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坡田洋南繁核心示范基地项目</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高标准农田及基地建设，包括土地平整、田块划分、田间路网、机耕桥路、灌排沟渠、电网改造、信息化、安全监控设施建设等，配套育种专用小区农机装备、信息化设备，以及种子晒场、种子储藏、数据处理中心、科研办公及生活等设施设备，规模2000亩。</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城投公司</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坡田洋</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（1-3年）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14</w:t>
            </w:r>
          </w:p>
        </w:tc>
        <w:tc>
          <w:tcPr>
            <w:tcW w:w="739"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南雅四队五队生物育种专区建设项目</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主要建设内容包括高标准农田建设、科研配套设施建设以及仪器设备及农机具购置等，建成生物安全、用地稳定、管理有序、服务高效的国家级科研试验基地和科研育种平台，规模3200亩。</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城投公司</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南雅四队、五队</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（1-3年）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15</w:t>
            </w:r>
          </w:p>
        </w:tc>
        <w:tc>
          <w:tcPr>
            <w:tcW w:w="739"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耐盐碱作物育种专区项目</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建设内容包括实验设备的资金投入、购买、维护与保养、各项硬件资源管理与共享等，开展以水稻、玉米、棉花为重点的耐盐碱作物育种研究，规模200亩。</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城投公司</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宁远河靠近G98北侧</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（1-3年）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16</w:t>
            </w:r>
          </w:p>
        </w:tc>
        <w:tc>
          <w:tcPr>
            <w:tcW w:w="739"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冬季瓜菜和水果高标准农田建设</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逐年连续开展高标准农田建设，建成“田成方、土壤肥、渠成网、路相通、旱能灌、涝能排、产量高”的标准化农田，完善田网、水网、路网、林网、电网等“五网”配套生产格局，改善冬季瓜菜和水果种植生产条件，建设投入标准应达到每亩2000元以上。</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政府支持</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全区瓜菜水果种植区</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（1-3年）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17</w:t>
            </w:r>
          </w:p>
        </w:tc>
        <w:tc>
          <w:tcPr>
            <w:tcW w:w="739"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南繁育种仓库</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建设种子集中精加工设施，配套硬化晒场、种子专用烘干机、不落地加工流水线、仓储物流等装备、低湿种子仓库、常温种子仓库、，全面提升产业园水稻商品种子生产质量。</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三亚农投集团、崖州湾科技城开发建设公司</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南滨农场</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（1-3年）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18</w:t>
            </w:r>
          </w:p>
        </w:tc>
        <w:tc>
          <w:tcPr>
            <w:tcW w:w="739"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循环农业</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畜禽养殖废弃物资源化利用项目</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采用“废弃物+清洁能源+有机肥”三位一体模式，实现畜禽养殖粪污能源化、资源化循环利用。</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城投公司、企业</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三公里村</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（1-3年）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19</w:t>
            </w:r>
          </w:p>
        </w:tc>
        <w:tc>
          <w:tcPr>
            <w:tcW w:w="739"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秸秆生态化发酵再利用项目</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利用热带高温资源，发展秸秆等生物发酵循环农业项目，生产饲料产品，实现秸秆等农作物的生态化循环再利用，推动绿色生态型农业发展。</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企业、政府支持</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南滨农场</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（1-3年）</w:t>
            </w:r>
          </w:p>
        </w:tc>
      </w:tr>
    </w:tbl>
    <w:p>
      <w:pPr>
        <w:pStyle w:val="4"/>
        <w:bidi w:val="0"/>
        <w:rPr>
          <w:rFonts w:hint="eastAsia"/>
          <w:lang w:val="en-US" w:eastAsia="zh-CN"/>
        </w:rPr>
      </w:pPr>
      <w:bookmarkStart w:id="293" w:name="_Toc14024"/>
      <w:bookmarkStart w:id="294" w:name="_Toc8144"/>
      <w:bookmarkStart w:id="295" w:name="_Toc10967"/>
      <w:r>
        <w:rPr>
          <w:rFonts w:hint="eastAsia"/>
          <w:lang w:val="en-US" w:eastAsia="zh-CN"/>
        </w:rPr>
        <w:t>二、现代渔业项目策划</w:t>
      </w:r>
      <w:bookmarkEnd w:id="293"/>
      <w:bookmarkEnd w:id="294"/>
      <w:bookmarkEnd w:id="295"/>
    </w:p>
    <w:p>
      <w:pPr>
        <w:bidi w:val="0"/>
        <w:spacing w:line="240" w:lineRule="auto"/>
        <w:ind w:firstLine="0" w:firstLineChars="0"/>
        <w:jc w:val="center"/>
        <w:rPr>
          <w:rFonts w:hint="eastAsia" w:ascii="楷体" w:hAnsi="楷体" w:eastAsia="楷体" w:cs="楷体"/>
          <w:b w:val="0"/>
          <w:bCs w:val="0"/>
          <w:sz w:val="28"/>
          <w:szCs w:val="28"/>
          <w:highlight w:val="none"/>
          <w:lang w:val="en-US" w:eastAsia="zh-CN"/>
        </w:rPr>
      </w:pPr>
      <w:r>
        <w:rPr>
          <w:rFonts w:hint="eastAsia" w:ascii="楷体" w:hAnsi="楷体" w:eastAsia="楷体" w:cs="楷体"/>
          <w:b w:val="0"/>
          <w:bCs w:val="0"/>
          <w:sz w:val="28"/>
          <w:szCs w:val="28"/>
          <w:highlight w:val="none"/>
          <w:lang w:val="en-US" w:eastAsia="zh-CN"/>
        </w:rPr>
        <w:t>表18  现代渔业重点项目策划</w:t>
      </w:r>
    </w:p>
    <w:tbl>
      <w:tblPr>
        <w:tblStyle w:val="18"/>
        <w:tblW w:w="5000" w:type="pct"/>
        <w:jc w:val="center"/>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1"/>
        <w:gridCol w:w="739"/>
        <w:gridCol w:w="1436"/>
        <w:gridCol w:w="7180"/>
        <w:gridCol w:w="1436"/>
        <w:gridCol w:w="1436"/>
        <w:gridCol w:w="1436"/>
      </w:tblGrid>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blHeader/>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iCs w:val="0"/>
                <w:color w:val="000000"/>
                <w:kern w:val="2"/>
                <w:sz w:val="24"/>
                <w:szCs w:val="24"/>
                <w:u w:val="none"/>
                <w:lang w:val="en-US" w:eastAsia="zh-CN" w:bidi="ar"/>
              </w:rPr>
            </w:pPr>
          </w:p>
        </w:tc>
        <w:tc>
          <w:tcPr>
            <w:tcW w:w="739"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类型</w:t>
            </w:r>
          </w:p>
        </w:tc>
        <w:tc>
          <w:tcPr>
            <w:tcW w:w="1436"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项目名称</w:t>
            </w:r>
          </w:p>
        </w:tc>
        <w:tc>
          <w:tcPr>
            <w:tcW w:w="718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项目内容</w:t>
            </w:r>
          </w:p>
        </w:tc>
        <w:tc>
          <w:tcPr>
            <w:tcW w:w="1436"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投资主体</w:t>
            </w:r>
          </w:p>
        </w:tc>
        <w:tc>
          <w:tcPr>
            <w:tcW w:w="1436"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选址建议</w:t>
            </w:r>
          </w:p>
        </w:tc>
        <w:tc>
          <w:tcPr>
            <w:tcW w:w="1436"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启动时序</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w:t>
            </w:r>
          </w:p>
        </w:tc>
        <w:tc>
          <w:tcPr>
            <w:tcW w:w="739"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渔业养殖</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工厂化循环水养殖园区</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建设占地面积200亩工厂化循环水养殖产业园区，配套尾水环保处理设施，建设双联、三联标准化养殖厂房，面向社会出租标准厂房，为养殖户提供技术、种苗、渠道、污水处理等服务，打造国家级水产健康养殖示范场。</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城投公司</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镇海</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（1-3年）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2</w:t>
            </w:r>
          </w:p>
        </w:tc>
        <w:tc>
          <w:tcPr>
            <w:tcW w:w="739"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优质新品种虾类工厂化养殖基地</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结合崖州湾科技城“水产种业硅谷”，做好产学研用一体化发展模式，引入国内水产养殖头部企业，发展优质新品种虾类现代化养殖，引领现有养殖虾圈转型升级。</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企业</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盐灶、镇海</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（1-3年）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3</w:t>
            </w:r>
          </w:p>
        </w:tc>
        <w:tc>
          <w:tcPr>
            <w:tcW w:w="739"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水产种苗养殖基地（国家级和省级水产种质资源场）</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依托科技城研发能力延长创新链条，发挥水温高、水质好优势，发展鱼类、虾类、贝类等水产品种苗养殖，建设水产遗传育种中心、原良种场和规模化规范化良种繁育基地，构建以企业为主体、“育繁推”一体化的现代渔业种业体系，向我国沿海省份及东南亚国家提供优质水产养殖种苗。</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企业</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盐灶、镇海，近海养殖平台</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（1-3年）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4</w:t>
            </w:r>
          </w:p>
        </w:tc>
        <w:tc>
          <w:tcPr>
            <w:tcW w:w="739"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热带观赏鱼类养殖基地（观赏鱼观光展示交易基地）</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建设观光型热带观赏鱼养殖工厂，养殖大众型、名贵型热带鱼类，开展观赏鱼旅游观光、知识科普、名品展示、交易销售等服务。</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企业</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梅山</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（1-3年）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5</w:t>
            </w:r>
          </w:p>
        </w:tc>
        <w:tc>
          <w:tcPr>
            <w:tcW w:w="739"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三亚水产苗种南繁生态产业园</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330亩水产苗种现代化、工厂化产业园，全面引入5G、物联网水产养殖自动化监测技术。</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25700万元</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三亚农投集团、崖州湾科技城开发建设公司</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沿海乡镇合适区域</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（1-3年）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6</w:t>
            </w:r>
          </w:p>
        </w:tc>
        <w:tc>
          <w:tcPr>
            <w:tcW w:w="739"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大型网箱深远海养殖工船项目</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引入海洋牧场行业头部企业，在崖州湾深远海区域发展坐底式、抗风浪大型网箱养殖工船，形成网箱养殖工船、加工船、运输船等深远海绿色养殖平台体系，开展黄鳍金枪鱼等高附加值深水鱼类养殖，供应国内高端市场，利用自贸港优势出口日韩欧美市场。</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企业</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崖州湾深远海区域</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default" w:ascii="楷体" w:hAnsi="楷体" w:eastAsia="楷体" w:cs="楷体"/>
                <w:b w:val="0"/>
                <w:bCs w:val="0"/>
                <w:i w:val="0"/>
                <w:iCs w:val="0"/>
                <w:color w:val="000000"/>
                <w:kern w:val="2"/>
                <w:sz w:val="24"/>
                <w:szCs w:val="24"/>
                <w:u w:val="none"/>
                <w:lang w:val="en-US" w:eastAsia="zh-CN" w:bidi="ar"/>
              </w:rPr>
              <w:t>近期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default" w:ascii="楷体" w:hAnsi="楷体" w:eastAsia="楷体" w:cs="楷体"/>
                <w:b w:val="0"/>
                <w:bCs w:val="0"/>
                <w:i w:val="0"/>
                <w:iCs w:val="0"/>
                <w:color w:val="000000"/>
                <w:kern w:val="2"/>
                <w:sz w:val="24"/>
                <w:szCs w:val="24"/>
                <w:u w:val="none"/>
                <w:lang w:val="en-US" w:eastAsia="zh-CN" w:bidi="ar"/>
              </w:rPr>
              <w:t>（1-3年）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7</w:t>
            </w:r>
          </w:p>
        </w:tc>
        <w:tc>
          <w:tcPr>
            <w:tcW w:w="739"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深水抗风浪网箱养殖</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发展深水型抗风浪网箱养殖，开展南海经济鱼类养殖，开展扇贝等海珍品养殖。</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企业</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崖州湾深海区域</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default" w:ascii="楷体" w:hAnsi="楷体" w:eastAsia="楷体" w:cs="楷体"/>
                <w:b w:val="0"/>
                <w:bCs w:val="0"/>
                <w:i w:val="0"/>
                <w:iCs w:val="0"/>
                <w:color w:val="000000"/>
                <w:kern w:val="2"/>
                <w:sz w:val="24"/>
                <w:szCs w:val="24"/>
                <w:u w:val="none"/>
                <w:lang w:val="en-US" w:eastAsia="zh-CN" w:bidi="ar"/>
              </w:rPr>
              <w:t>近期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default" w:ascii="楷体" w:hAnsi="楷体" w:eastAsia="楷体" w:cs="楷体"/>
                <w:b w:val="0"/>
                <w:bCs w:val="0"/>
                <w:i w:val="0"/>
                <w:iCs w:val="0"/>
                <w:color w:val="000000"/>
                <w:kern w:val="2"/>
                <w:sz w:val="24"/>
                <w:szCs w:val="24"/>
                <w:u w:val="none"/>
                <w:lang w:val="en-US" w:eastAsia="zh-CN" w:bidi="ar"/>
              </w:rPr>
              <w:t>（1-3年）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8</w:t>
            </w:r>
          </w:p>
        </w:tc>
        <w:tc>
          <w:tcPr>
            <w:tcW w:w="739"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老旧养殖场标准化升级改造</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针对存续的合规合法养殖场，支持开展进排水系统、电路设备、道路设施、技术装备等升级改造工作，推广节能减排、集约化、生态化养殖模式，提高生产效益。</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企业为主、政府支持</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存续养殖场</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（1-3年）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9</w:t>
            </w:r>
          </w:p>
        </w:tc>
        <w:tc>
          <w:tcPr>
            <w:tcW w:w="739"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崖州湾近岸海洋牧场</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以海洋生态环境修复为宗旨，建设人工鱼礁、人工珊瑚礁、海藻场、海草床，配套管护设施和监测平台。</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政府</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崖州湾海域</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（1-3年）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10</w:t>
            </w:r>
          </w:p>
        </w:tc>
        <w:tc>
          <w:tcPr>
            <w:tcW w:w="739"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海洋牧场南繁水产育种</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陆地建设原料鱼恒温储存车间、原料加工车间、成品鱼片加工车间、海洋牧场贝类加工车间、育种育苗示范基地车间、配套水处理设备及其它配套设施，为海洋牧场提供成品鱼。</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海上建设软性网箱海洋牧场，可抗台风12级，风力超过12级可自动充水下沉至深水无浪区域，实施远程全智能自动监控养殖作业模式。</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企业</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盐灶、镇海和崖州湾海域</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（1-3年）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11</w:t>
            </w:r>
          </w:p>
        </w:tc>
        <w:tc>
          <w:tcPr>
            <w:tcW w:w="739"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水库生态健康淡水养殖</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以部分小型水库大水面生态健康养殖为主，兼顾增殖放流和休闲渔业，逐步规范网箱、围网等投饵养殖，推进由扶贫产业向农旅结合升级。</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企业</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区内允许养殖水库</w:t>
            </w:r>
            <w:r>
              <w:rPr>
                <w:rStyle w:val="27"/>
                <w:rFonts w:hint="eastAsia" w:ascii="楷体" w:hAnsi="楷体" w:eastAsia="楷体" w:cs="楷体"/>
                <w:b w:val="0"/>
                <w:bCs w:val="0"/>
                <w:i w:val="0"/>
                <w:iCs w:val="0"/>
                <w:color w:val="000000"/>
                <w:kern w:val="2"/>
                <w:sz w:val="24"/>
                <w:szCs w:val="24"/>
                <w:u w:val="none"/>
                <w:lang w:val="en-US" w:eastAsia="zh-CN" w:bidi="ar"/>
              </w:rPr>
              <w:footnoteReference w:id="0"/>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（1-3年）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12</w:t>
            </w:r>
          </w:p>
        </w:tc>
        <w:tc>
          <w:tcPr>
            <w:tcW w:w="739"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中心渔港</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崖州中心渔港二期工程</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远洋捕捞码头（1泊位90m）、物资补给码头（1泊位131.5m）、修船码头（3泊位195m）及港池航道水域疏浚，形成陆域约3.6万㎡，新增港池面积约37.3万㎡，新建码头岸线416.5m，新建护岸84.2m及后方陆域配套附属设施。</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45000万元</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城投公司</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崖州中心渔港</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（1-3年）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13</w:t>
            </w:r>
          </w:p>
        </w:tc>
        <w:tc>
          <w:tcPr>
            <w:tcW w:w="739"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清洁能源游钓船艇租赁</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投入清洁能源型游钓船艇等休闲渔船，开展休闲渔业船舶（游钓船艇）租赁业务试点。</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企业、城投公司</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崖州中心渔港</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（1-3年）</w:t>
            </w:r>
          </w:p>
        </w:tc>
      </w:tr>
    </w:tbl>
    <w:p>
      <w:pPr>
        <w:pStyle w:val="3"/>
        <w:bidi w:val="0"/>
        <w:rPr>
          <w:rFonts w:hint="eastAsia"/>
          <w:lang w:val="en-US" w:eastAsia="zh-CN"/>
        </w:rPr>
      </w:pPr>
      <w:bookmarkStart w:id="296" w:name="_Toc4167"/>
      <w:bookmarkStart w:id="297" w:name="_Toc24484"/>
      <w:bookmarkStart w:id="298" w:name="_Toc8551"/>
      <w:r>
        <w:rPr>
          <w:rFonts w:hint="eastAsia"/>
          <w:lang w:val="en-US" w:eastAsia="zh-CN"/>
        </w:rPr>
        <w:t>第七节  招商建议</w:t>
      </w:r>
      <w:bookmarkEnd w:id="296"/>
      <w:bookmarkEnd w:id="297"/>
      <w:bookmarkEnd w:id="298"/>
    </w:p>
    <w:p>
      <w:pPr>
        <w:pStyle w:val="4"/>
        <w:bidi w:val="0"/>
        <w:rPr>
          <w:rFonts w:hint="eastAsia"/>
          <w:lang w:val="en-US" w:eastAsia="zh-CN"/>
        </w:rPr>
      </w:pPr>
      <w:bookmarkStart w:id="299" w:name="_Toc765"/>
      <w:bookmarkStart w:id="300" w:name="_Toc17794"/>
      <w:bookmarkStart w:id="301" w:name="_Toc15216"/>
      <w:r>
        <w:rPr>
          <w:rFonts w:hint="eastAsia"/>
          <w:lang w:val="en-US" w:eastAsia="zh-CN"/>
        </w:rPr>
        <w:t>一、热带农业招商建议</w:t>
      </w:r>
      <w:bookmarkEnd w:id="299"/>
      <w:bookmarkEnd w:id="300"/>
      <w:bookmarkEnd w:id="301"/>
    </w:p>
    <w:p>
      <w:pPr>
        <w:bidi w:val="0"/>
        <w:spacing w:line="240" w:lineRule="auto"/>
        <w:ind w:firstLine="0" w:firstLineChars="0"/>
        <w:jc w:val="center"/>
        <w:rPr>
          <w:rFonts w:hint="eastAsia"/>
          <w:b w:val="0"/>
          <w:bCs w:val="0"/>
          <w:lang w:val="en-US" w:eastAsia="zh-CN"/>
        </w:rPr>
      </w:pPr>
      <w:r>
        <w:rPr>
          <w:rFonts w:hint="eastAsia" w:ascii="楷体" w:hAnsi="楷体" w:eastAsia="楷体" w:cs="楷体"/>
          <w:b w:val="0"/>
          <w:bCs w:val="0"/>
          <w:sz w:val="28"/>
          <w:szCs w:val="28"/>
          <w:lang w:val="en-US" w:eastAsia="zh-CN"/>
        </w:rPr>
        <w:t>表19  热带农业招商建议</w:t>
      </w:r>
    </w:p>
    <w:tbl>
      <w:tblPr>
        <w:tblStyle w:val="18"/>
        <w:tblW w:w="5000" w:type="pct"/>
        <w:jc w:val="center"/>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24"/>
        <w:gridCol w:w="2024"/>
        <w:gridCol w:w="2024"/>
        <w:gridCol w:w="8102"/>
      </w:tblGrid>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blHeader/>
          <w:jc w:val="center"/>
        </w:trPr>
        <w:tc>
          <w:tcPr>
            <w:tcW w:w="202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领域方向</w:t>
            </w:r>
          </w:p>
        </w:tc>
        <w:tc>
          <w:tcPr>
            <w:tcW w:w="202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企业/机构</w:t>
            </w:r>
          </w:p>
        </w:tc>
        <w:tc>
          <w:tcPr>
            <w:tcW w:w="202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业务范围</w:t>
            </w:r>
          </w:p>
        </w:tc>
        <w:tc>
          <w:tcPr>
            <w:tcW w:w="8102"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简介</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热带果业</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北大荒农垦集团总公司</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土地发包、农产品、尿素业务、房地产</w:t>
            </w: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拥有中国耕地规模最大、机械化程度最高的国有农场群，全国最大的商品粮生产基地。2018年12月北大荒集团考察海垦集团，就热带果业、南繁科技城等项目合作进行洽谈。</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热带果业</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都乐（Dole）</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种植、加工、全球销售</w:t>
            </w: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全球最大的新鲜水果、蔬菜种植和加工企业，在中国近10个特大、大城市设有加工配送中心。</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实验动物养殖</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维通利华</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Charles River Laboratories（CRL）</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提供遗传模型、动物诊断、病理学、药效学实验、转基因动物等服务</w:t>
            </w: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全球最大实验动物公司，生物医学前临床产品和服务供应商，拥有超过130种遗传学背景和微生物学背景清晰定义的实验动物。维通利华中国区总部位于北京，全球动植物种质资源引进中转基地的实验动物资源与CRL的业务高度交叉，崖州区可以承接养殖工厂。</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实验动物养殖</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中国医学科学院医学实验动物研究所</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企业委托药物临床前安全性评价研究，保健食品功能学检测与毒理学评价，化妆品毒理学试验</w:t>
            </w: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从事实验动物学和比较医学科研与教学的专业研究所，是集实验动物和疾病动物模型资源创制、保种和生产供应、比较医学技术研究及实验动物技术培训于一体的研究单位。拥有传染病、药物诱导和手术动物模型约170余种，是中国唯一人类疾病模型动物资源研制和供应基地，每年为200个以上机构提供疾病模型创制服务，崖州区可以承接实验动物养殖工厂。</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热带水果农场、冬季瓜菜农场</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京东集团</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电商平台、跨境电商、智慧物流、智能供应链等</w:t>
            </w: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中国自营式电商企业，将以无人机农林植保服务为切入点，整合京东物流、金融、生鲜、大数据等能力，搭建智慧农业共同体，与地方政府、农业上下游龙头企业、农业领域专家等共同合作，构建开放、共生、共赢的农业合作平台，打造旗下品牌农场“京东农场”。</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农业自动化现代化</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卓感科技</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终端数据采集、智能控制、网络传输、数据中心、应用平台等智慧农业体系</w:t>
            </w: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专注于智慧农业领域，业界领先的智慧农业解决方案综合服务提供商，面向政府、企业提供智慧农业产品及解决方案的规划设计、交付与服务。总部位于黑龙江，在深圳设立产品中心，在北京设立研发中心，在方案顶层设计、农业物联网标准化、互联网+农业、农业社会化服务运营等智慧农业领域积累了丰富经验。</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农业大数据</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以色列AKOL</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提供农业领域全信息化平台和沟通方案</w:t>
            </w: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专注于向农业领域提供全信息化平台和沟通方案，项目覆盖中国、欧洲、美国、以色列，客户包括乳制品生产商、酿酒厂、养牛场、养鸡场，为农场主、农业企业提供给信息化平台和解决方案，对于解决海南耕地不足、台风等气象灾害情况有针对性辅助。</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农业大数据</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广州健坤网络科技发展有限公司</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智慧农业、物联网应用、移动互联网应用、云计算与大数据应用、检测管理</w:t>
            </w: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农业部认定的全国农业信息化示范基地，广东省农业大数据应用示范单位，拥有农业信息化与智能装备研发实验室和广东省云计算与大数据研发实验室，将物联网、移动互联网、云计算等信息技术运用在农业领域，为农户及企业提供“软件、硬件和服务”三位一体的信息化服务。</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农业科技</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北京奥科美技术服务有限公司</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智能农业平台建设</w:t>
            </w: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智能化农业产业纵深的服务生态平台，以智能化手段提高农场管理水平，以“义田帮手”农场管理SAAS产品为基础，建立义田4S生产标准化透明化管理体系，为农场提供生产、资源、商品化、采销存、质量追溯等全方位的管理服务，帮助农场降本增效。</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农业科技</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广州大气候农业科技</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农业物联网规模化应用、农业智能硬件研发、农业大数据分析</w:t>
            </w: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以互联网+智能硬件技术创新为核心的高科技企业，致力于农业物联网规模化应用、农业智能硬件研发与农业大数据分析，为科学种植、食品安全溯源、农业品牌打造提供技术及数据服务。研发的农眼智能监测管理系统引入AI功能，基于对种植端气象及图像的监测分析，实现精准种植。国际市场开拓至澳大利亚、新西兰、俄罗斯、新加坡，其中澳大利亚农眼监管大型农场超过100个，市场认可度高，适合热带气候农业发展。</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农业科技</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成都智棚农业科技</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种植和养殖两大农业板块的智慧化系统开发</w:t>
            </w: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专注于智慧农业研究的高科技公司，通过物联网科技为农业赋能，帮助种植者和养殖者创造一个有利的生长环境，有效减少生产劳动力，使客户从智能化投资中获得最大效益。</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农业科技</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广东新农人农业科技</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农业科技、农业贸易、农业人才、农业公益</w:t>
            </w: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凭借农业高新技术优势，按照高产、高效、优质、安全的要求，建立标准化、系统化、信息化、品牌化的农产品生产销售模式，提高农业综合效益。</w:t>
            </w:r>
          </w:p>
        </w:tc>
      </w:tr>
    </w:tbl>
    <w:p>
      <w:pPr>
        <w:pStyle w:val="4"/>
        <w:bidi w:val="0"/>
        <w:rPr>
          <w:rFonts w:hint="eastAsia"/>
          <w:lang w:val="en-US" w:eastAsia="zh-CN"/>
        </w:rPr>
      </w:pPr>
      <w:bookmarkStart w:id="302" w:name="_Toc13852"/>
      <w:bookmarkStart w:id="303" w:name="_Toc10910"/>
      <w:bookmarkStart w:id="304" w:name="_Toc29797"/>
      <w:r>
        <w:rPr>
          <w:rFonts w:hint="eastAsia"/>
          <w:lang w:val="en-US" w:eastAsia="zh-CN"/>
        </w:rPr>
        <w:t>二、现代渔业招商建议</w:t>
      </w:r>
      <w:bookmarkEnd w:id="302"/>
      <w:bookmarkEnd w:id="303"/>
      <w:bookmarkEnd w:id="304"/>
    </w:p>
    <w:p>
      <w:pPr>
        <w:bidi w:val="0"/>
        <w:spacing w:line="240" w:lineRule="auto"/>
        <w:ind w:firstLine="0" w:firstLineChars="0"/>
        <w:jc w:val="center"/>
        <w:rPr>
          <w:rFonts w:hint="eastAsia"/>
          <w:b w:val="0"/>
          <w:bCs w:val="0"/>
          <w:lang w:val="en-US" w:eastAsia="zh-CN"/>
        </w:rPr>
      </w:pPr>
      <w:r>
        <w:rPr>
          <w:rFonts w:hint="eastAsia" w:ascii="楷体" w:hAnsi="楷体" w:eastAsia="楷体" w:cs="楷体"/>
          <w:b w:val="0"/>
          <w:bCs w:val="0"/>
          <w:sz w:val="28"/>
          <w:szCs w:val="28"/>
          <w:lang w:val="en-US" w:eastAsia="zh-CN"/>
        </w:rPr>
        <w:t>表20  现代渔业招商建议</w:t>
      </w:r>
    </w:p>
    <w:tbl>
      <w:tblPr>
        <w:tblStyle w:val="18"/>
        <w:tblW w:w="5000" w:type="pct"/>
        <w:jc w:val="center"/>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24"/>
        <w:gridCol w:w="2024"/>
        <w:gridCol w:w="2024"/>
        <w:gridCol w:w="8102"/>
      </w:tblGrid>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blHeader/>
          <w:jc w:val="center"/>
        </w:trPr>
        <w:tc>
          <w:tcPr>
            <w:tcW w:w="202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领域方向</w:t>
            </w:r>
          </w:p>
        </w:tc>
        <w:tc>
          <w:tcPr>
            <w:tcW w:w="202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企业/机构</w:t>
            </w:r>
          </w:p>
        </w:tc>
        <w:tc>
          <w:tcPr>
            <w:tcW w:w="202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业务范围</w:t>
            </w:r>
          </w:p>
        </w:tc>
        <w:tc>
          <w:tcPr>
            <w:tcW w:w="8102"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简介</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远洋渔业</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中水集团远洋股份有限公司（中水渔业）</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综合性渔业企业</w:t>
            </w: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由中国海洋渔业总公司、中国水产供销总公司和中国水产养殖公司联合组成，国内规模最大、实力最强的综合性渔业企业，在海外有独资、合资公司和办事处11家，分布在东南亚、大洋洲、西南非洲、拉丁美洲等地区。</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远洋渔业</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上海开创国际海洋资源股份有限公司</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远洋渔业捕捞，海淡水产品养殖，渔船、渔业机械等</w:t>
            </w: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拥有国内最大的大型拖网生产船队、国内最大的金枪鱼围网船队和三家境外投资企业，年总捕捞能力约10万吨，产品在非洲、南美、欧洲等国家占有较高市场份额。</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工厂化养殖运营</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生生农业集团股份有限公司</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零售、批发、养殖、种植、收购、加工水产品、鱼苗、花卉、禽畜、饲料等</w:t>
            </w: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成立于2005年，总部位于佛山，是集水产良种繁殖、健康养殖、产品加工、饲料加工、物流配送、农贸市场、品牌加盟运营管理于一体的省级农业龙头企业，在珠三角、海南拥有15个标准化水产养殖基地，水产品主要面向港澳市场，是广东省供港澳水产品的重点企业。</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工厂化养殖运营</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浙江恒泽生态农业有限公司</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生态农业技术研发、水生环境保护、水产种苗生产、销售等</w:t>
            </w: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成立于2011年，主要从事特色鱼类生态健康养殖技术，集生态农业示范、鱼文化科普教育、淡水鱼养殖技术研发与一体的现代综合型农业公司。自营园区1430亩，以小苗和规格苗生产、工厂化循环水养殖、池塘自净式生态循环养殖为主。</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工厂化养殖运营</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湛江国联水产</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水产种苗、饲料、加工、贸易、科研</w:t>
            </w: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国家农业产业化重点龙头企业，中国对虾加工行业首家上市的民营企业，以对虾、罗非鱼产业链为核心，以加工出口为主要方向，产品辐射美国、加拿大、日本、韩国、欧盟等数十多个国家。</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工厂化养殖运营</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潍坊顺源渔业有限公司</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冷水鱼养殖，水产品加工、销售，观赏鱼销售等</w:t>
            </w: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以三文鱼、鲟鱼养殖为主，打造生态环保冷水鱼养殖示范基地。工厂化循环水养殖系统由固液分离器、微粒微滤机、杀菌机灭菌器、生物滤池、高效增氧机等设备组成，所有的设备由控制系统自动管理，水量、溶氧、水温、报警自动控制。</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工厂化养殖运营</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福建天马科技</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进出口贸易、食品加工业、建材产业、信息产业、生物工程、房地产业等领域</w:t>
            </w: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上市公司，是一家研发、生产、销售特种水产配合饲料的农业产业化国家重点龙头企业，鳗鱼产销量以1/3的市场份额稳居国内第一，鳗鲡配合饲料销量世界第一。利用自动化和物联网技术，引领水产行业养殖集约化和标准化，构建“原料贸易—饲料—养殖—动保服务—水产品及畜禽产品销售—食品终端”于一体的完整产业链。</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工厂化养殖运营</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英国Prawns水产养殖公司（Great British Prawns）</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循环水产养殖系统技术，室内陆基大虾养殖设施</w:t>
            </w: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虾工厂利用室内循环水养殖技术和可再生能源养殖南美白对虾，通过循环水系统将大部分的养殖用水净化、再循环到养殖系统内，GBP公司的循环水养殖场设计超过300吨水体，每年生产量达到25吨，计划出虾规格25克/尾。</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工厂化养殖运营</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泰国正大卜蜂（CPF）</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以农牧食品、商业零售、电信三大事业为核心的集团</w:t>
            </w: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公司在其泰国养虾场替换传统养殖模式，普及应用最新的封闭式室内养殖模式，养殖水循环利用，降低水资源污染，降低养殖疾病风险，保护环境。</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海洋渔业综合经营</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浙江大洋世家</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远洋捕捞、水产养殖、水产加工、水产收购等贸易</w:t>
            </w: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公司拥有三大船队大型超低温金枪鱼延绳钓船18艘，是我国最大的超低温金枪鱼船队；大型金枪鱼围网船两组；大型鱿鱼钓船9艘，在太平洋、印度洋、大西洋海域作业，还拥有三个大型水产加工基地。</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观赏鱼繁育</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上海万金观赏鱼养殖有限公司</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观赏鱼养殖、货物进出口及技术进出口</w:t>
            </w: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公司养殖世界性淡水观赏鱼（金鱼、锦鲤鱼、热带鱼）三大系列，品种全、质量好，主要出口国际市场，公司产业基地是上海市区域特色农产品（观赏鱼）生产基地、国家出口观赏鱼养殖标准化示范区。</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观赏鱼繁育</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新加坡仟湖鱼业</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龙鱼繁殖、养殖、进出口及分销</w:t>
            </w: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1998年成立于新加坡，新加坡交易所挂牌上市，是一家综合的观赏鱼服务供应商，从事龙鱼的繁殖、养殖、进出口及分销，涉及来自世界各地超过1000个观赏鱼物种与品种，出口80多个国家。</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观赏鱼繁育</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马来西亚祥龙鱼场</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繁殖并培育红龙、金龙等全系列热带鱼，并不断研究改良品种</w:t>
            </w: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1978年成立于马来西亚，马来西亚第一家挂牌上市的观赏鱼养殖公司，在马来西亚拥有8个面积近2000亩的大渔场，热带鱼品种覆盖水族行业，构建了完善的水族行业供应链网络，在相关热带鱼产地有自己的渔场和源头合作商。</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观赏鱼繁育</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长彦观赏鱼养殖有限公司</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金鱼研发、鱼苗孵化、特种种鱼养殖销售</w:t>
            </w: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成立于1988年，</w:t>
            </w:r>
            <w:r>
              <w:rPr>
                <w:rFonts w:hint="default" w:ascii="楷体" w:hAnsi="楷体" w:eastAsia="楷体" w:cs="楷体"/>
                <w:b w:val="0"/>
                <w:bCs w:val="0"/>
                <w:i w:val="0"/>
                <w:iCs w:val="0"/>
                <w:color w:val="000000"/>
                <w:kern w:val="2"/>
                <w:sz w:val="24"/>
                <w:szCs w:val="24"/>
                <w:u w:val="none"/>
                <w:lang w:val="en-US" w:eastAsia="zh-CN" w:bidi="ar"/>
              </w:rPr>
              <w:t>全国规模最大的观赏鱼养殖基地之一</w:t>
            </w:r>
            <w:r>
              <w:rPr>
                <w:rFonts w:hint="eastAsia" w:ascii="楷体" w:hAnsi="楷体" w:eastAsia="楷体" w:cs="楷体"/>
                <w:b w:val="0"/>
                <w:bCs w:val="0"/>
                <w:i w:val="0"/>
                <w:iCs w:val="0"/>
                <w:color w:val="000000"/>
                <w:kern w:val="2"/>
                <w:sz w:val="24"/>
                <w:szCs w:val="24"/>
                <w:u w:val="none"/>
                <w:lang w:val="en-US" w:eastAsia="zh-CN" w:bidi="ar"/>
              </w:rPr>
              <w:t>，</w:t>
            </w:r>
            <w:r>
              <w:rPr>
                <w:rFonts w:hint="default" w:ascii="楷体" w:hAnsi="楷体" w:eastAsia="楷体" w:cs="楷体"/>
                <w:b w:val="0"/>
                <w:bCs w:val="0"/>
                <w:i w:val="0"/>
                <w:iCs w:val="0"/>
                <w:color w:val="000000"/>
                <w:kern w:val="2"/>
                <w:sz w:val="24"/>
                <w:szCs w:val="24"/>
                <w:u w:val="none"/>
                <w:lang w:val="en-US" w:eastAsia="zh-CN" w:bidi="ar"/>
              </w:rPr>
              <w:t>拥有先进的养殖设备和智能的监控检测设施，有观赏鱼三大类120多个品种，销售网络扩展到全国，并出口欧洲和中东地区。</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海珍品养殖</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山东好当家海洋发展有限公司</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海水养殖、海珍品养殖</w:t>
            </w: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被中国水产科学研究院认定为“全国最大海珍品养殖基地”，生产规模和经济效益连续多年居山东省同行业首位，是实施“海上山东”战略的龙头企业。</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海洋水产和海珍品种苗繁育企业</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光明渔业</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渔业技术服务，食用农产品销售，食品加工</w:t>
            </w: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光明食品（集团）下属的专门从事水产养殖、饲料、销售的公司，拥有6.2万亩水产品养殖基地，年产水产品4万余吨，对鱼塘进行标准化改造，改造成功集中连片、整齐划一、进排水良好的标准化养殖场2万余亩。</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海洋水产和海珍品种苗繁育企业</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浙江兴业集团</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外海、远洋捕捞；水产养殖；食品、保健品加工销售</w:t>
            </w: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大型中外合资企业，创建于1995年，浙江名牌，以水产品精深加工贸易为主，集远洋捕捞、海洋生物制造、船舶修造、绳网制造、餐饮等产业为一体的大型水产企业。</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海洋水产和海珍品种苗繁育企业</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山东东方海洋</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海水动植物养殖、育种、育苗；食品加工</w:t>
            </w: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上市公司，海水苗种繁育养殖、水产品加工、保税仓储等产业为主，是国家级高新技术企业、农业产业化国家重点龙头企业、国家级水产良种场、国家认定企业技术中心。</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深水网箱养殖</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中集来福士海洋</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深远海养殖工船建造、运营，钻井平台、生产平台、海洋工程船、海洋牧场平台、海上风电船、豪华游艇等各类海洋装备的设计、新建、维修和改造</w:t>
            </w: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中集集团旗下公司，拥有烟台、上海、挪威、瑞典四个海洋研究所和烟台、海阳、龙口三个建造基地。海洋牧场平台是按照自升式钻井平台的技术标准自主设计建造的最新产品。平台与鱼礁共同构成完整的海洋牧场体系，使海藻附着，聚拢鱼群并为其提供食物，成为海底鱼群的家。平台可搭载各种系统进行升级改造，并装修不同风格，适用于海上养殖、海上旅游休闲、海上观光酒店、海上垂钓娱乐、海上水质观测科研等领域，形成海岸陆地的延伸。自主生产建造了全球最大最先进的深水养殖工船“HAVFARM 1”（出口挪威），钢结构坐底式网箱“耕海一号”总养殖体积30000立方米，配备自动投喂系统、水下监测系统、水下洗网机等，实现养殖自动化、智能化和无污染化。</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深水网箱养殖</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烟台经海海洋渔业</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海洋牧场、智慧渔场、渔业园区、休闲渔业、育苗</w:t>
            </w: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重点发展深远海水产养殖产业，采用养殖工船、座底式网箱等大型海洋装备，通过推进“百箱计划”，目标成为装备先进、规模化、高智能化、生态可持续发展的现代化深海养殖龙头企业。</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深水网箱养殖</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青岛国信集团</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深海工船养殖投资、运营</w:t>
            </w: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青岛国信集团是一家把海洋产业纳入主业发展方向的国有投资公司，委托中船集团规划建设10万吨级大型养殖工船，打造成为集深远海养殖、初加工与仓储、休闲、科考、信息通信、应急救援等多功能为一体的新型智慧海洋综合功能平台。目标投资建设50艘养殖工船，形成总吨位突破500万吨，年产名贵海水鱼类20余万吨，产值突破110亿元的深远海养殖产业链条。</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深水网箱养殖</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临高海丰养殖发展有限公司</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水产养殖；渔业养殖装备、网箱框架、渔网等制作加工和销售；水产饲料加工和销售</w:t>
            </w: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公司创建于2002年，以深海大型抗风浪网箱养殖、海洋牧场为主业，集种苗培育、深海网箱养殖、饲料加工、冷链物流、全球销售等多元产业一体的国家农业产业化重点龙头企业，拥有管理人员及熟练技术工人400多名。现拥有养殖海域近20000亩，大型深海抗风浪网箱五百多个，分布于海南临高、海南陵水、广西北海等地。</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深水网箱养殖</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青岛启航网箱工程技术有限公司</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深海网箱和大型抗风浪深水网箱及网具的研制、销售，海水养殖</w:t>
            </w: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公司着重于海洋资源深度综合开发和海洋科技成果产业化，是国家高新技术企业、国家“863”计划深海抗风浪网箱子课题承担单位之一、十三五“深远海智能化网箱整装装备产业链协同创新示范项目”协作单位、中国水产科学研究院黄海水产研究所深水网箱设施制造基地。</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深水网箱养殖</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广州华大锐护科技有限公司</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水产品零售、鱼苗批发、鱼种培育养殖，海水养殖等</w:t>
            </w: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集装箱循环水生态养殖模式可通过控温、控水、控苗、控料、控菌、控藻，实现绿色生态化、精细工业化、资源集约化、市场敏捷化。</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深水网箱养殖</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湛江恒兴渔业有限公司</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水产养殖；水产种苗培育，渔业工程，渔业生物技术开发</w:t>
            </w: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广东恒兴集团下属公司，投入生产深水网箱基地2个，其中特呈岛基地面积55.63公顷、深水网箱500个，是广东省深水网箱产业园区，也是全国首个深水网箱产业园，该产业园以工业园的理念发展深水网箱产业，促进渔业产业升级换代。</w:t>
            </w:r>
          </w:p>
        </w:tc>
      </w:tr>
    </w:tbl>
    <w:p>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p>
    <w:p>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sectPr>
          <w:footnotePr>
            <w:numFmt w:val="decimalEnclosedCircleChinese"/>
          </w:footnotePr>
          <w:pgSz w:w="16838" w:h="11906" w:orient="landscape"/>
          <w:pgMar w:top="1800" w:right="1440" w:bottom="1800" w:left="1440" w:header="851" w:footer="992" w:gutter="0"/>
          <w:cols w:space="425" w:num="1"/>
          <w:docGrid w:type="lines" w:linePitch="312" w:charSpace="0"/>
        </w:sect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pStyle w:val="2"/>
        <w:bidi w:val="0"/>
        <w:rPr>
          <w:rFonts w:hint="eastAsia"/>
          <w:lang w:val="en-US" w:eastAsia="zh-CN"/>
        </w:rPr>
      </w:pPr>
      <w:bookmarkStart w:id="305" w:name="_Toc29608"/>
      <w:bookmarkStart w:id="306" w:name="_Toc4157"/>
      <w:bookmarkStart w:id="307" w:name="_Toc29466"/>
      <w:r>
        <w:rPr>
          <w:rFonts w:hint="eastAsia"/>
          <w:lang w:val="en-US" w:eastAsia="zh-CN"/>
        </w:rPr>
        <w:t>第四章  第二产业</w:t>
      </w:r>
      <w:bookmarkEnd w:id="305"/>
      <w:bookmarkEnd w:id="306"/>
      <w:bookmarkEnd w:id="307"/>
    </w:p>
    <w:p>
      <w:pPr>
        <w:rPr>
          <w:rFonts w:hint="eastAsia"/>
          <w:lang w:val="en-US" w:eastAsia="zh-CN"/>
        </w:rPr>
      </w:pPr>
      <w:r>
        <w:rPr>
          <w:rFonts w:hint="eastAsia" w:ascii="仿宋_GB2312" w:eastAsia="仿宋_GB2312"/>
          <w:lang w:val="en-US" w:eastAsia="zh-CN"/>
        </w:rPr>
        <w:br w:type="page"/>
      </w:r>
    </w:p>
    <w:p>
      <w:pPr>
        <w:pStyle w:val="3"/>
        <w:bidi w:val="0"/>
        <w:rPr>
          <w:rFonts w:hint="eastAsia"/>
          <w:lang w:val="en-US" w:eastAsia="zh-CN"/>
        </w:rPr>
      </w:pPr>
      <w:bookmarkStart w:id="308" w:name="_Toc2538"/>
      <w:bookmarkStart w:id="309" w:name="_Toc17609"/>
      <w:bookmarkStart w:id="310" w:name="_Toc4270"/>
      <w:r>
        <w:rPr>
          <w:rFonts w:hint="eastAsia"/>
          <w:lang w:val="en-US" w:eastAsia="zh-CN"/>
        </w:rPr>
        <w:t>第一节  自贸港政策解读</w:t>
      </w:r>
      <w:bookmarkEnd w:id="308"/>
      <w:bookmarkEnd w:id="309"/>
      <w:bookmarkEnd w:id="310"/>
    </w:p>
    <w:p>
      <w:pPr>
        <w:pStyle w:val="5"/>
        <w:numPr>
          <w:ilvl w:val="0"/>
          <w:numId w:val="23"/>
        </w:numPr>
        <w:bidi w:val="0"/>
        <w:rPr>
          <w:rFonts w:hint="default"/>
          <w:lang w:val="en-US" w:eastAsia="zh-CN"/>
        </w:rPr>
      </w:pPr>
      <w:bookmarkStart w:id="311" w:name="_Toc30585"/>
      <w:bookmarkStart w:id="312" w:name="_Toc17943"/>
      <w:bookmarkStart w:id="313" w:name="_Toc5044"/>
      <w:r>
        <w:rPr>
          <w:rFonts w:hint="eastAsia"/>
          <w:lang w:val="en-US" w:eastAsia="zh-CN"/>
        </w:rPr>
        <w:t>建立开放型经济体系</w:t>
      </w:r>
      <w:bookmarkEnd w:id="311"/>
      <w:bookmarkEnd w:id="312"/>
      <w:bookmarkEnd w:id="313"/>
    </w:p>
    <w:p>
      <w:pPr>
        <w:rPr>
          <w:rFonts w:hint="eastAsia" w:ascii="仿宋_GB2312" w:eastAsia="仿宋_GB2312"/>
          <w:lang w:val="en-US" w:eastAsia="zh-CN"/>
        </w:rPr>
      </w:pPr>
      <w:r>
        <w:rPr>
          <w:rFonts w:hint="eastAsia" w:ascii="仿宋_GB2312" w:eastAsia="仿宋_GB2312"/>
          <w:lang w:val="en-US" w:eastAsia="zh-CN"/>
        </w:rPr>
        <w:t>用好“一线”放开政策，争取在崖州中心渔港设立海关特殊监管区域，发展</w:t>
      </w:r>
      <w:r>
        <w:rPr>
          <w:rFonts w:hint="eastAsia"/>
          <w:lang w:val="en-US" w:eastAsia="zh-CN"/>
        </w:rPr>
        <w:t>全球</w:t>
      </w:r>
      <w:r>
        <w:rPr>
          <w:rFonts w:hint="eastAsia" w:ascii="仿宋_GB2312" w:eastAsia="仿宋_GB2312"/>
          <w:lang w:val="en-US" w:eastAsia="zh-CN"/>
        </w:rPr>
        <w:t>水产品保税加工业务</w:t>
      </w:r>
      <w:r>
        <w:rPr>
          <w:rFonts w:hint="eastAsia"/>
          <w:lang w:val="en-US" w:eastAsia="zh-CN"/>
        </w:rPr>
        <w:t>。</w:t>
      </w:r>
      <w:r>
        <w:rPr>
          <w:rFonts w:hint="eastAsia" w:ascii="仿宋_GB2312" w:eastAsia="仿宋_GB2312"/>
          <w:lang w:val="en-US" w:eastAsia="zh-CN"/>
        </w:rPr>
        <w:t>有利于发展热带水果精深加工业务。</w:t>
      </w:r>
    </w:p>
    <w:p>
      <w:pPr>
        <w:pStyle w:val="5"/>
        <w:numPr>
          <w:ilvl w:val="0"/>
          <w:numId w:val="23"/>
        </w:numPr>
        <w:bidi w:val="0"/>
        <w:rPr>
          <w:rFonts w:hint="default"/>
          <w:lang w:val="en-US" w:eastAsia="zh-CN"/>
        </w:rPr>
      </w:pPr>
      <w:bookmarkStart w:id="314" w:name="_Toc14280"/>
      <w:bookmarkStart w:id="315" w:name="_Toc13971"/>
      <w:bookmarkStart w:id="316" w:name="_Toc3314"/>
      <w:r>
        <w:rPr>
          <w:rFonts w:hint="eastAsia"/>
          <w:lang w:val="en-US" w:eastAsia="zh-CN"/>
        </w:rPr>
        <w:t>吸引企业和人才进入</w:t>
      </w:r>
      <w:bookmarkEnd w:id="314"/>
      <w:bookmarkEnd w:id="315"/>
      <w:bookmarkEnd w:id="316"/>
    </w:p>
    <w:p>
      <w:pPr>
        <w:rPr>
          <w:rFonts w:hint="default"/>
          <w:lang w:val="en-US" w:eastAsia="zh-CN"/>
        </w:rPr>
      </w:pPr>
      <w:r>
        <w:rPr>
          <w:rFonts w:hint="eastAsia" w:ascii="仿宋_GB2312" w:eastAsia="仿宋_GB2312"/>
          <w:lang w:val="en-US" w:eastAsia="zh-CN"/>
        </w:rPr>
        <w:t>执行较低的</w:t>
      </w:r>
      <w:r>
        <w:rPr>
          <w:rFonts w:hint="default"/>
          <w:lang w:val="en-US" w:eastAsia="zh-CN"/>
        </w:rPr>
        <w:t>企业所得税</w:t>
      </w:r>
      <w:r>
        <w:rPr>
          <w:rFonts w:hint="eastAsia" w:ascii="仿宋_GB2312" w:eastAsia="仿宋_GB2312"/>
          <w:lang w:val="en-US" w:eastAsia="zh-CN"/>
        </w:rPr>
        <w:t>和</w:t>
      </w:r>
      <w:r>
        <w:rPr>
          <w:rFonts w:hint="default"/>
          <w:lang w:val="en-US" w:eastAsia="zh-CN"/>
        </w:rPr>
        <w:t>个人所得税</w:t>
      </w:r>
      <w:r>
        <w:rPr>
          <w:rFonts w:hint="eastAsia" w:ascii="仿宋_GB2312" w:eastAsia="仿宋_GB2312"/>
          <w:lang w:val="en-US" w:eastAsia="zh-CN"/>
        </w:rPr>
        <w:t>政策，有利于崖州吸引全球企业和人才进入。</w:t>
      </w:r>
    </w:p>
    <w:p>
      <w:pPr>
        <w:pStyle w:val="5"/>
        <w:numPr>
          <w:ilvl w:val="0"/>
          <w:numId w:val="23"/>
        </w:numPr>
        <w:bidi w:val="0"/>
        <w:rPr>
          <w:rFonts w:hint="default"/>
          <w:lang w:val="en-US" w:eastAsia="zh-CN"/>
        </w:rPr>
      </w:pPr>
      <w:bookmarkStart w:id="317" w:name="_Toc19095"/>
      <w:bookmarkStart w:id="318" w:name="_Toc5545"/>
      <w:bookmarkStart w:id="319" w:name="_Toc23406"/>
      <w:r>
        <w:rPr>
          <w:rFonts w:hint="eastAsia"/>
          <w:lang w:val="en-US" w:eastAsia="zh-CN"/>
        </w:rPr>
        <w:t>鼓励发展制造业</w:t>
      </w:r>
      <w:bookmarkEnd w:id="317"/>
      <w:bookmarkEnd w:id="318"/>
      <w:bookmarkEnd w:id="319"/>
    </w:p>
    <w:p>
      <w:pPr>
        <w:rPr>
          <w:rFonts w:hint="default"/>
          <w:lang w:val="en-US" w:eastAsia="zh-CN"/>
        </w:rPr>
      </w:pPr>
      <w:r>
        <w:rPr>
          <w:rFonts w:hint="eastAsia" w:ascii="仿宋_GB2312" w:eastAsia="仿宋_GB2312"/>
          <w:lang w:val="en-US" w:eastAsia="zh-CN"/>
        </w:rPr>
        <w:t>加工增值超过30％进入内地免关税</w:t>
      </w:r>
      <w:r>
        <w:rPr>
          <w:rFonts w:hint="eastAsia"/>
          <w:lang w:val="en-US" w:eastAsia="zh-CN"/>
        </w:rPr>
        <w:t>，有利于崖州发展农产品、水产品加工，培育新的高端绿色制造业方向。</w:t>
      </w:r>
    </w:p>
    <w:tbl>
      <w:tblPr>
        <w:tblStyle w:val="18"/>
        <w:tblW w:w="5000" w:type="pct"/>
        <w:jc w:val="center"/>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Layout w:type="fixed"/>
        <w:tblCellMar>
          <w:top w:w="0" w:type="dxa"/>
          <w:left w:w="108" w:type="dxa"/>
          <w:bottom w:w="0" w:type="dxa"/>
          <w:right w:w="108" w:type="dxa"/>
        </w:tblCellMar>
      </w:tblPr>
      <w:tblGrid>
        <w:gridCol w:w="494"/>
        <w:gridCol w:w="4014"/>
        <w:gridCol w:w="4014"/>
      </w:tblGrid>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23" w:hRule="atLeast"/>
          <w:jc w:val="center"/>
        </w:trPr>
        <w:tc>
          <w:tcPr>
            <w:tcW w:w="8522" w:type="dxa"/>
            <w:gridSpan w:val="3"/>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楷体" w:hAnsi="楷体" w:eastAsia="楷体" w:cs="楷体"/>
                <w:b/>
                <w:bCs/>
                <w:sz w:val="28"/>
                <w:szCs w:val="28"/>
                <w:vertAlign w:val="baseline"/>
                <w:lang w:val="en-US"/>
              </w:rPr>
            </w:pPr>
            <w:r>
              <w:rPr>
                <w:rFonts w:hint="eastAsia" w:ascii="楷体" w:hAnsi="楷体" w:eastAsia="楷体" w:cs="楷体"/>
                <w:b/>
                <w:bCs/>
                <w:sz w:val="24"/>
                <w:szCs w:val="24"/>
                <w:lang w:val="en-US" w:eastAsia="zh-CN"/>
              </w:rPr>
              <w:t>专栏14  从《海南自由贸易港建设总体方案》“2025年前重点任务”中解读崖州第二产业发展机遇</w:t>
            </w:r>
          </w:p>
        </w:tc>
      </w:tr>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cantSplit/>
          <w:trHeight w:val="23" w:hRule="atLeast"/>
          <w:jc w:val="center"/>
        </w:trPr>
        <w:tc>
          <w:tcPr>
            <w:tcW w:w="494"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楷体" w:hAnsi="楷体" w:eastAsia="楷体" w:cs="楷体"/>
                <w:b w:val="0"/>
                <w:bCs w:val="0"/>
                <w:kern w:val="2"/>
                <w:sz w:val="24"/>
                <w:szCs w:val="24"/>
                <w:vertAlign w:val="baseline"/>
                <w:lang w:val="en-US" w:eastAsia="zh-CN" w:bidi="ar-SA"/>
              </w:rPr>
            </w:pPr>
          </w:p>
        </w:tc>
        <w:tc>
          <w:tcPr>
            <w:tcW w:w="4014"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楷体" w:hAnsi="楷体" w:eastAsia="楷体" w:cs="楷体"/>
                <w:b w:val="0"/>
                <w:bCs w:val="0"/>
                <w:kern w:val="2"/>
                <w:sz w:val="24"/>
                <w:szCs w:val="24"/>
                <w:vertAlign w:val="baseline"/>
                <w:lang w:val="en-US" w:eastAsia="zh-CN" w:bidi="ar-SA"/>
              </w:rPr>
            </w:pPr>
            <w:r>
              <w:rPr>
                <w:rFonts w:hint="eastAsia" w:ascii="楷体" w:hAnsi="楷体" w:eastAsia="楷体" w:cs="楷体"/>
                <w:b w:val="0"/>
                <w:bCs w:val="0"/>
                <w:kern w:val="2"/>
                <w:sz w:val="24"/>
                <w:szCs w:val="24"/>
                <w:vertAlign w:val="baseline"/>
                <w:lang w:val="en-US" w:eastAsia="zh-CN" w:bidi="ar-SA"/>
              </w:rPr>
              <w:t>原文节选</w:t>
            </w:r>
          </w:p>
        </w:tc>
        <w:tc>
          <w:tcPr>
            <w:tcW w:w="4014"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楷体" w:hAnsi="楷体" w:eastAsia="楷体" w:cs="楷体"/>
                <w:b w:val="0"/>
                <w:bCs w:val="0"/>
                <w:kern w:val="2"/>
                <w:sz w:val="24"/>
                <w:szCs w:val="24"/>
                <w:vertAlign w:val="baseline"/>
                <w:lang w:val="en-US" w:eastAsia="zh-CN" w:bidi="ar-SA"/>
              </w:rPr>
            </w:pPr>
            <w:r>
              <w:rPr>
                <w:rFonts w:hint="eastAsia" w:ascii="楷体" w:hAnsi="楷体" w:eastAsia="楷体" w:cs="楷体"/>
                <w:b w:val="0"/>
                <w:bCs w:val="0"/>
                <w:kern w:val="2"/>
                <w:sz w:val="24"/>
                <w:szCs w:val="24"/>
                <w:vertAlign w:val="baseline"/>
                <w:lang w:val="en-US" w:eastAsia="zh-CN" w:bidi="ar-SA"/>
              </w:rPr>
              <w:t>崖州机遇解读</w:t>
            </w:r>
          </w:p>
        </w:tc>
      </w:tr>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23" w:hRule="atLeast"/>
          <w:jc w:val="center"/>
        </w:trPr>
        <w:tc>
          <w:tcPr>
            <w:tcW w:w="494"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楷体" w:hAnsi="楷体" w:eastAsia="楷体" w:cs="楷体"/>
                <w:sz w:val="24"/>
                <w:szCs w:val="24"/>
                <w:vertAlign w:val="baseline"/>
                <w:lang w:val="en-US" w:eastAsia="zh-CN"/>
              </w:rPr>
            </w:pPr>
            <w:r>
              <w:rPr>
                <w:rFonts w:hint="eastAsia" w:ascii="楷体" w:hAnsi="楷体" w:eastAsia="楷体" w:cs="楷体"/>
                <w:sz w:val="24"/>
                <w:szCs w:val="24"/>
                <w:vertAlign w:val="baseline"/>
                <w:lang w:val="en-US" w:eastAsia="zh-CN"/>
              </w:rPr>
              <w:t>1</w:t>
            </w:r>
          </w:p>
        </w:tc>
        <w:tc>
          <w:tcPr>
            <w:tcW w:w="4014"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480" w:firstLineChars="200"/>
              <w:jc w:val="both"/>
              <w:textAlignment w:val="auto"/>
              <w:rPr>
                <w:rFonts w:hint="default" w:ascii="楷体" w:hAnsi="楷体" w:eastAsia="楷体" w:cs="楷体"/>
                <w:kern w:val="2"/>
                <w:sz w:val="24"/>
                <w:szCs w:val="24"/>
                <w:vertAlign w:val="baseline"/>
                <w:lang w:val="en-US" w:eastAsia="zh-CN" w:bidi="ar"/>
              </w:rPr>
            </w:pPr>
            <w:r>
              <w:rPr>
                <w:rFonts w:hint="default" w:ascii="楷体" w:hAnsi="楷体" w:eastAsia="楷体" w:cs="楷体"/>
                <w:kern w:val="2"/>
                <w:sz w:val="24"/>
                <w:szCs w:val="24"/>
                <w:vertAlign w:val="baseline"/>
                <w:lang w:val="en-US" w:eastAsia="zh-CN" w:bidi="ar"/>
              </w:rPr>
              <w:t>加强海关特殊监管区域建设。具备条件区域率先“一线”放开、“二线”管住。根据需要增设海关特殊监管区域。</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480" w:firstLineChars="200"/>
              <w:jc w:val="both"/>
              <w:textAlignment w:val="auto"/>
              <w:rPr>
                <w:rFonts w:hint="default" w:ascii="楷体" w:hAnsi="楷体" w:eastAsia="楷体" w:cs="楷体"/>
                <w:kern w:val="2"/>
                <w:sz w:val="24"/>
                <w:szCs w:val="24"/>
                <w:vertAlign w:val="baseline"/>
                <w:lang w:val="en-US" w:eastAsia="zh-CN" w:bidi="ar"/>
              </w:rPr>
            </w:pPr>
            <w:r>
              <w:rPr>
                <w:rFonts w:hint="default" w:ascii="楷体" w:hAnsi="楷体" w:eastAsia="楷体" w:cs="楷体"/>
                <w:kern w:val="2"/>
                <w:sz w:val="24"/>
                <w:szCs w:val="24"/>
                <w:vertAlign w:val="baseline"/>
                <w:lang w:val="en-US" w:eastAsia="zh-CN" w:bidi="ar"/>
              </w:rPr>
              <w:t>做好封关运作准备工作。出台进口征税商品目录，增加对外开放口岸，建设全岛封关运作的配套设施。</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480" w:firstLineChars="200"/>
              <w:jc w:val="both"/>
              <w:textAlignment w:val="auto"/>
              <w:rPr>
                <w:rFonts w:hint="default" w:ascii="楷体" w:hAnsi="楷体" w:eastAsia="楷体" w:cs="楷体"/>
                <w:kern w:val="2"/>
                <w:sz w:val="24"/>
                <w:szCs w:val="24"/>
                <w:vertAlign w:val="baseline"/>
                <w:lang w:val="en-US" w:eastAsia="zh-CN" w:bidi="ar"/>
              </w:rPr>
            </w:pPr>
            <w:r>
              <w:rPr>
                <w:rFonts w:hint="default" w:ascii="楷体" w:hAnsi="楷体" w:eastAsia="楷体" w:cs="楷体"/>
                <w:kern w:val="2"/>
                <w:sz w:val="24"/>
                <w:szCs w:val="24"/>
                <w:vertAlign w:val="baseline"/>
                <w:lang w:val="en-US" w:eastAsia="zh-CN" w:bidi="ar"/>
              </w:rPr>
              <w:t>适时启动全岛封关运作。</w:t>
            </w:r>
          </w:p>
        </w:tc>
        <w:tc>
          <w:tcPr>
            <w:tcW w:w="4014"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480" w:firstLineChars="200"/>
              <w:jc w:val="both"/>
              <w:textAlignment w:val="auto"/>
              <w:rPr>
                <w:rFonts w:hint="eastAsia" w:ascii="楷体" w:hAnsi="楷体" w:eastAsia="楷体" w:cs="楷体"/>
                <w:kern w:val="2"/>
                <w:sz w:val="24"/>
                <w:szCs w:val="24"/>
                <w:vertAlign w:val="baseline"/>
                <w:lang w:val="en-US" w:eastAsia="zh-CN" w:bidi="ar"/>
              </w:rPr>
            </w:pPr>
            <w:r>
              <w:rPr>
                <w:rFonts w:hint="eastAsia" w:ascii="楷体" w:hAnsi="楷体" w:eastAsia="楷体" w:cs="楷体"/>
                <w:kern w:val="2"/>
                <w:sz w:val="24"/>
                <w:szCs w:val="24"/>
                <w:vertAlign w:val="baseline"/>
                <w:lang w:val="en-US" w:eastAsia="zh-CN" w:bidi="ar"/>
              </w:rPr>
              <w:t>积极争取在崖州中心渔港设立海关特殊监管区域，发展水产品保税加工业务。</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480" w:firstLineChars="200"/>
              <w:jc w:val="both"/>
              <w:textAlignment w:val="auto"/>
              <w:rPr>
                <w:rFonts w:hint="default" w:ascii="楷体" w:hAnsi="楷体" w:eastAsia="楷体" w:cs="楷体"/>
                <w:kern w:val="2"/>
                <w:sz w:val="24"/>
                <w:szCs w:val="24"/>
                <w:vertAlign w:val="baseline"/>
                <w:lang w:val="en-US" w:eastAsia="zh-CN" w:bidi="ar"/>
              </w:rPr>
            </w:pPr>
            <w:r>
              <w:rPr>
                <w:rFonts w:hint="default" w:ascii="楷体" w:hAnsi="楷体" w:eastAsia="楷体" w:cs="楷体"/>
                <w:kern w:val="2"/>
                <w:sz w:val="24"/>
                <w:szCs w:val="24"/>
                <w:vertAlign w:val="baseline"/>
                <w:lang w:val="en-US" w:eastAsia="zh-CN" w:bidi="ar"/>
              </w:rPr>
              <w:t>有利于发展热带水果精深加工业务。</w:t>
            </w:r>
          </w:p>
        </w:tc>
      </w:tr>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23" w:hRule="atLeast"/>
          <w:jc w:val="center"/>
        </w:trPr>
        <w:tc>
          <w:tcPr>
            <w:tcW w:w="494"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楷体" w:hAnsi="楷体" w:eastAsia="楷体" w:cs="楷体"/>
                <w:sz w:val="24"/>
                <w:szCs w:val="24"/>
                <w:vertAlign w:val="baseline"/>
                <w:lang w:val="en-US" w:eastAsia="zh-CN"/>
              </w:rPr>
            </w:pPr>
            <w:r>
              <w:rPr>
                <w:rFonts w:hint="eastAsia" w:ascii="楷体" w:hAnsi="楷体" w:eastAsia="楷体" w:cs="楷体"/>
                <w:sz w:val="24"/>
                <w:szCs w:val="24"/>
                <w:vertAlign w:val="baseline"/>
                <w:lang w:val="en-US" w:eastAsia="zh-CN"/>
              </w:rPr>
              <w:t>2</w:t>
            </w:r>
          </w:p>
        </w:tc>
        <w:tc>
          <w:tcPr>
            <w:tcW w:w="4014"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480" w:firstLineChars="200"/>
              <w:jc w:val="both"/>
              <w:textAlignment w:val="auto"/>
              <w:rPr>
                <w:rFonts w:hint="default" w:ascii="楷体" w:hAnsi="楷体" w:eastAsia="楷体" w:cs="楷体"/>
                <w:kern w:val="2"/>
                <w:sz w:val="24"/>
                <w:szCs w:val="24"/>
                <w:vertAlign w:val="baseline"/>
                <w:lang w:val="en-US" w:eastAsia="zh-CN" w:bidi="ar"/>
              </w:rPr>
            </w:pPr>
            <w:r>
              <w:rPr>
                <w:rFonts w:hint="default" w:ascii="楷体" w:hAnsi="楷体" w:eastAsia="楷体" w:cs="楷体"/>
                <w:kern w:val="2"/>
                <w:sz w:val="24"/>
                <w:szCs w:val="24"/>
                <w:vertAlign w:val="baseline"/>
                <w:lang w:val="en-US" w:eastAsia="zh-CN" w:bidi="ar"/>
              </w:rPr>
              <w:t>实行部分进口商品零关税政策。对岛内进口用于交通运输、旅游业的船舶及游艇实行“零关税”；“两头在外”生产加工消耗的原辅料实行“零关税”。</w:t>
            </w:r>
          </w:p>
        </w:tc>
        <w:tc>
          <w:tcPr>
            <w:tcW w:w="4014"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480" w:firstLineChars="200"/>
              <w:jc w:val="both"/>
              <w:textAlignment w:val="auto"/>
              <w:rPr>
                <w:rFonts w:hint="eastAsia" w:ascii="楷体" w:hAnsi="楷体" w:eastAsia="楷体" w:cs="楷体"/>
                <w:kern w:val="2"/>
                <w:sz w:val="24"/>
                <w:szCs w:val="24"/>
                <w:vertAlign w:val="baseline"/>
                <w:lang w:val="en-US" w:eastAsia="zh-CN" w:bidi="ar"/>
              </w:rPr>
            </w:pPr>
            <w:r>
              <w:rPr>
                <w:rFonts w:hint="eastAsia" w:ascii="楷体" w:hAnsi="楷体" w:eastAsia="楷体" w:cs="楷体"/>
                <w:kern w:val="2"/>
                <w:sz w:val="24"/>
                <w:szCs w:val="24"/>
                <w:vertAlign w:val="baseline"/>
                <w:lang w:val="en-US" w:eastAsia="zh-CN" w:bidi="ar"/>
              </w:rPr>
              <w:t>有利于崖州发展水产品加工、热带水果精深加工，可以保税采购东南亚及全球农产品、水产品。</w:t>
            </w:r>
          </w:p>
        </w:tc>
      </w:tr>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23" w:hRule="atLeast"/>
          <w:jc w:val="center"/>
        </w:trPr>
        <w:tc>
          <w:tcPr>
            <w:tcW w:w="494"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楷体" w:hAnsi="楷体" w:eastAsia="楷体" w:cs="楷体"/>
                <w:sz w:val="24"/>
                <w:szCs w:val="24"/>
                <w:vertAlign w:val="baseline"/>
                <w:lang w:val="en-US" w:eastAsia="zh-CN"/>
              </w:rPr>
            </w:pPr>
            <w:r>
              <w:rPr>
                <w:rFonts w:hint="eastAsia" w:ascii="楷体" w:hAnsi="楷体" w:eastAsia="楷体" w:cs="楷体"/>
                <w:sz w:val="24"/>
                <w:szCs w:val="24"/>
                <w:vertAlign w:val="baseline"/>
                <w:lang w:val="en-US" w:eastAsia="zh-CN"/>
              </w:rPr>
              <w:t>3</w:t>
            </w:r>
          </w:p>
        </w:tc>
        <w:tc>
          <w:tcPr>
            <w:tcW w:w="4014"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480" w:firstLineChars="200"/>
              <w:jc w:val="both"/>
              <w:textAlignment w:val="auto"/>
              <w:rPr>
                <w:rFonts w:hint="default" w:ascii="楷体" w:hAnsi="楷体" w:eastAsia="楷体" w:cs="楷体"/>
                <w:kern w:val="2"/>
                <w:sz w:val="24"/>
                <w:szCs w:val="24"/>
                <w:vertAlign w:val="baseline"/>
                <w:lang w:val="en-US" w:eastAsia="zh-CN" w:bidi="ar"/>
              </w:rPr>
            </w:pPr>
            <w:r>
              <w:rPr>
                <w:rFonts w:hint="eastAsia" w:ascii="楷体" w:hAnsi="楷体" w:eastAsia="楷体" w:cs="楷体"/>
                <w:kern w:val="2"/>
                <w:sz w:val="24"/>
                <w:szCs w:val="24"/>
                <w:vertAlign w:val="baseline"/>
                <w:lang w:val="en-US" w:eastAsia="zh-CN" w:bidi="ar"/>
              </w:rPr>
              <w:t>优化税收政策安排。按15％征收企业所得税，允许资本性支出一次性税前扣除或加速折旧和摊销。免征高端人才和紧缺人才个人所得税超过15％的部分。</w:t>
            </w:r>
          </w:p>
        </w:tc>
        <w:tc>
          <w:tcPr>
            <w:tcW w:w="4014"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480" w:firstLineChars="200"/>
              <w:jc w:val="both"/>
              <w:textAlignment w:val="auto"/>
              <w:rPr>
                <w:rFonts w:hint="eastAsia" w:ascii="楷体" w:hAnsi="楷体" w:eastAsia="楷体" w:cs="楷体"/>
                <w:kern w:val="2"/>
                <w:sz w:val="24"/>
                <w:szCs w:val="24"/>
                <w:vertAlign w:val="baseline"/>
                <w:lang w:val="en-US" w:eastAsia="zh-CN" w:bidi="ar"/>
              </w:rPr>
            </w:pPr>
            <w:r>
              <w:rPr>
                <w:rFonts w:hint="eastAsia" w:ascii="楷体" w:hAnsi="楷体" w:eastAsia="楷体" w:cs="楷体"/>
                <w:sz w:val="24"/>
                <w:szCs w:val="24"/>
                <w:vertAlign w:val="baseline"/>
                <w:lang w:val="en-US" w:eastAsia="zh-CN" w:bidi="ar"/>
              </w:rPr>
              <w:t>有利于崖州吸引岛外及全球企业和人才，增加企业利润和人才收入。</w:t>
            </w:r>
          </w:p>
        </w:tc>
      </w:tr>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23" w:hRule="atLeast"/>
          <w:jc w:val="center"/>
        </w:trPr>
        <w:tc>
          <w:tcPr>
            <w:tcW w:w="494"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楷体" w:hAnsi="楷体" w:eastAsia="楷体" w:cs="楷体"/>
                <w:sz w:val="24"/>
                <w:szCs w:val="24"/>
                <w:vertAlign w:val="baseline"/>
                <w:lang w:val="en-US" w:eastAsia="zh-CN"/>
              </w:rPr>
            </w:pPr>
            <w:r>
              <w:rPr>
                <w:rFonts w:hint="eastAsia" w:ascii="楷体" w:hAnsi="楷体" w:eastAsia="楷体" w:cs="楷体"/>
                <w:sz w:val="24"/>
                <w:szCs w:val="24"/>
                <w:vertAlign w:val="baseline"/>
                <w:lang w:val="en-US" w:eastAsia="zh-CN"/>
              </w:rPr>
              <w:t>4</w:t>
            </w:r>
          </w:p>
        </w:tc>
        <w:tc>
          <w:tcPr>
            <w:tcW w:w="4014"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480" w:firstLineChars="200"/>
              <w:jc w:val="both"/>
              <w:textAlignment w:val="auto"/>
              <w:rPr>
                <w:rFonts w:hint="default" w:ascii="楷体" w:hAnsi="楷体" w:eastAsia="楷体" w:cs="楷体"/>
                <w:kern w:val="2"/>
                <w:sz w:val="24"/>
                <w:szCs w:val="24"/>
                <w:vertAlign w:val="baseline"/>
                <w:lang w:val="en-US" w:eastAsia="zh-CN" w:bidi="ar"/>
              </w:rPr>
            </w:pPr>
            <w:r>
              <w:rPr>
                <w:rFonts w:hint="eastAsia" w:ascii="楷体" w:hAnsi="楷体" w:eastAsia="楷体" w:cs="楷体"/>
                <w:kern w:val="2"/>
                <w:sz w:val="24"/>
                <w:szCs w:val="24"/>
                <w:vertAlign w:val="baseline"/>
                <w:lang w:val="en-US" w:eastAsia="zh-CN" w:bidi="ar"/>
              </w:rPr>
              <w:t>含进口料件且在海南加工增值超过30％的货物，经“二线”进入内地免征进口关税。</w:t>
            </w:r>
          </w:p>
        </w:tc>
        <w:tc>
          <w:tcPr>
            <w:tcW w:w="4014"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480" w:firstLineChars="200"/>
              <w:jc w:val="both"/>
              <w:textAlignment w:val="auto"/>
              <w:rPr>
                <w:rFonts w:hint="eastAsia" w:ascii="楷体" w:hAnsi="楷体" w:eastAsia="楷体" w:cs="楷体"/>
                <w:kern w:val="2"/>
                <w:sz w:val="24"/>
                <w:szCs w:val="24"/>
                <w:vertAlign w:val="baseline"/>
                <w:lang w:val="en-US" w:eastAsia="zh-CN" w:bidi="ar"/>
              </w:rPr>
            </w:pPr>
            <w:r>
              <w:rPr>
                <w:rFonts w:hint="eastAsia" w:ascii="楷体" w:hAnsi="楷体" w:eastAsia="楷体" w:cs="楷体"/>
                <w:sz w:val="24"/>
                <w:szCs w:val="24"/>
                <w:vertAlign w:val="baseline"/>
                <w:lang w:val="en-US" w:eastAsia="zh-CN" w:bidi="ar"/>
              </w:rPr>
              <w:t>有利于崖州发展农产品、水产品加工，有利于崖州培育新的高端绿色制造业方向，利用自贸港免关税政策销往大陆或保税出口。</w:t>
            </w:r>
          </w:p>
        </w:tc>
      </w:tr>
    </w:tbl>
    <w:p>
      <w:pPr>
        <w:pStyle w:val="3"/>
        <w:bidi w:val="0"/>
        <w:rPr>
          <w:rFonts w:hint="default"/>
          <w:lang w:val="en-US" w:eastAsia="zh-CN"/>
        </w:rPr>
      </w:pPr>
      <w:bookmarkStart w:id="320" w:name="_Toc27661"/>
      <w:bookmarkStart w:id="321" w:name="_Toc6632"/>
      <w:bookmarkStart w:id="322" w:name="_Toc16504"/>
      <w:r>
        <w:rPr>
          <w:rFonts w:hint="eastAsia"/>
          <w:lang w:val="en-US" w:eastAsia="zh-CN"/>
        </w:rPr>
        <w:t>第二节  发展条件分析</w:t>
      </w:r>
      <w:bookmarkEnd w:id="320"/>
      <w:bookmarkEnd w:id="321"/>
      <w:bookmarkEnd w:id="322"/>
    </w:p>
    <w:p>
      <w:pPr>
        <w:pStyle w:val="5"/>
        <w:numPr>
          <w:ilvl w:val="0"/>
          <w:numId w:val="24"/>
        </w:numPr>
        <w:bidi w:val="0"/>
        <w:rPr>
          <w:rFonts w:hint="default"/>
          <w:lang w:val="en-US" w:eastAsia="zh-CN"/>
        </w:rPr>
      </w:pPr>
      <w:bookmarkStart w:id="323" w:name="_Toc29557"/>
      <w:bookmarkStart w:id="324" w:name="_Toc5895"/>
      <w:bookmarkStart w:id="325" w:name="_Toc25114"/>
      <w:r>
        <w:rPr>
          <w:rFonts w:hint="eastAsia"/>
          <w:lang w:val="en-US" w:eastAsia="zh-CN"/>
        </w:rPr>
        <w:t>第二产业建筑业为主、工业为辅，建筑业受调控影响明显</w:t>
      </w:r>
      <w:bookmarkEnd w:id="323"/>
      <w:bookmarkEnd w:id="324"/>
      <w:bookmarkEnd w:id="325"/>
    </w:p>
    <w:p>
      <w:pPr>
        <w:rPr>
          <w:rFonts w:hint="eastAsia" w:ascii="仿宋_GB2312" w:eastAsia="仿宋_GB2312"/>
          <w:lang w:val="en-US" w:eastAsia="zh-CN"/>
        </w:rPr>
      </w:pPr>
      <w:r>
        <w:rPr>
          <w:rFonts w:hint="eastAsia"/>
          <w:lang w:val="en-US" w:eastAsia="zh-CN"/>
        </w:rPr>
        <w:t>崖州</w:t>
      </w:r>
      <w:r>
        <w:rPr>
          <w:rFonts w:hint="eastAsia" w:ascii="仿宋_GB2312" w:eastAsia="仿宋_GB2312"/>
          <w:lang w:val="en-US" w:eastAsia="zh-CN"/>
        </w:rPr>
        <w:t>第二产业GDP占比由2015年的25.3%</w:t>
      </w:r>
      <w:r>
        <w:rPr>
          <w:rFonts w:hint="eastAsia"/>
          <w:lang w:val="en-US" w:eastAsia="zh-CN"/>
        </w:rPr>
        <w:t>下调</w:t>
      </w:r>
      <w:r>
        <w:rPr>
          <w:rFonts w:hint="eastAsia" w:ascii="仿宋_GB2312" w:eastAsia="仿宋_GB2312"/>
          <w:lang w:val="en-US" w:eastAsia="zh-CN"/>
        </w:rPr>
        <w:t>至20</w:t>
      </w:r>
      <w:r>
        <w:rPr>
          <w:rFonts w:hint="eastAsia"/>
          <w:lang w:val="en-US" w:eastAsia="zh-CN"/>
        </w:rPr>
        <w:t>20</w:t>
      </w:r>
      <w:r>
        <w:rPr>
          <w:rFonts w:hint="eastAsia" w:ascii="仿宋_GB2312" w:eastAsia="仿宋_GB2312"/>
          <w:lang w:val="en-US" w:eastAsia="zh-CN"/>
        </w:rPr>
        <w:t>年的1</w:t>
      </w:r>
      <w:r>
        <w:rPr>
          <w:rFonts w:hint="eastAsia"/>
          <w:lang w:val="en-US" w:eastAsia="zh-CN"/>
        </w:rPr>
        <w:t>6.0</w:t>
      </w:r>
      <w:r>
        <w:rPr>
          <w:rFonts w:hint="eastAsia" w:ascii="仿宋_GB2312" w:eastAsia="仿宋_GB2312"/>
          <w:lang w:val="en-US" w:eastAsia="zh-CN"/>
        </w:rPr>
        <w:t>%，绝对值由11.5亿元</w:t>
      </w:r>
      <w:r>
        <w:rPr>
          <w:rFonts w:hint="eastAsia"/>
          <w:lang w:val="en-US" w:eastAsia="zh-CN"/>
        </w:rPr>
        <w:t>下降</w:t>
      </w:r>
      <w:r>
        <w:rPr>
          <w:rFonts w:hint="eastAsia" w:ascii="仿宋_GB2312" w:eastAsia="仿宋_GB2312"/>
          <w:lang w:val="en-US" w:eastAsia="zh-CN"/>
        </w:rPr>
        <w:t>至</w:t>
      </w:r>
      <w:r>
        <w:rPr>
          <w:rFonts w:hint="eastAsia"/>
          <w:lang w:val="en-US" w:eastAsia="zh-CN"/>
        </w:rPr>
        <w:t>10.6</w:t>
      </w:r>
      <w:r>
        <w:rPr>
          <w:rFonts w:hint="eastAsia" w:ascii="仿宋_GB2312" w:eastAsia="仿宋_GB2312"/>
          <w:lang w:val="en-US" w:eastAsia="zh-CN"/>
        </w:rPr>
        <w:t>亿元，年均下降</w:t>
      </w:r>
      <w:r>
        <w:rPr>
          <w:rFonts w:hint="eastAsia"/>
          <w:lang w:val="en-US" w:eastAsia="zh-CN"/>
        </w:rPr>
        <w:t>1.6</w:t>
      </w:r>
      <w:r>
        <w:rPr>
          <w:rFonts w:hint="eastAsia" w:ascii="仿宋_GB2312" w:eastAsia="仿宋_GB2312"/>
          <w:lang w:val="en-US" w:eastAsia="zh-CN"/>
        </w:rPr>
        <w:t>%。崖州二产主要为建筑业，建筑业占</w:t>
      </w:r>
      <w:r>
        <w:rPr>
          <w:rFonts w:hint="eastAsia"/>
          <w:lang w:val="en-US" w:eastAsia="zh-CN"/>
        </w:rPr>
        <w:t>二产比重</w:t>
      </w:r>
      <w:r>
        <w:rPr>
          <w:rFonts w:hint="eastAsia" w:ascii="仿宋_GB2312" w:eastAsia="仿宋_GB2312"/>
          <w:lang w:val="en-US" w:eastAsia="zh-CN"/>
        </w:rPr>
        <w:t>达到86.7%</w:t>
      </w:r>
      <w:r>
        <w:rPr>
          <w:rFonts w:hint="eastAsia"/>
          <w:lang w:val="en-US" w:eastAsia="zh-CN"/>
        </w:rPr>
        <w:t>（2019年），主要为建筑业配套的混凝土建材等</w:t>
      </w:r>
      <w:r>
        <w:rPr>
          <w:rFonts w:hint="eastAsia" w:ascii="仿宋_GB2312" w:eastAsia="仿宋_GB2312"/>
          <w:lang w:val="en-US" w:eastAsia="zh-CN"/>
        </w:rPr>
        <w:t>。受全省房地产调控政策的影响，2018年</w:t>
      </w:r>
      <w:r>
        <w:rPr>
          <w:rFonts w:hint="eastAsia"/>
          <w:lang w:val="en-US" w:eastAsia="zh-CN"/>
        </w:rPr>
        <w:t>、2019年</w:t>
      </w:r>
      <w:r>
        <w:rPr>
          <w:rFonts w:hint="eastAsia" w:ascii="仿宋_GB2312" w:eastAsia="仿宋_GB2312"/>
          <w:lang w:val="en-US" w:eastAsia="zh-CN"/>
        </w:rPr>
        <w:t>建筑业出现断崖式下降，直接拖累二产GDP下降。</w:t>
      </w:r>
      <w:r>
        <w:rPr>
          <w:rFonts w:hint="eastAsia"/>
          <w:lang w:val="en-US" w:eastAsia="zh-CN"/>
        </w:rPr>
        <w:t>2020年受崖州湾科技城建设的带动，建筑业发展迅速恢复，接近达到2015年水平，发展势头迅猛。</w:t>
      </w:r>
    </w:p>
    <w:p>
      <w:pPr>
        <w:pStyle w:val="5"/>
        <w:numPr>
          <w:ilvl w:val="0"/>
          <w:numId w:val="24"/>
        </w:numPr>
        <w:bidi w:val="0"/>
        <w:rPr>
          <w:rFonts w:hint="default"/>
          <w:lang w:val="en-US" w:eastAsia="zh-CN"/>
        </w:rPr>
      </w:pPr>
      <w:bookmarkStart w:id="326" w:name="_Toc26865"/>
      <w:bookmarkStart w:id="327" w:name="_Toc30454"/>
      <w:bookmarkStart w:id="328" w:name="_Toc2256"/>
      <w:r>
        <w:rPr>
          <w:rFonts w:hint="eastAsia"/>
          <w:lang w:val="en-US" w:eastAsia="zh-CN"/>
        </w:rPr>
        <w:t>农产品加工和开发不足，茂盛的草原见不到“纳税奶牛”</w:t>
      </w:r>
      <w:bookmarkEnd w:id="326"/>
      <w:bookmarkEnd w:id="327"/>
      <w:bookmarkEnd w:id="328"/>
    </w:p>
    <w:p>
      <w:pPr>
        <w:rPr>
          <w:rFonts w:hint="eastAsia" w:ascii="仿宋_GB2312" w:eastAsia="仿宋_GB2312"/>
          <w:lang w:val="en-US" w:eastAsia="zh-CN"/>
        </w:rPr>
      </w:pPr>
      <w:r>
        <w:rPr>
          <w:rFonts w:hint="eastAsia" w:ascii="仿宋_GB2312" w:eastAsia="仿宋_GB2312"/>
          <w:lang w:val="en-US" w:eastAsia="zh-CN"/>
        </w:rPr>
        <w:t>从</w:t>
      </w:r>
      <w:r>
        <w:rPr>
          <w:rFonts w:hint="eastAsia"/>
          <w:lang w:val="en-US" w:eastAsia="zh-CN"/>
        </w:rPr>
        <w:t>全国</w:t>
      </w:r>
      <w:r>
        <w:rPr>
          <w:rFonts w:hint="eastAsia" w:ascii="仿宋_GB2312" w:eastAsia="仿宋_GB2312"/>
          <w:lang w:val="en-US" w:eastAsia="zh-CN"/>
        </w:rPr>
        <w:t>看，农产品</w:t>
      </w:r>
      <w:r>
        <w:rPr>
          <w:rFonts w:hint="eastAsia"/>
          <w:lang w:val="en-US" w:eastAsia="zh-CN"/>
        </w:rPr>
        <w:t>加工业与农业总产值比</w:t>
      </w:r>
      <w:r>
        <w:rPr>
          <w:rStyle w:val="27"/>
          <w:rFonts w:hint="eastAsia"/>
          <w:lang w:val="en-US" w:eastAsia="zh-CN"/>
        </w:rPr>
        <w:footnoteReference w:id="1"/>
      </w:r>
      <w:r>
        <w:rPr>
          <w:rFonts w:hint="eastAsia"/>
          <w:lang w:val="en-US" w:eastAsia="zh-CN"/>
        </w:rPr>
        <w:t>为2.3</w:t>
      </w:r>
      <w:r>
        <w:rPr>
          <w:rFonts w:hint="eastAsia" w:ascii="仿宋_GB2312" w:hAnsi="仿宋_GB2312" w:eastAsia="仿宋_GB2312" w:cs="仿宋_GB2312"/>
          <w:lang w:val="en-US" w:eastAsia="zh-CN"/>
        </w:rPr>
        <w:t>∶</w:t>
      </w:r>
      <w:r>
        <w:rPr>
          <w:rFonts w:hint="default"/>
          <w:lang w:val="en-US" w:eastAsia="zh-CN"/>
        </w:rPr>
        <w:t>1</w:t>
      </w:r>
      <w:r>
        <w:rPr>
          <w:rFonts w:hint="eastAsia" w:ascii="仿宋_GB2312" w:eastAsia="仿宋_GB2312"/>
          <w:lang w:val="en-US" w:eastAsia="zh-CN"/>
        </w:rPr>
        <w:t>，即1元农产品经加工可以</w:t>
      </w:r>
      <w:r>
        <w:rPr>
          <w:rFonts w:hint="eastAsia"/>
          <w:lang w:val="en-US" w:eastAsia="zh-CN"/>
        </w:rPr>
        <w:t>直接</w:t>
      </w:r>
      <w:r>
        <w:rPr>
          <w:rFonts w:hint="eastAsia" w:ascii="仿宋_GB2312" w:eastAsia="仿宋_GB2312"/>
          <w:lang w:val="en-US" w:eastAsia="zh-CN"/>
        </w:rPr>
        <w:t>带来2.</w:t>
      </w:r>
      <w:r>
        <w:rPr>
          <w:rFonts w:hint="eastAsia"/>
          <w:lang w:val="en-US" w:eastAsia="zh-CN"/>
        </w:rPr>
        <w:t>3</w:t>
      </w:r>
      <w:r>
        <w:rPr>
          <w:rFonts w:hint="eastAsia" w:ascii="仿宋_GB2312" w:eastAsia="仿宋_GB2312"/>
          <w:lang w:val="en-US" w:eastAsia="zh-CN"/>
        </w:rPr>
        <w:t>元的制造业收入</w:t>
      </w:r>
      <w:r>
        <w:rPr>
          <w:rFonts w:hint="eastAsia"/>
          <w:lang w:val="en-US" w:eastAsia="zh-CN"/>
        </w:rPr>
        <w:t>，并产生一系列间接收入</w:t>
      </w:r>
      <w:r>
        <w:rPr>
          <w:rFonts w:hint="eastAsia" w:ascii="仿宋_GB2312" w:eastAsia="仿宋_GB2312"/>
          <w:lang w:val="en-US" w:eastAsia="zh-CN"/>
        </w:rPr>
        <w:t>。</w:t>
      </w:r>
      <w:r>
        <w:rPr>
          <w:rFonts w:hint="default"/>
          <w:lang w:val="en-US" w:eastAsia="zh-CN"/>
        </w:rPr>
        <w:t>海南</w:t>
      </w:r>
      <w:r>
        <w:rPr>
          <w:rFonts w:hint="eastAsia"/>
          <w:lang w:val="en-US" w:eastAsia="zh-CN"/>
        </w:rPr>
        <w:t>全省</w:t>
      </w:r>
      <w:r>
        <w:rPr>
          <w:rFonts w:hint="eastAsia" w:ascii="仿宋_GB2312" w:eastAsia="仿宋_GB2312"/>
          <w:lang w:val="en-US" w:eastAsia="zh-CN"/>
        </w:rPr>
        <w:t>这一比值不到</w:t>
      </w:r>
      <w:r>
        <w:rPr>
          <w:rFonts w:hint="default"/>
          <w:lang w:val="en-US" w:eastAsia="zh-CN"/>
        </w:rPr>
        <w:t>0.8∶1</w:t>
      </w:r>
      <w:r>
        <w:rPr>
          <w:rFonts w:hint="eastAsia" w:ascii="仿宋_GB2312" w:eastAsia="仿宋_GB2312"/>
          <w:lang w:val="en-US" w:eastAsia="zh-CN"/>
        </w:rPr>
        <w:t>，</w:t>
      </w:r>
      <w:r>
        <w:rPr>
          <w:rFonts w:hint="eastAsia"/>
          <w:lang w:val="en-US" w:eastAsia="zh-CN"/>
        </w:rPr>
        <w:t>仅为全国平均水平的1/3，</w:t>
      </w:r>
      <w:r>
        <w:rPr>
          <w:rFonts w:hint="eastAsia" w:ascii="仿宋_GB2312" w:eastAsia="仿宋_GB2312"/>
          <w:lang w:val="en-US" w:eastAsia="zh-CN"/>
        </w:rPr>
        <w:t>农产品产业链、价值链发展</w:t>
      </w:r>
      <w:r>
        <w:rPr>
          <w:rFonts w:hint="eastAsia"/>
          <w:lang w:val="en-US" w:eastAsia="zh-CN"/>
        </w:rPr>
        <w:t>普遍</w:t>
      </w:r>
      <w:r>
        <w:rPr>
          <w:rFonts w:hint="eastAsia" w:ascii="仿宋_GB2312" w:eastAsia="仿宋_GB2312"/>
          <w:lang w:val="en-US" w:eastAsia="zh-CN"/>
        </w:rPr>
        <w:t>不充分，</w:t>
      </w:r>
      <w:r>
        <w:rPr>
          <w:rFonts w:hint="eastAsia"/>
          <w:lang w:val="en-US" w:eastAsia="zh-CN"/>
        </w:rPr>
        <w:t>只能</w:t>
      </w:r>
      <w:r>
        <w:rPr>
          <w:rFonts w:hint="eastAsia" w:ascii="仿宋_GB2312" w:eastAsia="仿宋_GB2312"/>
          <w:lang w:val="en-US" w:eastAsia="zh-CN"/>
        </w:rPr>
        <w:t>为广东、广西企业提供高品质</w:t>
      </w:r>
      <w:r>
        <w:rPr>
          <w:rFonts w:hint="eastAsia"/>
          <w:lang w:val="en-US" w:eastAsia="zh-CN"/>
        </w:rPr>
        <w:t>农产品</w:t>
      </w:r>
      <w:r>
        <w:rPr>
          <w:rFonts w:hint="eastAsia" w:ascii="仿宋_GB2312" w:eastAsia="仿宋_GB2312"/>
          <w:lang w:val="en-US" w:eastAsia="zh-CN"/>
        </w:rPr>
        <w:t>原材料。</w:t>
      </w:r>
      <w:r>
        <w:rPr>
          <w:rFonts w:hint="eastAsia"/>
          <w:lang w:val="en-US" w:eastAsia="zh-CN"/>
        </w:rPr>
        <w:t>每年</w:t>
      </w:r>
      <w:r>
        <w:rPr>
          <w:rFonts w:hint="eastAsia" w:ascii="仿宋_GB2312" w:eastAsia="仿宋_GB2312"/>
          <w:lang w:val="en-US" w:eastAsia="zh-CN"/>
        </w:rPr>
        <w:t>海南向岛外供应大量初级农产品，采购化肥农药等农用物资，存在明显</w:t>
      </w:r>
      <w:r>
        <w:rPr>
          <w:rFonts w:hint="eastAsia" w:ascii="仿宋_GB2312" w:eastAsia="仿宋_GB2312"/>
          <w:b/>
          <w:bCs/>
          <w:lang w:val="en-US" w:eastAsia="zh-CN"/>
        </w:rPr>
        <w:t>“剪刀差”</w:t>
      </w:r>
      <w:r>
        <w:rPr>
          <w:rFonts w:hint="eastAsia" w:ascii="仿宋_GB2312" w:eastAsia="仿宋_GB2312"/>
          <w:b w:val="0"/>
          <w:bCs w:val="0"/>
          <w:lang w:val="en-US" w:eastAsia="zh-CN"/>
        </w:rPr>
        <w:t>现象</w:t>
      </w:r>
      <w:r>
        <w:rPr>
          <w:rFonts w:hint="eastAsia" w:ascii="仿宋_GB2312" w:eastAsia="仿宋_GB2312"/>
          <w:lang w:val="en-US" w:eastAsia="zh-CN"/>
        </w:rPr>
        <w:t>。从扩大税源的角度看，</w:t>
      </w:r>
      <w:r>
        <w:rPr>
          <w:rFonts w:hint="eastAsia"/>
          <w:lang w:val="en-US" w:eastAsia="zh-CN"/>
        </w:rPr>
        <w:t>传统</w:t>
      </w:r>
      <w:r>
        <w:rPr>
          <w:rFonts w:hint="eastAsia" w:ascii="仿宋_GB2312" w:eastAsia="仿宋_GB2312"/>
          <w:lang w:val="en-US" w:eastAsia="zh-CN"/>
        </w:rPr>
        <w:t>种植业不能直接</w:t>
      </w:r>
      <w:r>
        <w:rPr>
          <w:rFonts w:hint="eastAsia"/>
          <w:lang w:val="en-US" w:eastAsia="zh-CN"/>
        </w:rPr>
        <w:t>带来</w:t>
      </w:r>
      <w:r>
        <w:rPr>
          <w:rFonts w:hint="eastAsia" w:ascii="仿宋_GB2312" w:eastAsia="仿宋_GB2312"/>
          <w:lang w:val="en-US" w:eastAsia="zh-CN"/>
        </w:rPr>
        <w:t>税收，并且需要政府补贴投入，</w:t>
      </w:r>
      <w:r>
        <w:rPr>
          <w:rFonts w:hint="eastAsia" w:ascii="仿宋_GB2312" w:eastAsia="仿宋_GB2312"/>
          <w:b w:val="0"/>
          <w:bCs w:val="0"/>
          <w:lang w:val="en-US" w:eastAsia="zh-CN"/>
        </w:rPr>
        <w:t>农产品加工业可以带来</w:t>
      </w:r>
      <w:r>
        <w:rPr>
          <w:rFonts w:hint="eastAsia" w:ascii="仿宋_GB2312" w:eastAsia="仿宋_GB2312"/>
          <w:b/>
          <w:bCs/>
          <w:lang w:val="en-US" w:eastAsia="zh-CN"/>
        </w:rPr>
        <w:t>稳定税收</w:t>
      </w:r>
      <w:r>
        <w:rPr>
          <w:rFonts w:hint="eastAsia" w:ascii="仿宋_GB2312" w:eastAsia="仿宋_GB2312"/>
          <w:lang w:val="en-US" w:eastAsia="zh-CN"/>
        </w:rPr>
        <w:t>、</w:t>
      </w:r>
      <w:r>
        <w:rPr>
          <w:rFonts w:hint="eastAsia" w:ascii="仿宋_GB2312" w:eastAsia="仿宋_GB2312"/>
          <w:b/>
          <w:bCs/>
          <w:lang w:val="en-US" w:eastAsia="zh-CN"/>
        </w:rPr>
        <w:t>增加就业、</w:t>
      </w:r>
      <w:r>
        <w:rPr>
          <w:rFonts w:hint="eastAsia"/>
          <w:b/>
          <w:bCs/>
          <w:lang w:val="en-US" w:eastAsia="zh-CN"/>
        </w:rPr>
        <w:t>带动下游产业、</w:t>
      </w:r>
      <w:r>
        <w:rPr>
          <w:rFonts w:hint="eastAsia" w:ascii="仿宋_GB2312" w:eastAsia="仿宋_GB2312"/>
          <w:b/>
          <w:bCs/>
          <w:lang w:val="en-US" w:eastAsia="zh-CN"/>
        </w:rPr>
        <w:t>优化产业结构</w:t>
      </w:r>
      <w:r>
        <w:rPr>
          <w:rFonts w:hint="eastAsia" w:ascii="仿宋_GB2312" w:eastAsia="仿宋_GB2312"/>
          <w:lang w:val="en-US" w:eastAsia="zh-CN"/>
        </w:rPr>
        <w:t>，</w:t>
      </w:r>
      <w:r>
        <w:rPr>
          <w:rFonts w:hint="eastAsia"/>
          <w:lang w:val="en-US" w:eastAsia="zh-CN"/>
        </w:rPr>
        <w:t>并推进</w:t>
      </w:r>
      <w:r>
        <w:rPr>
          <w:rFonts w:hint="eastAsia" w:ascii="仿宋_GB2312" w:eastAsia="仿宋_GB2312"/>
          <w:lang w:val="en-US" w:eastAsia="zh-CN"/>
        </w:rPr>
        <w:t>种植业向规模化现代化发展。</w:t>
      </w:r>
    </w:p>
    <w:p>
      <w:pPr>
        <w:rPr>
          <w:rFonts w:hint="eastAsia"/>
          <w:lang w:val="en-US" w:eastAsia="zh-CN"/>
        </w:rPr>
      </w:pPr>
      <w:r>
        <w:rPr>
          <w:rFonts w:hint="eastAsia" w:ascii="仿宋_GB2312" w:eastAsia="仿宋_GB2312"/>
          <w:lang w:val="en-US" w:eastAsia="zh-CN"/>
        </w:rPr>
        <w:t>崖州冬季瓜菜、热带水果、渔业养殖产量较大，每年生产大量初级农副产品，崖州果蔬综合批发市场具有强大的采购集散能力，</w:t>
      </w:r>
      <w:r>
        <w:rPr>
          <w:rFonts w:hint="eastAsia"/>
          <w:lang w:val="en-US" w:eastAsia="zh-CN"/>
        </w:rPr>
        <w:t>但全区农产品加工能力很弱，</w:t>
      </w:r>
      <w:r>
        <w:rPr>
          <w:rFonts w:hint="eastAsia" w:ascii="仿宋_GB2312" w:eastAsia="仿宋_GB2312"/>
          <w:b w:val="0"/>
          <w:bCs w:val="0"/>
          <w:lang w:val="en-US" w:eastAsia="zh-CN"/>
        </w:rPr>
        <w:t>应积极发展农渔产品</w:t>
      </w:r>
      <w:r>
        <w:rPr>
          <w:rFonts w:hint="eastAsia" w:ascii="仿宋_GB2312" w:eastAsia="仿宋_GB2312"/>
          <w:b/>
          <w:bCs/>
          <w:lang w:val="en-US" w:eastAsia="zh-CN"/>
        </w:rPr>
        <w:t>保鲜提质、初加工、精深加工</w:t>
      </w:r>
      <w:r>
        <w:rPr>
          <w:rFonts w:hint="eastAsia"/>
          <w:b/>
          <w:bCs/>
          <w:lang w:val="en-US" w:eastAsia="zh-CN"/>
        </w:rPr>
        <w:t>、</w:t>
      </w:r>
      <w:r>
        <w:rPr>
          <w:rFonts w:hint="eastAsia" w:ascii="仿宋_GB2312" w:eastAsia="仿宋_GB2312"/>
          <w:b/>
          <w:bCs/>
          <w:lang w:val="en-US" w:eastAsia="zh-CN"/>
        </w:rPr>
        <w:t>功能性产品开发</w:t>
      </w:r>
      <w:r>
        <w:rPr>
          <w:rFonts w:hint="eastAsia" w:ascii="仿宋_GB2312" w:eastAsia="仿宋_GB2312"/>
          <w:lang w:val="en-US" w:eastAsia="zh-CN"/>
        </w:rPr>
        <w:t>。按照瓜菜水果平均每斤</w:t>
      </w:r>
      <w:r>
        <w:rPr>
          <w:rFonts w:hint="eastAsia" w:ascii="仿宋_GB2312" w:eastAsia="仿宋_GB2312"/>
          <w:u w:val="single"/>
          <w:lang w:val="en-US" w:eastAsia="zh-CN"/>
        </w:rPr>
        <w:t>3元</w:t>
      </w:r>
      <w:r>
        <w:rPr>
          <w:rFonts w:hint="eastAsia" w:ascii="仿宋_GB2312" w:eastAsia="仿宋_GB2312"/>
          <w:lang w:val="en-US" w:eastAsia="zh-CN"/>
        </w:rPr>
        <w:t>价格计算，全区瓜菜水果销售额约</w:t>
      </w:r>
      <w:r>
        <w:rPr>
          <w:rFonts w:hint="eastAsia" w:ascii="仿宋_GB2312" w:eastAsia="仿宋_GB2312"/>
          <w:u w:val="single"/>
          <w:lang w:val="en-US" w:eastAsia="zh-CN"/>
        </w:rPr>
        <w:t>19亿元</w:t>
      </w:r>
      <w:r>
        <w:rPr>
          <w:rFonts w:hint="eastAsia"/>
          <w:u w:val="none"/>
          <w:lang w:val="en-US" w:eastAsia="zh-CN"/>
        </w:rPr>
        <w:t>（31万吨）</w:t>
      </w:r>
      <w:r>
        <w:rPr>
          <w:rFonts w:hint="eastAsia" w:ascii="仿宋_GB2312" w:eastAsia="仿宋_GB2312"/>
          <w:lang w:val="en-US" w:eastAsia="zh-CN"/>
        </w:rPr>
        <w:t>，假设10%的农产品</w:t>
      </w:r>
      <w:r>
        <w:rPr>
          <w:rFonts w:hint="eastAsia"/>
          <w:lang w:val="en-US" w:eastAsia="zh-CN"/>
        </w:rPr>
        <w:t>进入</w:t>
      </w:r>
      <w:r>
        <w:rPr>
          <w:rFonts w:hint="eastAsia" w:ascii="仿宋_GB2312" w:eastAsia="仿宋_GB2312"/>
          <w:lang w:val="en-US" w:eastAsia="zh-CN"/>
        </w:rPr>
        <w:t>本地加工</w:t>
      </w:r>
      <w:r>
        <w:rPr>
          <w:rFonts w:hint="eastAsia"/>
          <w:lang w:val="en-US" w:eastAsia="zh-CN"/>
        </w:rPr>
        <w:t>环节</w:t>
      </w:r>
      <w:r>
        <w:rPr>
          <w:rFonts w:hint="eastAsia" w:ascii="仿宋_GB2312" w:eastAsia="仿宋_GB2312"/>
          <w:lang w:val="en-US" w:eastAsia="zh-CN"/>
        </w:rPr>
        <w:t>，可以实现工业产值</w:t>
      </w:r>
      <w:r>
        <w:rPr>
          <w:rFonts w:hint="eastAsia" w:ascii="仿宋_GB2312" w:eastAsia="仿宋_GB2312"/>
          <w:u w:val="single"/>
          <w:lang w:val="en-US" w:eastAsia="zh-CN"/>
        </w:rPr>
        <w:t>4</w:t>
      </w:r>
      <w:r>
        <w:rPr>
          <w:rFonts w:hint="eastAsia"/>
          <w:u w:val="single"/>
          <w:lang w:val="en-US" w:eastAsia="zh-CN"/>
        </w:rPr>
        <w:t>.4</w:t>
      </w:r>
      <w:r>
        <w:rPr>
          <w:rFonts w:hint="eastAsia" w:ascii="仿宋_GB2312" w:eastAsia="仿宋_GB2312"/>
          <w:u w:val="single"/>
          <w:lang w:val="en-US" w:eastAsia="zh-CN"/>
        </w:rPr>
        <w:t>亿元</w:t>
      </w:r>
      <w:r>
        <w:rPr>
          <w:rFonts w:hint="eastAsia" w:ascii="仿宋_GB2312" w:eastAsia="仿宋_GB2312"/>
          <w:lang w:val="en-US" w:eastAsia="zh-CN"/>
        </w:rPr>
        <w:t>，</w:t>
      </w:r>
      <w:r>
        <w:rPr>
          <w:rFonts w:hint="eastAsia"/>
          <w:lang w:val="en-US" w:eastAsia="zh-CN"/>
        </w:rPr>
        <w:t>产业链上下游能够贡献</w:t>
      </w:r>
      <w:r>
        <w:rPr>
          <w:rFonts w:hint="eastAsia"/>
          <w:u w:val="single"/>
          <w:lang w:val="en-US" w:eastAsia="zh-CN"/>
        </w:rPr>
        <w:t>1亿元</w:t>
      </w:r>
      <w:r>
        <w:rPr>
          <w:rFonts w:hint="eastAsia"/>
          <w:lang w:val="en-US" w:eastAsia="zh-CN"/>
        </w:rPr>
        <w:t>直接和间接</w:t>
      </w:r>
      <w:r>
        <w:rPr>
          <w:rFonts w:hint="eastAsia" w:ascii="仿宋_GB2312" w:eastAsia="仿宋_GB2312"/>
          <w:lang w:val="en-US" w:eastAsia="zh-CN"/>
        </w:rPr>
        <w:t>税收</w:t>
      </w:r>
      <w:r>
        <w:rPr>
          <w:rFonts w:hint="eastAsia"/>
          <w:lang w:val="en-US" w:eastAsia="zh-CN"/>
        </w:rPr>
        <w:t>，提供</w:t>
      </w:r>
      <w:r>
        <w:rPr>
          <w:rFonts w:hint="eastAsia"/>
          <w:u w:val="single"/>
          <w:lang w:val="en-US" w:eastAsia="zh-CN"/>
        </w:rPr>
        <w:t>近千个</w:t>
      </w:r>
      <w:r>
        <w:rPr>
          <w:rFonts w:hint="eastAsia"/>
          <w:lang w:val="en-US" w:eastAsia="zh-CN"/>
        </w:rPr>
        <w:t>工作岗位，对全区经济的提振效果非常明显。</w:t>
      </w:r>
    </w:p>
    <w:p>
      <w:pPr>
        <w:pStyle w:val="5"/>
        <w:numPr>
          <w:ilvl w:val="0"/>
          <w:numId w:val="24"/>
        </w:numPr>
        <w:bidi w:val="0"/>
        <w:rPr>
          <w:rFonts w:hint="default"/>
          <w:lang w:val="en-US" w:eastAsia="zh-CN"/>
        </w:rPr>
      </w:pPr>
      <w:bookmarkStart w:id="329" w:name="_Toc8980"/>
      <w:bookmarkStart w:id="330" w:name="_Toc29065"/>
      <w:r>
        <w:rPr>
          <w:rFonts w:hint="eastAsia"/>
          <w:lang w:val="en-US" w:eastAsia="zh-CN"/>
        </w:rPr>
        <w:t>“无农不稳、无工不富”，崖州应补上制造业这门功课</w:t>
      </w:r>
      <w:bookmarkEnd w:id="329"/>
      <w:bookmarkEnd w:id="330"/>
    </w:p>
    <w:p>
      <w:pPr>
        <w:rPr>
          <w:rFonts w:hint="eastAsia"/>
          <w:lang w:val="en-US" w:eastAsia="zh-CN"/>
        </w:rPr>
      </w:pPr>
      <w:r>
        <w:rPr>
          <w:rFonts w:hint="eastAsia" w:ascii="仿宋_GB2312" w:eastAsia="仿宋_GB2312"/>
          <w:lang w:val="en-US" w:eastAsia="zh-CN"/>
        </w:rPr>
        <w:t>工业是推进产业化、城镇化的强大动力，加速人的社会化、现代化。根据历史经验和发展现状，海南这种体量的经济体不可能单独依靠服务业发展壮大</w:t>
      </w:r>
      <w:r>
        <w:rPr>
          <w:rFonts w:hint="eastAsia"/>
          <w:lang w:val="en-US" w:eastAsia="zh-CN"/>
        </w:rPr>
        <w:t>，崖州具有良好的制造业发展条件，补上制造业这门功课对崖州意义重大。</w:t>
      </w:r>
    </w:p>
    <w:p>
      <w:pPr>
        <w:rPr>
          <w:rFonts w:hint="eastAsia"/>
          <w:lang w:val="en-US" w:eastAsia="zh-CN"/>
        </w:rPr>
      </w:pPr>
      <w:r>
        <w:rPr>
          <w:rFonts w:hint="eastAsia" w:ascii="仿宋_GB2312" w:eastAsia="仿宋_GB2312"/>
          <w:b/>
          <w:bCs/>
          <w:lang w:val="en-US" w:eastAsia="zh-CN"/>
        </w:rPr>
        <w:t>一是</w:t>
      </w:r>
      <w:r>
        <w:rPr>
          <w:rFonts w:hint="eastAsia" w:ascii="仿宋_GB2312" w:eastAsia="仿宋_GB2312"/>
          <w:lang w:val="en-US" w:eastAsia="zh-CN"/>
        </w:rPr>
        <w:t>可以提高全区</w:t>
      </w:r>
      <w:r>
        <w:rPr>
          <w:rFonts w:hint="eastAsia"/>
          <w:lang w:val="en-US" w:eastAsia="zh-CN"/>
        </w:rPr>
        <w:t>经济产值，显著</w:t>
      </w:r>
      <w:r>
        <w:rPr>
          <w:rFonts w:hint="eastAsia" w:ascii="仿宋_GB2312" w:eastAsia="仿宋_GB2312"/>
          <w:lang w:val="en-US" w:eastAsia="zh-CN"/>
        </w:rPr>
        <w:t>增加</w:t>
      </w:r>
      <w:r>
        <w:rPr>
          <w:rFonts w:hint="eastAsia"/>
          <w:lang w:val="en-US" w:eastAsia="zh-CN"/>
        </w:rPr>
        <w:t>税收、创造</w:t>
      </w:r>
      <w:r>
        <w:rPr>
          <w:rFonts w:hint="eastAsia" w:ascii="仿宋_GB2312" w:eastAsia="仿宋_GB2312"/>
          <w:lang w:val="en-US" w:eastAsia="zh-CN"/>
        </w:rPr>
        <w:t>就业</w:t>
      </w:r>
      <w:r>
        <w:rPr>
          <w:rFonts w:hint="eastAsia"/>
          <w:lang w:val="en-US" w:eastAsia="zh-CN"/>
        </w:rPr>
        <w:t>，加速产业化和城镇化进程。</w:t>
      </w:r>
    </w:p>
    <w:p>
      <w:pPr>
        <w:rPr>
          <w:rFonts w:hint="eastAsia"/>
          <w:lang w:val="en-US" w:eastAsia="zh-CN"/>
        </w:rPr>
      </w:pPr>
      <w:r>
        <w:rPr>
          <w:rFonts w:hint="eastAsia" w:ascii="仿宋_GB2312" w:eastAsia="仿宋_GB2312"/>
          <w:b/>
          <w:bCs/>
          <w:lang w:val="en-US" w:eastAsia="zh-CN"/>
        </w:rPr>
        <w:t>二是</w:t>
      </w:r>
      <w:r>
        <w:rPr>
          <w:rFonts w:hint="eastAsia" w:ascii="仿宋_GB2312" w:eastAsia="仿宋_GB2312"/>
          <w:lang w:val="en-US" w:eastAsia="zh-CN"/>
        </w:rPr>
        <w:t>可以提高农副产品附加值，</w:t>
      </w:r>
      <w:r>
        <w:rPr>
          <w:rFonts w:hint="eastAsia"/>
          <w:lang w:val="en-US" w:eastAsia="zh-CN"/>
        </w:rPr>
        <w:t>促进种植业向规模化、现代化发展，</w:t>
      </w:r>
      <w:r>
        <w:rPr>
          <w:rFonts w:hint="eastAsia" w:ascii="仿宋_GB2312" w:eastAsia="仿宋_GB2312"/>
          <w:lang w:val="en-US" w:eastAsia="zh-CN"/>
        </w:rPr>
        <w:t>增加农民收入</w:t>
      </w:r>
      <w:r>
        <w:rPr>
          <w:rFonts w:hint="eastAsia"/>
          <w:lang w:val="en-US" w:eastAsia="zh-CN"/>
        </w:rPr>
        <w:t>。</w:t>
      </w:r>
    </w:p>
    <w:p>
      <w:pPr>
        <w:rPr>
          <w:rFonts w:hint="eastAsia"/>
          <w:lang w:val="en-US" w:eastAsia="zh-CN"/>
        </w:rPr>
      </w:pPr>
      <w:r>
        <w:rPr>
          <w:rFonts w:hint="eastAsia" w:ascii="仿宋_GB2312" w:eastAsia="仿宋_GB2312"/>
          <w:b/>
          <w:bCs/>
          <w:lang w:val="en-US" w:eastAsia="zh-CN"/>
        </w:rPr>
        <w:t>三是</w:t>
      </w:r>
      <w:r>
        <w:rPr>
          <w:rFonts w:hint="eastAsia"/>
          <w:b w:val="0"/>
          <w:bCs w:val="0"/>
          <w:lang w:val="en-US" w:eastAsia="zh-CN"/>
        </w:rPr>
        <w:t>可以</w:t>
      </w:r>
      <w:r>
        <w:rPr>
          <w:rFonts w:hint="eastAsia" w:ascii="仿宋_GB2312" w:eastAsia="仿宋_GB2312"/>
          <w:lang w:val="en-US" w:eastAsia="zh-CN"/>
        </w:rPr>
        <w:t>通过发展实体经济，</w:t>
      </w:r>
      <w:r>
        <w:rPr>
          <w:rFonts w:hint="eastAsia"/>
          <w:lang w:val="en-US" w:eastAsia="zh-CN"/>
        </w:rPr>
        <w:t>可以</w:t>
      </w:r>
      <w:r>
        <w:rPr>
          <w:rFonts w:hint="eastAsia" w:ascii="仿宋_GB2312" w:eastAsia="仿宋_GB2312"/>
          <w:lang w:val="en-US" w:eastAsia="zh-CN"/>
        </w:rPr>
        <w:t>对冲地产调控影响，增加产业结构的厚度</w:t>
      </w:r>
      <w:r>
        <w:rPr>
          <w:rFonts w:hint="eastAsia"/>
          <w:lang w:val="en-US" w:eastAsia="zh-CN"/>
        </w:rPr>
        <w:t>和稳定度。</w:t>
      </w:r>
    </w:p>
    <w:p>
      <w:pPr>
        <w:rPr>
          <w:rFonts w:hint="eastAsia" w:ascii="仿宋_GB2312" w:eastAsia="仿宋_GB2312"/>
          <w:lang w:val="en-US" w:eastAsia="zh-CN"/>
        </w:rPr>
      </w:pPr>
      <w:r>
        <w:rPr>
          <w:rFonts w:hint="eastAsia" w:ascii="仿宋_GB2312" w:eastAsia="仿宋_GB2312"/>
          <w:b/>
          <w:bCs/>
          <w:lang w:val="en-US" w:eastAsia="zh-CN"/>
        </w:rPr>
        <w:t>四是</w:t>
      </w:r>
      <w:r>
        <w:rPr>
          <w:rFonts w:hint="eastAsia" w:ascii="仿宋_GB2312" w:eastAsia="仿宋_GB2312"/>
          <w:b w:val="0"/>
          <w:bCs w:val="0"/>
          <w:lang w:val="en-US" w:eastAsia="zh-CN"/>
        </w:rPr>
        <w:t>可以</w:t>
      </w:r>
      <w:r>
        <w:rPr>
          <w:rFonts w:hint="eastAsia"/>
          <w:b w:val="0"/>
          <w:bCs w:val="0"/>
          <w:lang w:val="en-US" w:eastAsia="zh-CN"/>
        </w:rPr>
        <w:t>做强崖州区产业基础，创造条件承接崖州湾</w:t>
      </w:r>
      <w:r>
        <w:rPr>
          <w:rFonts w:hint="eastAsia" w:ascii="仿宋_GB2312" w:eastAsia="仿宋_GB2312"/>
          <w:b w:val="0"/>
          <w:bCs w:val="0"/>
          <w:lang w:val="en-US" w:eastAsia="zh-CN"/>
        </w:rPr>
        <w:t>科技城</w:t>
      </w:r>
      <w:r>
        <w:rPr>
          <w:rFonts w:hint="eastAsia"/>
          <w:b w:val="0"/>
          <w:bCs w:val="0"/>
          <w:lang w:val="en-US" w:eastAsia="zh-CN"/>
        </w:rPr>
        <w:t>的技术溢出，延伸</w:t>
      </w:r>
      <w:r>
        <w:rPr>
          <w:rFonts w:hint="eastAsia" w:ascii="仿宋_GB2312" w:eastAsia="仿宋_GB2312"/>
          <w:b w:val="0"/>
          <w:bCs w:val="0"/>
          <w:lang w:val="en-US" w:eastAsia="zh-CN"/>
        </w:rPr>
        <w:t>创新链、产业链、价值链，为科技成果的中试、</w:t>
      </w:r>
      <w:r>
        <w:rPr>
          <w:rFonts w:hint="eastAsia"/>
          <w:b w:val="0"/>
          <w:bCs w:val="0"/>
          <w:lang w:val="en-US" w:eastAsia="zh-CN"/>
        </w:rPr>
        <w:t>生产、</w:t>
      </w:r>
      <w:r>
        <w:rPr>
          <w:rFonts w:hint="eastAsia" w:ascii="仿宋_GB2312" w:eastAsia="仿宋_GB2312"/>
          <w:b w:val="0"/>
          <w:bCs w:val="0"/>
          <w:lang w:val="en-US" w:eastAsia="zh-CN"/>
        </w:rPr>
        <w:t>推广提供</w:t>
      </w:r>
      <w:r>
        <w:rPr>
          <w:rFonts w:hint="eastAsia"/>
          <w:b w:val="0"/>
          <w:bCs w:val="0"/>
          <w:lang w:val="en-US" w:eastAsia="zh-CN"/>
        </w:rPr>
        <w:t>产业</w:t>
      </w:r>
      <w:r>
        <w:rPr>
          <w:rFonts w:hint="eastAsia" w:ascii="仿宋_GB2312" w:eastAsia="仿宋_GB2312"/>
          <w:b w:val="0"/>
          <w:bCs w:val="0"/>
          <w:lang w:val="en-US" w:eastAsia="zh-CN"/>
        </w:rPr>
        <w:t>环境</w:t>
      </w:r>
      <w:r>
        <w:rPr>
          <w:rFonts w:hint="eastAsia" w:ascii="仿宋_GB2312" w:eastAsia="仿宋_GB2312"/>
          <w:lang w:val="en-US" w:eastAsia="zh-CN"/>
        </w:rPr>
        <w:t>。</w:t>
      </w:r>
    </w:p>
    <w:p>
      <w:pPr>
        <w:pStyle w:val="3"/>
        <w:bidi w:val="0"/>
        <w:rPr>
          <w:rFonts w:hint="eastAsia"/>
          <w:lang w:val="en-US" w:eastAsia="zh-CN"/>
        </w:rPr>
      </w:pPr>
      <w:bookmarkStart w:id="331" w:name="_Toc25020"/>
      <w:bookmarkStart w:id="332" w:name="_Toc3696"/>
      <w:bookmarkStart w:id="333" w:name="_Toc11227"/>
      <w:r>
        <w:rPr>
          <w:rFonts w:hint="eastAsia"/>
          <w:lang w:val="en-US" w:eastAsia="zh-CN"/>
        </w:rPr>
        <w:t>第三节  发展路径</w:t>
      </w:r>
      <w:bookmarkEnd w:id="331"/>
      <w:bookmarkEnd w:id="332"/>
      <w:bookmarkEnd w:id="333"/>
    </w:p>
    <w:p>
      <w:pPr>
        <w:pStyle w:val="5"/>
        <w:numPr>
          <w:ilvl w:val="0"/>
          <w:numId w:val="25"/>
        </w:numPr>
        <w:bidi w:val="0"/>
        <w:rPr>
          <w:rFonts w:hint="default"/>
          <w:lang w:val="en-US" w:eastAsia="zh-CN"/>
        </w:rPr>
      </w:pPr>
      <w:bookmarkStart w:id="334" w:name="_Toc3900"/>
      <w:bookmarkStart w:id="335" w:name="_Toc5921"/>
      <w:bookmarkStart w:id="336" w:name="_Toc21756"/>
      <w:r>
        <w:rPr>
          <w:rFonts w:hint="eastAsia"/>
          <w:lang w:val="en-US" w:eastAsia="zh-CN"/>
        </w:rPr>
        <w:t>发展农产品保鲜、贮藏、加工、功能性开发等产业</w:t>
      </w:r>
      <w:bookmarkEnd w:id="334"/>
      <w:bookmarkEnd w:id="335"/>
      <w:bookmarkEnd w:id="336"/>
    </w:p>
    <w:p>
      <w:pPr>
        <w:rPr>
          <w:rFonts w:hint="default"/>
          <w:lang w:val="en-US" w:eastAsia="zh-CN"/>
        </w:rPr>
      </w:pPr>
      <w:r>
        <w:rPr>
          <w:rFonts w:hint="eastAsia" w:ascii="仿宋_GB2312" w:eastAsia="仿宋_GB2312"/>
          <w:lang w:val="en-US" w:eastAsia="zh-CN"/>
        </w:rPr>
        <w:t>提升新建</w:t>
      </w:r>
      <w:r>
        <w:rPr>
          <w:rFonts w:hint="default"/>
          <w:lang w:val="en-US" w:eastAsia="zh-CN"/>
        </w:rPr>
        <w:t>崖州果蔬综合批发市场</w:t>
      </w:r>
      <w:r>
        <w:rPr>
          <w:rFonts w:hint="eastAsia" w:ascii="仿宋_GB2312" w:eastAsia="仿宋_GB2312"/>
          <w:lang w:val="en-US" w:eastAsia="zh-CN"/>
        </w:rPr>
        <w:t>综合服务功能，</w:t>
      </w:r>
      <w:r>
        <w:rPr>
          <w:rFonts w:hint="eastAsia"/>
          <w:lang w:val="en-US" w:eastAsia="zh-CN"/>
        </w:rPr>
        <w:t>在市场周边新建农产品加工产业园区，发展</w:t>
      </w:r>
      <w:r>
        <w:rPr>
          <w:rFonts w:hint="eastAsia" w:ascii="仿宋_GB2312" w:eastAsia="仿宋_GB2312"/>
          <w:lang w:val="en-US" w:eastAsia="zh-CN"/>
        </w:rPr>
        <w:t>果蔬贮藏、保鲜处理、精深加工等产业，重点围绕量大价低的芒果、豇豆</w:t>
      </w:r>
      <w:r>
        <w:rPr>
          <w:rFonts w:hint="eastAsia"/>
          <w:lang w:val="en-US" w:eastAsia="zh-CN"/>
        </w:rPr>
        <w:t>发展</w:t>
      </w:r>
      <w:r>
        <w:rPr>
          <w:rFonts w:hint="eastAsia" w:ascii="仿宋_GB2312" w:eastAsia="仿宋_GB2312"/>
          <w:lang w:val="en-US" w:eastAsia="zh-CN"/>
        </w:rPr>
        <w:t>农产品加工。</w:t>
      </w:r>
    </w:p>
    <w:p>
      <w:pPr>
        <w:bidi w:val="0"/>
        <w:rPr>
          <w:rFonts w:hint="eastAsia"/>
          <w:lang w:val="en-US" w:eastAsia="zh-CN"/>
        </w:rPr>
      </w:pPr>
      <w:r>
        <w:rPr>
          <w:rFonts w:hint="eastAsia" w:ascii="仿宋_GB2312" w:eastAsia="仿宋_GB2312"/>
          <w:b/>
          <w:bCs/>
          <w:lang w:val="en-US" w:eastAsia="zh-CN"/>
        </w:rPr>
        <w:t>一是发展热带水果保鲜提质处理技术。</w:t>
      </w:r>
      <w:r>
        <w:rPr>
          <w:rFonts w:hint="eastAsia" w:ascii="仿宋_GB2312" w:eastAsia="仿宋_GB2312"/>
          <w:lang w:val="en-US" w:eastAsia="zh-CN"/>
        </w:rPr>
        <w:t>引进芒果标准化采后处理生产线，综合采用物理方法（热处理、臭氧处理、射线辐照处理）、无公害化学方法（天然保鲜剂、涂膜、一氧化氮、1-MCP乙烯抑制剂）处理新采芒果，抑制微生物和病原菌，降低乙烯释放，通过显著延长芒果保鲜期、提高口感和甜度，降低运输损耗、延长销售期、提高芒果价格。</w:t>
      </w:r>
    </w:p>
    <w:p>
      <w:pPr>
        <w:bidi w:val="0"/>
        <w:rPr>
          <w:rFonts w:hint="default"/>
          <w:lang w:val="en-US" w:eastAsia="zh-CN"/>
        </w:rPr>
      </w:pPr>
      <w:r>
        <w:rPr>
          <w:rFonts w:hint="eastAsia" w:ascii="仿宋_GB2312" w:eastAsia="仿宋_GB2312"/>
          <w:b/>
          <w:bCs/>
          <w:lang w:val="en-US" w:eastAsia="zh-CN"/>
        </w:rPr>
        <w:t>二是建设现代化果蔬贮藏包装项目。</w:t>
      </w:r>
      <w:r>
        <w:rPr>
          <w:rFonts w:hint="eastAsia" w:ascii="仿宋_GB2312" w:eastAsia="仿宋_GB2312"/>
          <w:lang w:val="en-US" w:eastAsia="zh-CN"/>
        </w:rPr>
        <w:t>建设现代化芒果贮藏库，采用低温贮藏（10摄氏度下贮藏期延长40天）、减压贮藏（13.33kPa显著延长贮藏期）、气调贮藏（高浓度二氧化碳）等手段，增加甜度1-2度、延长常温运输保存时间2周，每斤处理成本为0.5-0.6元，处理后销售价格可大幅提高，并根据市场行情投放产品，覆盖增加成本。争取国家农业部门有关配套资金，发展豇豆真空袋运输技术等农业部农产品处理推广技术，增加豇豆常温运输保存时间，低成本投入可以显著延长保鲜期、降低运输损耗，提高产品价格和农民</w:t>
      </w:r>
      <w:r>
        <w:rPr>
          <w:rFonts w:hint="eastAsia"/>
          <w:lang w:val="en-US" w:eastAsia="zh-CN"/>
        </w:rPr>
        <w:t>收益</w:t>
      </w:r>
      <w:r>
        <w:rPr>
          <w:rFonts w:hint="eastAsia" w:ascii="仿宋_GB2312" w:eastAsia="仿宋_GB2312"/>
          <w:lang w:val="en-US" w:eastAsia="zh-CN"/>
        </w:rPr>
        <w:t>。</w:t>
      </w:r>
    </w:p>
    <w:p>
      <w:pPr>
        <w:bidi w:val="0"/>
        <w:rPr>
          <w:rFonts w:hint="default"/>
          <w:b w:val="0"/>
          <w:bCs w:val="0"/>
          <w:lang w:val="en-US" w:eastAsia="zh-CN"/>
        </w:rPr>
      </w:pPr>
      <w:r>
        <w:rPr>
          <w:rFonts w:hint="eastAsia" w:ascii="仿宋_GB2312" w:eastAsia="仿宋_GB2312"/>
          <w:b/>
          <w:bCs/>
          <w:lang w:val="en-US" w:eastAsia="zh-CN"/>
        </w:rPr>
        <w:t>三是发展豇豆等蔬菜加工和功能性食品开发。</w:t>
      </w:r>
      <w:r>
        <w:rPr>
          <w:rFonts w:hint="eastAsia" w:ascii="仿宋_GB2312" w:eastAsia="仿宋_GB2312"/>
          <w:b w:val="0"/>
          <w:bCs w:val="0"/>
          <w:lang w:val="en-US" w:eastAsia="zh-CN"/>
        </w:rPr>
        <w:t>发展豇豆汁加工，豇豆汁最大程度保留豇豆营养和微量元素，具有一定药用和保健功能，适宜生产豇豆汁保健饮料和综合果蔬汁。采用真空冷冻干燥工艺生产冻干冻干豇豆、冻干秋葵等，作为休闲食品、保健食品及调味品配料。发展豇豆超微粉加工，利用气候优势提高豇豆热风干燥效率，粉碎成粉可作为膨化食品、面食、肉制品、饮料、乳制品、烘焙制品、糖果制品、方便面、调味品、婴幼儿食品的配料或辅料。利用气候优势发展豇豆腌制加工和豇豆晒制加工，开发高中低端系列豇豆佐餐食品和食材原料，做好产品包装、品牌宣传、电商渠道工作。发展豇豆净菜</w:t>
      </w:r>
      <w:r>
        <w:rPr>
          <w:rFonts w:hint="eastAsia"/>
          <w:b w:val="0"/>
          <w:bCs w:val="0"/>
          <w:lang w:val="en-US" w:eastAsia="zh-CN"/>
        </w:rPr>
        <w:t>保鲜</w:t>
      </w:r>
      <w:r>
        <w:rPr>
          <w:rFonts w:hint="eastAsia" w:ascii="仿宋_GB2312" w:eastAsia="仿宋_GB2312"/>
          <w:b w:val="0"/>
          <w:bCs w:val="0"/>
          <w:lang w:val="en-US" w:eastAsia="zh-CN"/>
        </w:rPr>
        <w:t>加工、豇豆速冻加工，消费者不需要做进一步处理，可以直接烹调。</w:t>
      </w:r>
    </w:p>
    <w:p>
      <w:pPr>
        <w:bidi w:val="0"/>
        <w:rPr>
          <w:rFonts w:hint="eastAsia"/>
          <w:b w:val="0"/>
          <w:bCs w:val="0"/>
          <w:lang w:val="en-US" w:eastAsia="zh-CN"/>
        </w:rPr>
      </w:pPr>
      <w:r>
        <w:rPr>
          <w:rFonts w:hint="eastAsia" w:ascii="仿宋_GB2312" w:eastAsia="仿宋_GB2312"/>
          <w:b/>
          <w:bCs/>
          <w:lang w:val="en-US" w:eastAsia="zh-CN"/>
        </w:rPr>
        <w:t>四是</w:t>
      </w:r>
      <w:r>
        <w:rPr>
          <w:rFonts w:hint="default"/>
          <w:b/>
          <w:bCs/>
          <w:lang w:val="en-US" w:eastAsia="zh-CN"/>
        </w:rPr>
        <w:t>发展</w:t>
      </w:r>
      <w:r>
        <w:rPr>
          <w:rFonts w:hint="eastAsia" w:ascii="仿宋_GB2312" w:eastAsia="仿宋_GB2312"/>
          <w:b/>
          <w:bCs/>
          <w:lang w:val="en-US" w:eastAsia="zh-CN"/>
        </w:rPr>
        <w:t>芒果</w:t>
      </w:r>
      <w:r>
        <w:rPr>
          <w:rFonts w:hint="default"/>
          <w:b/>
          <w:bCs/>
          <w:lang w:val="en-US" w:eastAsia="zh-CN"/>
        </w:rPr>
        <w:t>等</w:t>
      </w:r>
      <w:r>
        <w:rPr>
          <w:rFonts w:hint="eastAsia" w:ascii="仿宋_GB2312" w:eastAsia="仿宋_GB2312"/>
          <w:b/>
          <w:bCs/>
          <w:lang w:val="en-US" w:eastAsia="zh-CN"/>
        </w:rPr>
        <w:t>水果</w:t>
      </w:r>
      <w:r>
        <w:rPr>
          <w:rFonts w:hint="default"/>
          <w:b/>
          <w:bCs/>
          <w:lang w:val="en-US" w:eastAsia="zh-CN"/>
        </w:rPr>
        <w:t>加工和功能性食品开发。</w:t>
      </w:r>
      <w:r>
        <w:rPr>
          <w:rFonts w:hint="default"/>
          <w:b w:val="0"/>
          <w:bCs w:val="0"/>
          <w:lang w:val="en-US" w:eastAsia="zh-CN"/>
        </w:rPr>
        <w:t>采用真空冷冻干燥工艺生产冻干芒果（芒果脆）、冻干蜜瓜等，</w:t>
      </w:r>
      <w:r>
        <w:rPr>
          <w:rFonts w:hint="eastAsia" w:ascii="仿宋_GB2312" w:eastAsia="仿宋_GB2312"/>
          <w:b w:val="0"/>
          <w:bCs w:val="0"/>
          <w:lang w:val="en-US" w:eastAsia="zh-CN"/>
        </w:rPr>
        <w:t>有效保留水果色泽香味营养，</w:t>
      </w:r>
      <w:r>
        <w:rPr>
          <w:rFonts w:hint="default"/>
          <w:b w:val="0"/>
          <w:bCs w:val="0"/>
          <w:lang w:val="en-US" w:eastAsia="zh-CN"/>
        </w:rPr>
        <w:t>作为休闲食品、保健食品</w:t>
      </w:r>
      <w:r>
        <w:rPr>
          <w:rFonts w:hint="eastAsia" w:ascii="仿宋_GB2312" w:eastAsia="仿宋_GB2312"/>
          <w:b w:val="0"/>
          <w:bCs w:val="0"/>
          <w:lang w:val="en-US" w:eastAsia="zh-CN"/>
        </w:rPr>
        <w:t>或</w:t>
      </w:r>
      <w:r>
        <w:rPr>
          <w:rFonts w:hint="default"/>
          <w:b w:val="0"/>
          <w:bCs w:val="0"/>
          <w:lang w:val="en-US" w:eastAsia="zh-CN"/>
        </w:rPr>
        <w:t>调味品配料。</w:t>
      </w:r>
      <w:r>
        <w:rPr>
          <w:rFonts w:hint="eastAsia" w:ascii="仿宋_GB2312" w:eastAsia="仿宋_GB2312"/>
          <w:b w:val="0"/>
          <w:bCs w:val="0"/>
          <w:lang w:val="en-US" w:eastAsia="zh-CN"/>
        </w:rPr>
        <w:t>崖州及周边主产区每年产生大量芒果残次果（20%左右），发展芒果原浆、浓缩汁和果汁饮料加工，发展芒果果酒加工，提高原料利用率，丰富芒果加工产品种类，成为辐射全岛的芒果加工基地。发展芒果果粉加工，可作为综合果汁的原材料，或作为烘焙制品、糖果制品、乳制品、膨化食品的配料或辅料。发展芒果果脯加工，生产低糖型果脯，作为休闲食品或食品配料。</w:t>
      </w:r>
    </w:p>
    <w:p>
      <w:pPr>
        <w:pStyle w:val="5"/>
        <w:numPr>
          <w:ilvl w:val="0"/>
          <w:numId w:val="25"/>
        </w:numPr>
        <w:bidi w:val="0"/>
        <w:rPr>
          <w:rFonts w:hint="eastAsia"/>
          <w:lang w:val="en-US" w:eastAsia="zh-CN"/>
        </w:rPr>
      </w:pPr>
      <w:bookmarkStart w:id="337" w:name="_Toc9510"/>
      <w:bookmarkStart w:id="338" w:name="_Toc745"/>
      <w:bookmarkStart w:id="339" w:name="_Toc21734"/>
      <w:r>
        <w:rPr>
          <w:rFonts w:hint="eastAsia"/>
          <w:lang w:val="en-US" w:eastAsia="zh-CN"/>
        </w:rPr>
        <w:t>发展水产品初加工、精深加工、新产品开发等产业</w:t>
      </w:r>
      <w:bookmarkEnd w:id="337"/>
      <w:bookmarkEnd w:id="338"/>
      <w:bookmarkEnd w:id="339"/>
    </w:p>
    <w:p>
      <w:pPr>
        <w:rPr>
          <w:rFonts w:hint="eastAsia"/>
          <w:lang w:val="en-US" w:eastAsia="zh-CN"/>
        </w:rPr>
      </w:pPr>
      <w:r>
        <w:rPr>
          <w:rFonts w:hint="eastAsia"/>
          <w:lang w:val="en-US" w:eastAsia="zh-CN"/>
        </w:rPr>
        <w:t>提升崖州中心渔港功能，加快推进渔港后方加工园区建设，做好冷链仓储物流体系建设，为发展水产品加工提供必备的发展空间和基础条件。</w:t>
      </w:r>
    </w:p>
    <w:p>
      <w:pPr>
        <w:rPr>
          <w:rFonts w:hint="eastAsia" w:ascii="仿宋_GB2312" w:eastAsia="仿宋_GB2312"/>
          <w:lang w:val="en-US" w:eastAsia="zh-CN"/>
        </w:rPr>
      </w:pPr>
      <w:r>
        <w:rPr>
          <w:rFonts w:hint="eastAsia" w:ascii="仿宋_GB2312" w:eastAsia="仿宋_GB2312"/>
          <w:b/>
          <w:bCs/>
          <w:lang w:val="en-US" w:eastAsia="zh-CN"/>
        </w:rPr>
        <w:t>一是</w:t>
      </w:r>
      <w:r>
        <w:rPr>
          <w:rFonts w:hint="eastAsia"/>
          <w:b/>
          <w:bCs/>
          <w:lang w:val="en-US" w:eastAsia="zh-CN"/>
        </w:rPr>
        <w:t>发展水产品初加工。</w:t>
      </w:r>
      <w:r>
        <w:rPr>
          <w:rFonts w:hint="eastAsia" w:ascii="仿宋_GB2312" w:eastAsia="仿宋_GB2312"/>
          <w:lang w:val="en-US" w:eastAsia="zh-CN"/>
        </w:rPr>
        <w:t>发展鱼虾贝类水产品清洗、分解、</w:t>
      </w:r>
      <w:r>
        <w:rPr>
          <w:rFonts w:hint="eastAsia"/>
          <w:lang w:val="en-US" w:eastAsia="zh-CN"/>
        </w:rPr>
        <w:t>制熟、</w:t>
      </w:r>
      <w:r>
        <w:rPr>
          <w:rFonts w:hint="eastAsia" w:ascii="仿宋_GB2312" w:eastAsia="仿宋_GB2312"/>
          <w:lang w:val="en-US" w:eastAsia="zh-CN"/>
        </w:rPr>
        <w:t>冷冻等初级加工</w:t>
      </w:r>
      <w:r>
        <w:rPr>
          <w:rFonts w:hint="eastAsia"/>
          <w:lang w:val="en-US" w:eastAsia="zh-CN"/>
        </w:rPr>
        <w:t>。</w:t>
      </w:r>
    </w:p>
    <w:p>
      <w:pPr>
        <w:rPr>
          <w:rFonts w:hint="eastAsia"/>
          <w:b w:val="0"/>
          <w:bCs w:val="0"/>
          <w:lang w:val="en-US" w:eastAsia="zh-CN"/>
        </w:rPr>
      </w:pPr>
      <w:r>
        <w:rPr>
          <w:rFonts w:hint="eastAsia"/>
          <w:b/>
          <w:bCs/>
          <w:lang w:val="en-US" w:eastAsia="zh-CN"/>
        </w:rPr>
        <w:t>二是发展水产品精深加工。</w:t>
      </w:r>
      <w:r>
        <w:rPr>
          <w:rFonts w:hint="eastAsia"/>
          <w:b w:val="0"/>
          <w:bCs w:val="0"/>
          <w:lang w:val="en-US" w:eastAsia="zh-CN"/>
        </w:rPr>
        <w:t>发展水产品罐头、烘烤、休闲食品、半成品食材、即食食品等精深加工，发展参鲍翅窝等高端即食海珍品加工。</w:t>
      </w:r>
    </w:p>
    <w:p>
      <w:pPr>
        <w:rPr>
          <w:rFonts w:hint="eastAsia"/>
          <w:b w:val="0"/>
          <w:bCs w:val="0"/>
          <w:lang w:val="en-US" w:eastAsia="zh-CN"/>
        </w:rPr>
      </w:pPr>
      <w:r>
        <w:rPr>
          <w:rFonts w:hint="eastAsia"/>
          <w:b/>
          <w:bCs/>
          <w:lang w:val="en-US" w:eastAsia="zh-CN"/>
        </w:rPr>
        <w:t>三是开发功能性产品。</w:t>
      </w:r>
      <w:r>
        <w:rPr>
          <w:rFonts w:hint="eastAsia"/>
          <w:b w:val="0"/>
          <w:bCs w:val="0"/>
          <w:lang w:val="en-US" w:eastAsia="zh-CN"/>
        </w:rPr>
        <w:t>开发海洋功能性食品、海洋保健品，如脂质（不饱和脂肪酸EPA、DHA）、活性多糖类（甲壳多糖、甲壳素）、苷类（刺参苷）、糖蛋白（蛤素、乌鱼墨）、氨基酸（牛磺酸）、多肽类、酶类、核酸类、膳食纤维、矿物元素等。</w:t>
      </w:r>
    </w:p>
    <w:p>
      <w:pPr>
        <w:rPr>
          <w:rFonts w:hint="eastAsia" w:ascii="仿宋_GB2312" w:eastAsia="仿宋_GB2312"/>
          <w:lang w:val="en-US" w:eastAsia="zh-CN"/>
        </w:rPr>
      </w:pPr>
      <w:r>
        <w:rPr>
          <w:rFonts w:hint="eastAsia"/>
          <w:b/>
          <w:bCs/>
          <w:lang w:val="en-US" w:eastAsia="zh-CN"/>
        </w:rPr>
        <w:t>四是发展鱼粉类产品。</w:t>
      </w:r>
      <w:r>
        <w:rPr>
          <w:rFonts w:hint="eastAsia"/>
          <w:b w:val="0"/>
          <w:bCs w:val="0"/>
          <w:lang w:val="en-US" w:eastAsia="zh-CN"/>
        </w:rPr>
        <w:t>发展鱼粉、饲料配料、宠物饲料、宠物罐头、宠物功能性食品等高附加值产品。</w:t>
      </w:r>
    </w:p>
    <w:p>
      <w:pPr>
        <w:pStyle w:val="5"/>
        <w:numPr>
          <w:ilvl w:val="0"/>
          <w:numId w:val="25"/>
        </w:numPr>
        <w:bidi w:val="0"/>
        <w:rPr>
          <w:rFonts w:hint="default"/>
          <w:lang w:val="en-US" w:eastAsia="zh-CN"/>
        </w:rPr>
      </w:pPr>
      <w:bookmarkStart w:id="340" w:name="_Toc10908"/>
      <w:bookmarkStart w:id="341" w:name="_Toc15221"/>
      <w:bookmarkStart w:id="342" w:name="_Toc25"/>
      <w:r>
        <w:rPr>
          <w:rFonts w:hint="default"/>
          <w:lang w:val="en-US" w:eastAsia="zh-CN"/>
        </w:rPr>
        <w:t>用好自贸港政策，积极培育发展绿色</w:t>
      </w:r>
      <w:r>
        <w:rPr>
          <w:rFonts w:hint="eastAsia"/>
          <w:lang w:val="en-US" w:eastAsia="zh-CN"/>
        </w:rPr>
        <w:t>高端</w:t>
      </w:r>
      <w:r>
        <w:rPr>
          <w:rFonts w:hint="default"/>
          <w:lang w:val="en-US" w:eastAsia="zh-CN"/>
        </w:rPr>
        <w:t>制造业</w:t>
      </w:r>
      <w:bookmarkEnd w:id="340"/>
      <w:bookmarkEnd w:id="341"/>
      <w:bookmarkEnd w:id="342"/>
    </w:p>
    <w:p>
      <w:pPr>
        <w:rPr>
          <w:rFonts w:hint="default"/>
          <w:lang w:val="en-US" w:eastAsia="zh-CN"/>
        </w:rPr>
      </w:pPr>
      <w:r>
        <w:rPr>
          <w:rFonts w:hint="eastAsia" w:ascii="仿宋_GB2312" w:eastAsia="仿宋_GB2312"/>
          <w:lang w:val="en-US" w:eastAsia="zh-CN"/>
        </w:rPr>
        <w:t>把自贸港政策机遇和</w:t>
      </w:r>
      <w:r>
        <w:rPr>
          <w:rFonts w:hint="eastAsia"/>
          <w:lang w:val="en-US" w:eastAsia="zh-CN"/>
        </w:rPr>
        <w:t>崖州</w:t>
      </w:r>
      <w:r>
        <w:rPr>
          <w:rFonts w:hint="eastAsia" w:ascii="仿宋_GB2312" w:eastAsia="仿宋_GB2312"/>
          <w:lang w:val="en-US" w:eastAsia="zh-CN"/>
        </w:rPr>
        <w:t>优势紧密结合，在满足生态环保要求的前提下积极发展绿色高端制造业。</w:t>
      </w:r>
    </w:p>
    <w:p>
      <w:pPr>
        <w:rPr>
          <w:rFonts w:hint="eastAsia" w:ascii="仿宋_GB2312" w:eastAsia="仿宋_GB2312"/>
          <w:b w:val="0"/>
          <w:bCs w:val="0"/>
          <w:lang w:val="en-US" w:eastAsia="zh-CN"/>
        </w:rPr>
      </w:pPr>
      <w:r>
        <w:rPr>
          <w:rFonts w:hint="eastAsia" w:ascii="仿宋_GB2312" w:eastAsia="仿宋_GB2312"/>
          <w:b/>
          <w:bCs/>
          <w:lang w:val="en-US" w:eastAsia="zh-CN"/>
        </w:rPr>
        <w:t>一是</w:t>
      </w:r>
      <w:r>
        <w:rPr>
          <w:rFonts w:hint="eastAsia"/>
          <w:b/>
          <w:bCs/>
          <w:lang w:val="en-US" w:eastAsia="zh-CN"/>
        </w:rPr>
        <w:t>电子产品制造。</w:t>
      </w:r>
      <w:r>
        <w:rPr>
          <w:rFonts w:hint="eastAsia"/>
          <w:b w:val="0"/>
          <w:bCs w:val="0"/>
          <w:lang w:val="en-US" w:eastAsia="zh-CN"/>
        </w:rPr>
        <w:t>（1）</w:t>
      </w:r>
      <w:r>
        <w:rPr>
          <w:rFonts w:hint="eastAsia" w:ascii="仿宋_GB2312" w:eastAsia="仿宋_GB2312"/>
          <w:b w:val="0"/>
          <w:bCs w:val="0"/>
          <w:lang w:val="en-US" w:eastAsia="zh-CN"/>
        </w:rPr>
        <w:t>发挥崖州湾科技城人才、技术、资金、信息等高端要素集聚优势，承接</w:t>
      </w:r>
      <w:r>
        <w:rPr>
          <w:rFonts w:hint="eastAsia"/>
          <w:b w:val="0"/>
          <w:bCs w:val="0"/>
          <w:lang w:val="en-US" w:eastAsia="zh-CN"/>
        </w:rPr>
        <w:t>科技城</w:t>
      </w:r>
      <w:r>
        <w:rPr>
          <w:rFonts w:hint="eastAsia" w:ascii="仿宋_GB2312" w:eastAsia="仿宋_GB2312"/>
          <w:b w:val="0"/>
          <w:bCs w:val="0"/>
          <w:lang w:val="en-US" w:eastAsia="zh-CN"/>
        </w:rPr>
        <w:t>高端制造产业溢出，发展海洋传感器、设施农业传感器、电子消费品制造</w:t>
      </w:r>
      <w:r>
        <w:rPr>
          <w:rFonts w:hint="eastAsia"/>
          <w:b w:val="0"/>
          <w:bCs w:val="0"/>
          <w:lang w:val="en-US" w:eastAsia="zh-CN"/>
        </w:rPr>
        <w:t>。（2）发展“两头在外”的电子产品制造，如半导体芯片、物联网传感器、5G设备、穿戴设备、电子消费品、汽车电子、卫星定位传感器、显示器材、VR设备等。</w:t>
      </w:r>
    </w:p>
    <w:p>
      <w:pPr>
        <w:rPr>
          <w:rFonts w:hint="default"/>
          <w:lang w:val="en-US" w:eastAsia="zh-CN"/>
        </w:rPr>
      </w:pPr>
      <w:r>
        <w:rPr>
          <w:rFonts w:hint="eastAsia" w:ascii="仿宋_GB2312" w:eastAsia="仿宋_GB2312"/>
          <w:b/>
          <w:bCs/>
          <w:lang w:val="en-US" w:eastAsia="zh-CN"/>
        </w:rPr>
        <w:t>二是</w:t>
      </w:r>
      <w:r>
        <w:rPr>
          <w:rFonts w:hint="eastAsia"/>
          <w:b/>
          <w:bCs/>
          <w:lang w:val="en-US" w:eastAsia="zh-CN"/>
        </w:rPr>
        <w:t>发展</w:t>
      </w:r>
      <w:r>
        <w:rPr>
          <w:rFonts w:hint="default"/>
          <w:b/>
          <w:bCs/>
          <w:lang w:val="en-US" w:eastAsia="zh-CN"/>
        </w:rPr>
        <w:t>高温高盐高辐射</w:t>
      </w:r>
      <w:r>
        <w:rPr>
          <w:rFonts w:hint="eastAsia" w:ascii="仿宋_GB2312" w:eastAsia="仿宋_GB2312"/>
          <w:b/>
          <w:bCs/>
          <w:lang w:val="en-US" w:eastAsia="zh-CN"/>
        </w:rPr>
        <w:t>产业</w:t>
      </w:r>
      <w:r>
        <w:rPr>
          <w:rFonts w:hint="eastAsia"/>
          <w:b/>
          <w:bCs/>
          <w:lang w:val="en-US" w:eastAsia="zh-CN"/>
        </w:rPr>
        <w:t>。</w:t>
      </w:r>
      <w:r>
        <w:rPr>
          <w:rFonts w:hint="eastAsia" w:ascii="仿宋_GB2312" w:eastAsia="仿宋_GB2312"/>
          <w:lang w:val="en-US" w:eastAsia="zh-CN"/>
        </w:rPr>
        <w:t>海南生物发酵效率是内地的2倍，可以发展</w:t>
      </w:r>
      <w:r>
        <w:rPr>
          <w:rFonts w:hint="default"/>
          <w:lang w:val="en-US" w:eastAsia="zh-CN"/>
        </w:rPr>
        <w:t>酿酒、酵母、发酵调味品</w:t>
      </w:r>
      <w:r>
        <w:rPr>
          <w:rFonts w:hint="eastAsia" w:ascii="仿宋_GB2312" w:eastAsia="仿宋_GB2312"/>
          <w:lang w:val="en-US" w:eastAsia="zh-CN"/>
        </w:rPr>
        <w:t>行业</w:t>
      </w:r>
      <w:r>
        <w:rPr>
          <w:rFonts w:hint="default"/>
          <w:lang w:val="en-US" w:eastAsia="zh-CN"/>
        </w:rPr>
        <w:t>，以及汽车、高铁、电子设备、海工器材的测试、认证、研发</w:t>
      </w:r>
      <w:r>
        <w:rPr>
          <w:rFonts w:hint="eastAsia" w:ascii="仿宋_GB2312" w:eastAsia="仿宋_GB2312"/>
          <w:lang w:val="en-US" w:eastAsia="zh-CN"/>
        </w:rPr>
        <w:t>行业</w:t>
      </w:r>
      <w:r>
        <w:rPr>
          <w:rFonts w:hint="default"/>
          <w:lang w:val="en-US" w:eastAsia="zh-CN"/>
        </w:rPr>
        <w:t>。</w:t>
      </w:r>
    </w:p>
    <w:p>
      <w:pPr>
        <w:rPr>
          <w:rFonts w:hint="default"/>
          <w:lang w:val="en-US" w:eastAsia="zh-CN"/>
        </w:rPr>
      </w:pPr>
      <w:r>
        <w:rPr>
          <w:rFonts w:hint="eastAsia" w:ascii="仿宋_GB2312" w:eastAsia="仿宋_GB2312"/>
          <w:b/>
          <w:bCs/>
          <w:lang w:val="en-US" w:eastAsia="zh-CN"/>
        </w:rPr>
        <w:t>三</w:t>
      </w:r>
      <w:r>
        <w:rPr>
          <w:rFonts w:hint="default"/>
          <w:b/>
          <w:bCs/>
          <w:lang w:val="en-US" w:eastAsia="zh-CN"/>
        </w:rPr>
        <w:t>是中高端消费品制造</w:t>
      </w:r>
      <w:r>
        <w:rPr>
          <w:rFonts w:hint="eastAsia"/>
          <w:b/>
          <w:bCs/>
          <w:lang w:val="en-US" w:eastAsia="zh-CN"/>
        </w:rPr>
        <w:t>。</w:t>
      </w:r>
      <w:r>
        <w:rPr>
          <w:rFonts w:hint="eastAsia"/>
          <w:lang w:val="en-US" w:eastAsia="zh-CN"/>
        </w:rPr>
        <w:t>发展</w:t>
      </w:r>
      <w:r>
        <w:rPr>
          <w:rFonts w:hint="default"/>
          <w:lang w:val="en-US" w:eastAsia="zh-CN"/>
        </w:rPr>
        <w:t>体育运动装备、</w:t>
      </w:r>
      <w:r>
        <w:rPr>
          <w:rFonts w:hint="eastAsia" w:ascii="仿宋_GB2312" w:eastAsia="仿宋_GB2312"/>
          <w:lang w:val="en-US" w:eastAsia="zh-CN"/>
        </w:rPr>
        <w:t>中高端日用品</w:t>
      </w:r>
      <w:r>
        <w:rPr>
          <w:rFonts w:hint="eastAsia"/>
          <w:lang w:val="en-US" w:eastAsia="zh-CN"/>
        </w:rPr>
        <w:t>、</w:t>
      </w:r>
      <w:r>
        <w:rPr>
          <w:rFonts w:hint="default"/>
          <w:lang w:val="en-US" w:eastAsia="zh-CN"/>
        </w:rPr>
        <w:t>工艺品、化妆品、酒店用品等。</w:t>
      </w:r>
    </w:p>
    <w:p>
      <w:pPr>
        <w:rPr>
          <w:rFonts w:hint="default"/>
          <w:lang w:val="en-US" w:eastAsia="zh-CN"/>
        </w:rPr>
      </w:pPr>
      <w:r>
        <w:rPr>
          <w:rFonts w:hint="eastAsia" w:ascii="仿宋_GB2312" w:eastAsia="仿宋_GB2312"/>
          <w:b/>
          <w:bCs/>
          <w:lang w:val="en-US" w:eastAsia="zh-CN"/>
        </w:rPr>
        <w:t>四是</w:t>
      </w:r>
      <w:r>
        <w:rPr>
          <w:rFonts w:hint="eastAsia"/>
          <w:b/>
          <w:bCs/>
          <w:lang w:val="en-US" w:eastAsia="zh-CN"/>
        </w:rPr>
        <w:t>临港加工业。</w:t>
      </w:r>
      <w:r>
        <w:rPr>
          <w:rFonts w:hint="default"/>
          <w:lang w:val="en-US" w:eastAsia="zh-CN"/>
        </w:rPr>
        <w:t>围绕南山港打造后方</w:t>
      </w:r>
      <w:r>
        <w:rPr>
          <w:rFonts w:hint="eastAsia"/>
          <w:lang w:val="en-US" w:eastAsia="zh-CN"/>
        </w:rPr>
        <w:t>加工</w:t>
      </w:r>
      <w:r>
        <w:rPr>
          <w:rFonts w:hint="default"/>
          <w:lang w:val="en-US" w:eastAsia="zh-CN"/>
        </w:rPr>
        <w:t>基地，发展粮食加工、汽车船舶零部件、肉类海鲜分解加工、食品饮料、饲料等临港加工产业。</w:t>
      </w:r>
    </w:p>
    <w:p>
      <w:pPr>
        <w:pStyle w:val="5"/>
        <w:numPr>
          <w:ilvl w:val="0"/>
          <w:numId w:val="25"/>
        </w:numPr>
        <w:bidi w:val="0"/>
        <w:rPr>
          <w:rFonts w:hint="default"/>
          <w:lang w:val="en-US" w:eastAsia="zh-CN"/>
        </w:rPr>
      </w:pPr>
      <w:bookmarkStart w:id="343" w:name="_Toc5594"/>
      <w:r>
        <w:rPr>
          <w:rFonts w:hint="eastAsia"/>
          <w:lang w:val="en-US" w:eastAsia="zh-CN"/>
        </w:rPr>
        <w:t>积极推动现有产业转型升级，发展绿色加工产业</w:t>
      </w:r>
      <w:bookmarkEnd w:id="343"/>
    </w:p>
    <w:p>
      <w:pPr>
        <w:rPr>
          <w:rFonts w:hint="default"/>
          <w:lang w:val="en-US" w:eastAsia="zh-CN"/>
        </w:rPr>
      </w:pPr>
      <w:r>
        <w:rPr>
          <w:rFonts w:hint="eastAsia"/>
          <w:b/>
          <w:bCs/>
          <w:lang w:val="en-US" w:eastAsia="zh-CN"/>
        </w:rPr>
        <w:t>一是积极</w:t>
      </w:r>
      <w:r>
        <w:rPr>
          <w:rFonts w:hint="default"/>
          <w:b/>
          <w:bCs/>
          <w:lang w:val="en-US" w:eastAsia="zh-CN"/>
        </w:rPr>
        <w:t>发展秸秆回收利用循环经济</w:t>
      </w:r>
      <w:r>
        <w:rPr>
          <w:rFonts w:hint="eastAsia"/>
          <w:b/>
          <w:bCs/>
          <w:lang w:val="en-US" w:eastAsia="zh-CN"/>
        </w:rPr>
        <w:t>。</w:t>
      </w:r>
      <w:r>
        <w:rPr>
          <w:rFonts w:hint="eastAsia"/>
          <w:lang w:val="en-US" w:eastAsia="zh-CN"/>
        </w:rPr>
        <w:t>引入</w:t>
      </w:r>
      <w:r>
        <w:rPr>
          <w:rFonts w:hint="default"/>
          <w:lang w:val="en-US" w:eastAsia="zh-CN"/>
        </w:rPr>
        <w:t>秸秆生态化发酵再利用项目</w:t>
      </w:r>
      <w:r>
        <w:rPr>
          <w:rFonts w:hint="eastAsia"/>
          <w:lang w:val="en-US" w:eastAsia="zh-CN"/>
        </w:rPr>
        <w:t>，</w:t>
      </w:r>
      <w:r>
        <w:rPr>
          <w:rFonts w:hint="default"/>
          <w:lang w:val="en-US" w:eastAsia="zh-CN"/>
        </w:rPr>
        <w:t>利用热</w:t>
      </w:r>
      <w:r>
        <w:rPr>
          <w:rFonts w:hint="eastAsia"/>
          <w:lang w:val="en-US" w:eastAsia="zh-CN"/>
        </w:rPr>
        <w:t>区</w:t>
      </w:r>
      <w:r>
        <w:rPr>
          <w:rFonts w:hint="default"/>
          <w:lang w:val="en-US" w:eastAsia="zh-CN"/>
        </w:rPr>
        <w:t>高温资源发展秸秆生物发酵循环农业，生产饲料产品，实现秸秆等农作物的生态化循环再利用，推动绿色生态型农业发展。</w:t>
      </w:r>
    </w:p>
    <w:p>
      <w:pPr>
        <w:rPr>
          <w:rFonts w:hint="default"/>
          <w:lang w:val="en-US" w:eastAsia="zh-CN"/>
        </w:rPr>
      </w:pPr>
      <w:r>
        <w:rPr>
          <w:rFonts w:hint="eastAsia"/>
          <w:b/>
          <w:bCs/>
          <w:lang w:val="en-US" w:eastAsia="zh-CN"/>
        </w:rPr>
        <w:t>二是支持</w:t>
      </w:r>
      <w:r>
        <w:rPr>
          <w:rFonts w:hint="default"/>
          <w:b/>
          <w:bCs/>
          <w:lang w:val="en-US" w:eastAsia="zh-CN"/>
        </w:rPr>
        <w:t>塑料泡沫</w:t>
      </w:r>
      <w:r>
        <w:rPr>
          <w:rFonts w:hint="eastAsia"/>
          <w:b/>
          <w:bCs/>
          <w:lang w:val="en-US" w:eastAsia="zh-CN"/>
        </w:rPr>
        <w:t>制品</w:t>
      </w:r>
      <w:r>
        <w:rPr>
          <w:rFonts w:hint="default"/>
          <w:b/>
          <w:bCs/>
          <w:lang w:val="en-US" w:eastAsia="zh-CN"/>
        </w:rPr>
        <w:t>厂技改升级</w:t>
      </w:r>
      <w:r>
        <w:rPr>
          <w:rFonts w:hint="eastAsia"/>
          <w:b/>
          <w:bCs/>
          <w:lang w:val="en-US" w:eastAsia="zh-CN"/>
        </w:rPr>
        <w:t>。</w:t>
      </w:r>
      <w:r>
        <w:rPr>
          <w:rFonts w:hint="eastAsia"/>
          <w:lang w:val="en-US" w:eastAsia="zh-CN"/>
        </w:rPr>
        <w:t>做好企业生产环境影响评价和节能减排措施，支持开展锅炉改造、新上先进生产线、强化污染治理等工作，积极推动产业优化升级。</w:t>
      </w:r>
    </w:p>
    <w:p>
      <w:pPr>
        <w:pStyle w:val="3"/>
        <w:bidi w:val="0"/>
        <w:rPr>
          <w:rFonts w:hint="default"/>
          <w:lang w:val="en-US" w:eastAsia="zh-CN"/>
        </w:rPr>
      </w:pPr>
      <w:bookmarkStart w:id="344" w:name="_Toc20501"/>
      <w:bookmarkStart w:id="345" w:name="_Toc8956"/>
      <w:bookmarkStart w:id="346" w:name="_Toc10938"/>
      <w:r>
        <w:rPr>
          <w:rFonts w:hint="eastAsia"/>
          <w:lang w:val="en-US" w:eastAsia="zh-CN"/>
        </w:rPr>
        <w:t>第四节  发展目标</w:t>
      </w:r>
      <w:bookmarkEnd w:id="344"/>
      <w:bookmarkEnd w:id="345"/>
      <w:bookmarkEnd w:id="346"/>
    </w:p>
    <w:p>
      <w:pPr>
        <w:pStyle w:val="4"/>
        <w:bidi w:val="0"/>
        <w:rPr>
          <w:rFonts w:hint="eastAsia"/>
          <w:lang w:val="en-US" w:eastAsia="zh-CN"/>
        </w:rPr>
      </w:pPr>
      <w:bookmarkStart w:id="347" w:name="_Toc407"/>
      <w:bookmarkStart w:id="348" w:name="_Toc2541"/>
      <w:bookmarkStart w:id="349" w:name="_Toc21792"/>
      <w:r>
        <w:rPr>
          <w:rFonts w:hint="eastAsia"/>
          <w:lang w:val="en-US" w:eastAsia="zh-CN"/>
        </w:rPr>
        <w:t>一、细分领域</w:t>
      </w:r>
      <w:bookmarkEnd w:id="347"/>
      <w:bookmarkEnd w:id="348"/>
      <w:bookmarkEnd w:id="349"/>
    </w:p>
    <w:p>
      <w:pPr>
        <w:rPr>
          <w:rFonts w:hint="default"/>
          <w:lang w:val="en-US" w:eastAsia="zh-CN"/>
        </w:rPr>
      </w:pPr>
      <w:r>
        <w:rPr>
          <w:rFonts w:hint="eastAsia" w:ascii="仿宋_GB2312" w:eastAsia="仿宋_GB2312"/>
          <w:lang w:val="en-US" w:eastAsia="zh-CN"/>
        </w:rPr>
        <w:t>崖州区第</w:t>
      </w:r>
      <w:r>
        <w:rPr>
          <w:rFonts w:hint="eastAsia"/>
          <w:lang w:val="en-US" w:eastAsia="zh-CN"/>
        </w:rPr>
        <w:t>二</w:t>
      </w:r>
      <w:r>
        <w:rPr>
          <w:rFonts w:hint="eastAsia" w:ascii="仿宋_GB2312" w:eastAsia="仿宋_GB2312"/>
          <w:lang w:val="en-US" w:eastAsia="zh-CN"/>
        </w:rPr>
        <w:t>产业重点发展</w:t>
      </w:r>
      <w:r>
        <w:rPr>
          <w:rFonts w:hint="eastAsia"/>
          <w:b/>
          <w:bCs/>
          <w:lang w:val="en-US" w:eastAsia="zh-CN"/>
        </w:rPr>
        <w:t>农产品加工</w:t>
      </w:r>
      <w:r>
        <w:rPr>
          <w:rFonts w:hint="eastAsia" w:ascii="仿宋_GB2312" w:eastAsia="仿宋_GB2312"/>
          <w:lang w:val="en-US" w:eastAsia="zh-CN"/>
        </w:rPr>
        <w:t>和</w:t>
      </w:r>
      <w:r>
        <w:rPr>
          <w:rFonts w:hint="eastAsia"/>
          <w:b/>
          <w:bCs/>
          <w:lang w:val="en-US" w:eastAsia="zh-CN"/>
        </w:rPr>
        <w:t>水产品加工</w:t>
      </w:r>
      <w:r>
        <w:rPr>
          <w:rFonts w:hint="eastAsia"/>
          <w:lang w:val="en-US" w:eastAsia="zh-CN"/>
        </w:rPr>
        <w:t>，积极培育发展</w:t>
      </w:r>
      <w:r>
        <w:rPr>
          <w:rFonts w:hint="eastAsia"/>
          <w:b/>
          <w:bCs/>
          <w:lang w:val="en-US" w:eastAsia="zh-CN"/>
        </w:rPr>
        <w:t>绿色高端制造业</w:t>
      </w:r>
      <w:r>
        <w:rPr>
          <w:rFonts w:hint="eastAsia"/>
          <w:lang w:val="en-US" w:eastAsia="zh-CN"/>
        </w:rPr>
        <w:t>，有序发展建筑业。</w:t>
      </w:r>
    </w:p>
    <w:p>
      <w:pPr>
        <w:bidi w:val="0"/>
        <w:spacing w:line="240" w:lineRule="auto"/>
        <w:ind w:firstLine="0" w:firstLineChars="0"/>
        <w:jc w:val="center"/>
        <w:rPr>
          <w:rFonts w:hint="default" w:ascii="楷体" w:hAnsi="楷体" w:eastAsia="楷体" w:cs="楷体"/>
          <w:b w:val="0"/>
          <w:bCs w:val="0"/>
          <w:sz w:val="28"/>
          <w:szCs w:val="28"/>
          <w:lang w:val="en-US" w:eastAsia="zh-CN"/>
        </w:rPr>
      </w:pPr>
      <w:r>
        <w:rPr>
          <w:rFonts w:hint="eastAsia" w:ascii="楷体" w:hAnsi="楷体" w:eastAsia="楷体" w:cs="楷体"/>
          <w:b w:val="0"/>
          <w:bCs w:val="0"/>
          <w:sz w:val="28"/>
          <w:szCs w:val="28"/>
          <w:lang w:val="en-US" w:eastAsia="zh-CN"/>
        </w:rPr>
        <w:t>表21  第二产业发展方向和细分领域</w:t>
      </w:r>
    </w:p>
    <w:tbl>
      <w:tblPr>
        <w:tblStyle w:val="18"/>
        <w:tblW w:w="5000" w:type="pct"/>
        <w:jc w:val="center"/>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33"/>
        <w:gridCol w:w="1234"/>
        <w:gridCol w:w="6055"/>
      </w:tblGrid>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blHeader/>
          <w:jc w:val="center"/>
        </w:trPr>
        <w:tc>
          <w:tcPr>
            <w:tcW w:w="1233"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产业方向</w:t>
            </w:r>
          </w:p>
        </w:tc>
        <w:tc>
          <w:tcPr>
            <w:tcW w:w="123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细分领域</w:t>
            </w:r>
          </w:p>
        </w:tc>
        <w:tc>
          <w:tcPr>
            <w:tcW w:w="6055"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发展重点</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33" w:type="dxa"/>
            <w:vMerge w:val="restart"/>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1.农产品加工</w:t>
            </w:r>
          </w:p>
        </w:tc>
        <w:tc>
          <w:tcPr>
            <w:tcW w:w="123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（1）果蔬保鲜提质处理</w:t>
            </w:r>
          </w:p>
        </w:tc>
        <w:tc>
          <w:tcPr>
            <w:tcW w:w="6055" w:type="dxa"/>
            <w:vAlign w:val="top"/>
          </w:tcPr>
          <w:p>
            <w:pPr>
              <w:keepNext w:val="0"/>
              <w:keepLines w:val="0"/>
              <w:pageBreakBefore w:val="0"/>
              <w:widowControl/>
              <w:numPr>
                <w:ilvl w:val="0"/>
                <w:numId w:val="26"/>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发展</w:t>
            </w:r>
            <w:r>
              <w:rPr>
                <w:rFonts w:hint="default" w:ascii="楷体" w:hAnsi="楷体" w:eastAsia="楷体" w:cs="楷体"/>
                <w:b w:val="0"/>
                <w:bCs w:val="0"/>
                <w:i w:val="0"/>
                <w:iCs w:val="0"/>
                <w:color w:val="000000"/>
                <w:kern w:val="2"/>
                <w:sz w:val="24"/>
                <w:szCs w:val="24"/>
                <w:u w:val="none"/>
                <w:lang w:val="en-US" w:eastAsia="zh-CN" w:bidi="ar"/>
              </w:rPr>
              <w:t>芒果标准化采后处理</w:t>
            </w:r>
            <w:r>
              <w:rPr>
                <w:rFonts w:hint="eastAsia" w:ascii="楷体" w:hAnsi="楷体" w:eastAsia="楷体" w:cs="楷体"/>
                <w:b w:val="0"/>
                <w:bCs w:val="0"/>
                <w:i w:val="0"/>
                <w:iCs w:val="0"/>
                <w:color w:val="000000"/>
                <w:kern w:val="2"/>
                <w:sz w:val="24"/>
                <w:szCs w:val="24"/>
                <w:u w:val="none"/>
                <w:lang w:val="en-US" w:eastAsia="zh-CN" w:bidi="ar"/>
              </w:rPr>
              <w:t>产业</w:t>
            </w:r>
          </w:p>
          <w:p>
            <w:pPr>
              <w:keepNext w:val="0"/>
              <w:keepLines w:val="0"/>
              <w:pageBreakBefore w:val="0"/>
              <w:widowControl/>
              <w:numPr>
                <w:ilvl w:val="0"/>
                <w:numId w:val="26"/>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发展</w:t>
            </w:r>
            <w:r>
              <w:rPr>
                <w:rFonts w:hint="default" w:ascii="楷体" w:hAnsi="楷体" w:eastAsia="楷体" w:cs="楷体"/>
                <w:b w:val="0"/>
                <w:bCs w:val="0"/>
                <w:i w:val="0"/>
                <w:iCs w:val="0"/>
                <w:color w:val="000000"/>
                <w:kern w:val="2"/>
                <w:sz w:val="24"/>
                <w:szCs w:val="24"/>
                <w:u w:val="none"/>
                <w:lang w:val="en-US" w:eastAsia="zh-CN" w:bidi="ar"/>
              </w:rPr>
              <w:t>现代化果蔬贮藏包装</w:t>
            </w:r>
            <w:r>
              <w:rPr>
                <w:rFonts w:hint="eastAsia" w:ascii="楷体" w:hAnsi="楷体" w:eastAsia="楷体" w:cs="楷体"/>
                <w:b w:val="0"/>
                <w:bCs w:val="0"/>
                <w:i w:val="0"/>
                <w:iCs w:val="0"/>
                <w:color w:val="000000"/>
                <w:kern w:val="2"/>
                <w:sz w:val="24"/>
                <w:szCs w:val="24"/>
                <w:u w:val="none"/>
                <w:lang w:val="en-US" w:eastAsia="zh-CN" w:bidi="ar"/>
              </w:rPr>
              <w:t>产业</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PrEx>
        <w:trPr>
          <w:trHeight w:val="23" w:hRule="atLeast"/>
          <w:jc w:val="center"/>
        </w:trPr>
        <w:tc>
          <w:tcPr>
            <w:tcW w:w="1233" w:type="dxa"/>
            <w:vMerge w:val="continue"/>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23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（2）水果加工</w:t>
            </w:r>
          </w:p>
        </w:tc>
        <w:tc>
          <w:tcPr>
            <w:tcW w:w="6055" w:type="dxa"/>
            <w:vAlign w:val="top"/>
          </w:tcPr>
          <w:p>
            <w:pPr>
              <w:keepNext w:val="0"/>
              <w:keepLines w:val="0"/>
              <w:pageBreakBefore w:val="0"/>
              <w:widowControl/>
              <w:numPr>
                <w:ilvl w:val="0"/>
                <w:numId w:val="27"/>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发展冻干芒果、香蕉、蜜瓜、菠萝蜜等</w:t>
            </w:r>
            <w:r>
              <w:rPr>
                <w:rFonts w:hint="default" w:ascii="楷体" w:hAnsi="楷体" w:eastAsia="楷体" w:cs="楷体"/>
                <w:b w:val="0"/>
                <w:bCs w:val="0"/>
                <w:i w:val="0"/>
                <w:iCs w:val="0"/>
                <w:color w:val="000000"/>
                <w:kern w:val="2"/>
                <w:sz w:val="24"/>
                <w:szCs w:val="24"/>
                <w:u w:val="none"/>
                <w:lang w:val="en-US" w:eastAsia="zh-CN" w:bidi="ar"/>
              </w:rPr>
              <w:t>冻干</w:t>
            </w:r>
            <w:r>
              <w:rPr>
                <w:rFonts w:hint="eastAsia" w:ascii="楷体" w:hAnsi="楷体" w:eastAsia="楷体" w:cs="楷体"/>
                <w:b w:val="0"/>
                <w:bCs w:val="0"/>
                <w:i w:val="0"/>
                <w:iCs w:val="0"/>
                <w:color w:val="000000"/>
                <w:kern w:val="2"/>
                <w:sz w:val="24"/>
                <w:szCs w:val="24"/>
                <w:u w:val="none"/>
                <w:lang w:val="en-US" w:eastAsia="zh-CN" w:bidi="ar"/>
              </w:rPr>
              <w:t>水果加工</w:t>
            </w:r>
          </w:p>
          <w:p>
            <w:pPr>
              <w:keepNext w:val="0"/>
              <w:keepLines w:val="0"/>
              <w:pageBreakBefore w:val="0"/>
              <w:widowControl/>
              <w:numPr>
                <w:ilvl w:val="0"/>
                <w:numId w:val="27"/>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default" w:ascii="楷体" w:hAnsi="楷体" w:eastAsia="楷体" w:cs="楷体"/>
                <w:b w:val="0"/>
                <w:bCs w:val="0"/>
                <w:i w:val="0"/>
                <w:iCs w:val="0"/>
                <w:color w:val="000000"/>
                <w:kern w:val="2"/>
                <w:sz w:val="24"/>
                <w:szCs w:val="24"/>
                <w:u w:val="none"/>
                <w:lang w:val="en-US" w:eastAsia="zh-CN" w:bidi="ar"/>
              </w:rPr>
              <w:t>发展芒果原浆、浓缩汁</w:t>
            </w:r>
            <w:r>
              <w:rPr>
                <w:rFonts w:hint="eastAsia" w:ascii="楷体" w:hAnsi="楷体" w:eastAsia="楷体" w:cs="楷体"/>
                <w:b w:val="0"/>
                <w:bCs w:val="0"/>
                <w:i w:val="0"/>
                <w:iCs w:val="0"/>
                <w:color w:val="000000"/>
                <w:kern w:val="2"/>
                <w:sz w:val="24"/>
                <w:szCs w:val="24"/>
                <w:u w:val="none"/>
                <w:lang w:val="en-US" w:eastAsia="zh-CN" w:bidi="ar"/>
              </w:rPr>
              <w:t>、</w:t>
            </w:r>
            <w:r>
              <w:rPr>
                <w:rFonts w:hint="default" w:ascii="楷体" w:hAnsi="楷体" w:eastAsia="楷体" w:cs="楷体"/>
                <w:b w:val="0"/>
                <w:bCs w:val="0"/>
                <w:i w:val="0"/>
                <w:iCs w:val="0"/>
                <w:color w:val="000000"/>
                <w:kern w:val="2"/>
                <w:sz w:val="24"/>
                <w:szCs w:val="24"/>
                <w:u w:val="none"/>
                <w:lang w:val="en-US" w:eastAsia="zh-CN" w:bidi="ar"/>
              </w:rPr>
              <w:t>果汁饮料</w:t>
            </w:r>
            <w:r>
              <w:rPr>
                <w:rFonts w:hint="eastAsia" w:ascii="楷体" w:hAnsi="楷体" w:eastAsia="楷体" w:cs="楷体"/>
                <w:b w:val="0"/>
                <w:bCs w:val="0"/>
                <w:i w:val="0"/>
                <w:iCs w:val="0"/>
                <w:color w:val="000000"/>
                <w:kern w:val="2"/>
                <w:sz w:val="24"/>
                <w:szCs w:val="24"/>
                <w:u w:val="none"/>
                <w:lang w:val="en-US" w:eastAsia="zh-CN" w:bidi="ar"/>
              </w:rPr>
              <w:t>、芒果酒</w:t>
            </w:r>
            <w:r>
              <w:rPr>
                <w:rFonts w:hint="default" w:ascii="楷体" w:hAnsi="楷体" w:eastAsia="楷体" w:cs="楷体"/>
                <w:b w:val="0"/>
                <w:bCs w:val="0"/>
                <w:i w:val="0"/>
                <w:iCs w:val="0"/>
                <w:color w:val="000000"/>
                <w:kern w:val="2"/>
                <w:sz w:val="24"/>
                <w:szCs w:val="24"/>
                <w:u w:val="none"/>
                <w:lang w:val="en-US" w:eastAsia="zh-CN" w:bidi="ar"/>
              </w:rPr>
              <w:t>加工</w:t>
            </w:r>
          </w:p>
          <w:p>
            <w:pPr>
              <w:keepNext w:val="0"/>
              <w:keepLines w:val="0"/>
              <w:pageBreakBefore w:val="0"/>
              <w:widowControl/>
              <w:numPr>
                <w:ilvl w:val="0"/>
                <w:numId w:val="27"/>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default" w:ascii="楷体" w:hAnsi="楷体" w:eastAsia="楷体" w:cs="楷体"/>
                <w:b w:val="0"/>
                <w:bCs w:val="0"/>
                <w:i w:val="0"/>
                <w:iCs w:val="0"/>
                <w:color w:val="000000"/>
                <w:kern w:val="2"/>
                <w:sz w:val="24"/>
                <w:szCs w:val="24"/>
                <w:u w:val="none"/>
                <w:lang w:val="en-US" w:eastAsia="zh-CN" w:bidi="ar"/>
              </w:rPr>
              <w:t>发展芒果</w:t>
            </w:r>
            <w:r>
              <w:rPr>
                <w:rFonts w:hint="eastAsia" w:ascii="楷体" w:hAnsi="楷体" w:eastAsia="楷体" w:cs="楷体"/>
                <w:b w:val="0"/>
                <w:bCs w:val="0"/>
                <w:i w:val="0"/>
                <w:iCs w:val="0"/>
                <w:color w:val="000000"/>
                <w:kern w:val="2"/>
                <w:sz w:val="24"/>
                <w:szCs w:val="24"/>
                <w:u w:val="none"/>
                <w:lang w:val="en-US" w:eastAsia="zh-CN" w:bidi="ar"/>
              </w:rPr>
              <w:t>、蜜瓜等</w:t>
            </w:r>
            <w:r>
              <w:rPr>
                <w:rFonts w:hint="default" w:ascii="楷体" w:hAnsi="楷体" w:eastAsia="楷体" w:cs="楷体"/>
                <w:b w:val="0"/>
                <w:bCs w:val="0"/>
                <w:i w:val="0"/>
                <w:iCs w:val="0"/>
                <w:color w:val="000000"/>
                <w:kern w:val="2"/>
                <w:sz w:val="24"/>
                <w:szCs w:val="24"/>
                <w:u w:val="none"/>
                <w:lang w:val="en-US" w:eastAsia="zh-CN" w:bidi="ar"/>
              </w:rPr>
              <w:t>果粉加工</w:t>
            </w:r>
          </w:p>
          <w:p>
            <w:pPr>
              <w:keepNext w:val="0"/>
              <w:keepLines w:val="0"/>
              <w:pageBreakBefore w:val="0"/>
              <w:widowControl/>
              <w:numPr>
                <w:ilvl w:val="0"/>
                <w:numId w:val="27"/>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default" w:ascii="楷体" w:hAnsi="楷体" w:eastAsia="楷体" w:cs="楷体"/>
                <w:b w:val="0"/>
                <w:bCs w:val="0"/>
                <w:i w:val="0"/>
                <w:iCs w:val="0"/>
                <w:color w:val="000000"/>
                <w:kern w:val="2"/>
                <w:sz w:val="24"/>
                <w:szCs w:val="24"/>
                <w:u w:val="none"/>
                <w:lang w:val="en-US" w:eastAsia="zh-CN" w:bidi="ar"/>
              </w:rPr>
              <w:t>发展芒果</w:t>
            </w:r>
            <w:r>
              <w:rPr>
                <w:rFonts w:hint="eastAsia" w:ascii="楷体" w:hAnsi="楷体" w:eastAsia="楷体" w:cs="楷体"/>
                <w:b w:val="0"/>
                <w:bCs w:val="0"/>
                <w:i w:val="0"/>
                <w:iCs w:val="0"/>
                <w:color w:val="000000"/>
                <w:kern w:val="2"/>
                <w:sz w:val="24"/>
                <w:szCs w:val="24"/>
                <w:u w:val="none"/>
                <w:lang w:val="en-US" w:eastAsia="zh-CN" w:bidi="ar"/>
              </w:rPr>
              <w:t>、菠萝蜜等热带水果</w:t>
            </w:r>
            <w:r>
              <w:rPr>
                <w:rFonts w:hint="default" w:ascii="楷体" w:hAnsi="楷体" w:eastAsia="楷体" w:cs="楷体"/>
                <w:b w:val="0"/>
                <w:bCs w:val="0"/>
                <w:i w:val="0"/>
                <w:iCs w:val="0"/>
                <w:color w:val="000000"/>
                <w:kern w:val="2"/>
                <w:sz w:val="24"/>
                <w:szCs w:val="24"/>
                <w:u w:val="none"/>
                <w:lang w:val="en-US" w:eastAsia="zh-CN" w:bidi="ar"/>
              </w:rPr>
              <w:t>果脯加工</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33" w:type="dxa"/>
            <w:vMerge w:val="continue"/>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23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（3）蔬菜加工</w:t>
            </w:r>
          </w:p>
        </w:tc>
        <w:tc>
          <w:tcPr>
            <w:tcW w:w="6055" w:type="dxa"/>
            <w:vAlign w:val="top"/>
          </w:tcPr>
          <w:p>
            <w:pPr>
              <w:keepNext w:val="0"/>
              <w:keepLines w:val="0"/>
              <w:pageBreakBefore w:val="0"/>
              <w:widowControl/>
              <w:numPr>
                <w:ilvl w:val="0"/>
                <w:numId w:val="28"/>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发展豇豆汁加工，生产饮料和综合果蔬汁</w:t>
            </w:r>
          </w:p>
          <w:p>
            <w:pPr>
              <w:keepNext w:val="0"/>
              <w:keepLines w:val="0"/>
              <w:pageBreakBefore w:val="0"/>
              <w:widowControl/>
              <w:numPr>
                <w:ilvl w:val="0"/>
                <w:numId w:val="28"/>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发展冻干豇豆、秋葵等冻干蔬菜加工</w:t>
            </w:r>
          </w:p>
          <w:p>
            <w:pPr>
              <w:keepNext w:val="0"/>
              <w:keepLines w:val="0"/>
              <w:pageBreakBefore w:val="0"/>
              <w:widowControl/>
              <w:numPr>
                <w:ilvl w:val="0"/>
                <w:numId w:val="28"/>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发展豇豆超微粉加工</w:t>
            </w:r>
          </w:p>
          <w:p>
            <w:pPr>
              <w:keepNext w:val="0"/>
              <w:keepLines w:val="0"/>
              <w:pageBreakBefore w:val="0"/>
              <w:widowControl/>
              <w:numPr>
                <w:ilvl w:val="0"/>
                <w:numId w:val="28"/>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利用气候优势发展豇豆腌制加工和豇豆晒制加工</w:t>
            </w:r>
          </w:p>
          <w:p>
            <w:pPr>
              <w:keepNext w:val="0"/>
              <w:keepLines w:val="0"/>
              <w:pageBreakBefore w:val="0"/>
              <w:widowControl/>
              <w:numPr>
                <w:ilvl w:val="0"/>
                <w:numId w:val="28"/>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发展净菜保鲜加工、速冻加工</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33" w:type="dxa"/>
            <w:vMerge w:val="restart"/>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2.水产品加工</w:t>
            </w:r>
          </w:p>
        </w:tc>
        <w:tc>
          <w:tcPr>
            <w:tcW w:w="123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（1）水产品加工</w:t>
            </w:r>
          </w:p>
        </w:tc>
        <w:tc>
          <w:tcPr>
            <w:tcW w:w="6055" w:type="dxa"/>
            <w:vAlign w:val="top"/>
          </w:tcPr>
          <w:p>
            <w:pPr>
              <w:keepNext w:val="0"/>
              <w:keepLines w:val="0"/>
              <w:pageBreakBefore w:val="0"/>
              <w:widowControl/>
              <w:numPr>
                <w:ilvl w:val="0"/>
                <w:numId w:val="29"/>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发展水产品清洗、分解、冷冻等初级加工</w:t>
            </w:r>
          </w:p>
          <w:p>
            <w:pPr>
              <w:keepNext w:val="0"/>
              <w:keepLines w:val="0"/>
              <w:pageBreakBefore w:val="0"/>
              <w:widowControl/>
              <w:numPr>
                <w:ilvl w:val="0"/>
                <w:numId w:val="29"/>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发展水产品罐头、烘烤、休闲食品、半成品食材、即食食品等精深加工</w:t>
            </w:r>
          </w:p>
          <w:p>
            <w:pPr>
              <w:keepNext w:val="0"/>
              <w:keepLines w:val="0"/>
              <w:pageBreakBefore w:val="0"/>
              <w:widowControl/>
              <w:numPr>
                <w:ilvl w:val="0"/>
                <w:numId w:val="29"/>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发展一二线品牌参鲍翅窝等高端海珍品加工</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33" w:type="dxa"/>
            <w:vMerge w:val="continue"/>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23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（2）功能性产品</w:t>
            </w:r>
          </w:p>
        </w:tc>
        <w:tc>
          <w:tcPr>
            <w:tcW w:w="6055" w:type="dxa"/>
            <w:vAlign w:val="top"/>
          </w:tcPr>
          <w:p>
            <w:pPr>
              <w:keepNext w:val="0"/>
              <w:keepLines w:val="0"/>
              <w:pageBreakBefore w:val="0"/>
              <w:widowControl/>
              <w:numPr>
                <w:ilvl w:val="0"/>
                <w:numId w:val="30"/>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发展海洋功能性食品</w:t>
            </w:r>
          </w:p>
          <w:p>
            <w:pPr>
              <w:keepNext w:val="0"/>
              <w:keepLines w:val="0"/>
              <w:pageBreakBefore w:val="0"/>
              <w:widowControl/>
              <w:numPr>
                <w:ilvl w:val="0"/>
                <w:numId w:val="30"/>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发展海洋保健品</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33" w:type="dxa"/>
            <w:vMerge w:val="continue"/>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23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（3）宠物饲料</w:t>
            </w:r>
          </w:p>
        </w:tc>
        <w:tc>
          <w:tcPr>
            <w:tcW w:w="6055" w:type="dxa"/>
            <w:vAlign w:val="top"/>
          </w:tcPr>
          <w:p>
            <w:pPr>
              <w:keepNext w:val="0"/>
              <w:keepLines w:val="0"/>
              <w:pageBreakBefore w:val="0"/>
              <w:widowControl/>
              <w:numPr>
                <w:ilvl w:val="0"/>
                <w:numId w:val="31"/>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发展含鱼粉类饲料配料、宠物饲料</w:t>
            </w:r>
          </w:p>
          <w:p>
            <w:pPr>
              <w:keepNext w:val="0"/>
              <w:keepLines w:val="0"/>
              <w:pageBreakBefore w:val="0"/>
              <w:widowControl/>
              <w:numPr>
                <w:ilvl w:val="0"/>
                <w:numId w:val="31"/>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发展宠物罐头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33" w:type="dxa"/>
            <w:vMerge w:val="restart"/>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3.绿色高端制造业</w:t>
            </w:r>
          </w:p>
        </w:tc>
        <w:tc>
          <w:tcPr>
            <w:tcW w:w="123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（1）电子产品制造</w:t>
            </w:r>
          </w:p>
        </w:tc>
        <w:tc>
          <w:tcPr>
            <w:tcW w:w="6055" w:type="dxa"/>
            <w:vAlign w:val="top"/>
          </w:tcPr>
          <w:p>
            <w:pPr>
              <w:keepNext w:val="0"/>
              <w:keepLines w:val="0"/>
              <w:pageBreakBefore w:val="0"/>
              <w:widowControl/>
              <w:numPr>
                <w:ilvl w:val="0"/>
                <w:numId w:val="32"/>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承接崖州湾科技城产业溢出，发展海洋传感器、设施农业传感器、电子消费品制造</w:t>
            </w:r>
          </w:p>
          <w:p>
            <w:pPr>
              <w:keepNext w:val="0"/>
              <w:keepLines w:val="0"/>
              <w:pageBreakBefore w:val="0"/>
              <w:widowControl/>
              <w:numPr>
                <w:ilvl w:val="0"/>
                <w:numId w:val="32"/>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发展“两头在外”电子产品制造，如半导体芯片、物联网传感器、5G设备、穿戴设备、电子消费品、汽车电子、卫星定位传感器、显示器材、VR设备等</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33" w:type="dxa"/>
            <w:vMerge w:val="continue"/>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23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（2）高温高盐高辐射产业</w:t>
            </w:r>
          </w:p>
        </w:tc>
        <w:tc>
          <w:tcPr>
            <w:tcW w:w="6055" w:type="dxa"/>
            <w:vAlign w:val="top"/>
          </w:tcPr>
          <w:p>
            <w:pPr>
              <w:keepNext w:val="0"/>
              <w:keepLines w:val="0"/>
              <w:pageBreakBefore w:val="0"/>
              <w:widowControl/>
              <w:numPr>
                <w:ilvl w:val="0"/>
                <w:numId w:val="33"/>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发展酿酒、酵母、发酵调味品行业</w:t>
            </w:r>
          </w:p>
          <w:p>
            <w:pPr>
              <w:keepNext w:val="0"/>
              <w:keepLines w:val="0"/>
              <w:pageBreakBefore w:val="0"/>
              <w:widowControl/>
              <w:numPr>
                <w:ilvl w:val="0"/>
                <w:numId w:val="33"/>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发展汽车、高铁、电子设备、海工器材的测试、认证、研发等行业</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33" w:type="dxa"/>
            <w:vMerge w:val="continue"/>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23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（3）中高端消费品制造</w:t>
            </w:r>
          </w:p>
        </w:tc>
        <w:tc>
          <w:tcPr>
            <w:tcW w:w="6055" w:type="dxa"/>
            <w:vAlign w:val="top"/>
          </w:tcPr>
          <w:p>
            <w:pPr>
              <w:keepNext w:val="0"/>
              <w:keepLines w:val="0"/>
              <w:pageBreakBefore w:val="0"/>
              <w:widowControl/>
              <w:numPr>
                <w:ilvl w:val="0"/>
                <w:numId w:val="34"/>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发展体育运动装备、工艺品</w:t>
            </w:r>
          </w:p>
          <w:p>
            <w:pPr>
              <w:keepNext w:val="0"/>
              <w:keepLines w:val="0"/>
              <w:pageBreakBefore w:val="0"/>
              <w:widowControl/>
              <w:numPr>
                <w:ilvl w:val="0"/>
                <w:numId w:val="34"/>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发展中高端日用品、化妆品、酒店用品</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33" w:type="dxa"/>
            <w:vMerge w:val="continue"/>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23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（4）临港加工业</w:t>
            </w:r>
          </w:p>
        </w:tc>
        <w:tc>
          <w:tcPr>
            <w:tcW w:w="6055" w:type="dxa"/>
            <w:vAlign w:val="top"/>
          </w:tcPr>
          <w:p>
            <w:pPr>
              <w:keepNext w:val="0"/>
              <w:keepLines w:val="0"/>
              <w:pageBreakBefore w:val="0"/>
              <w:widowControl/>
              <w:numPr>
                <w:ilvl w:val="0"/>
                <w:numId w:val="35"/>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打造南山港后方加工基地，发展粮食加工、汽车船舶零部件、肉类海鲜分解加工、食品饮料、饲料等临港加工业</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33"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4.建筑业</w:t>
            </w:r>
          </w:p>
        </w:tc>
        <w:tc>
          <w:tcPr>
            <w:tcW w:w="123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6055" w:type="dxa"/>
            <w:vAlign w:val="top"/>
          </w:tcPr>
          <w:p>
            <w:pPr>
              <w:keepNext w:val="0"/>
              <w:keepLines w:val="0"/>
              <w:pageBreakBefore w:val="0"/>
              <w:widowControl/>
              <w:numPr>
                <w:ilvl w:val="0"/>
                <w:numId w:val="36"/>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有序推进建筑业健康发展</w:t>
            </w:r>
          </w:p>
        </w:tc>
      </w:tr>
    </w:tbl>
    <w:p>
      <w:pPr>
        <w:pStyle w:val="4"/>
        <w:bidi w:val="0"/>
        <w:rPr>
          <w:rFonts w:hint="default"/>
          <w:lang w:val="en-US" w:eastAsia="zh-CN"/>
        </w:rPr>
      </w:pPr>
      <w:bookmarkStart w:id="350" w:name="_Toc29040"/>
      <w:bookmarkStart w:id="351" w:name="_Toc24668"/>
      <w:bookmarkStart w:id="352" w:name="_Toc6291"/>
      <w:r>
        <w:rPr>
          <w:rFonts w:hint="eastAsia"/>
          <w:lang w:val="en-US" w:eastAsia="zh-CN"/>
        </w:rPr>
        <w:t>二、发展目标</w:t>
      </w:r>
      <w:bookmarkEnd w:id="350"/>
      <w:bookmarkEnd w:id="351"/>
      <w:bookmarkEnd w:id="352"/>
    </w:p>
    <w:p>
      <w:pPr>
        <w:rPr>
          <w:rFonts w:hint="eastAsia"/>
          <w:lang w:val="en-US" w:eastAsia="zh-CN"/>
        </w:rPr>
      </w:pPr>
      <w:r>
        <w:rPr>
          <w:rFonts w:hint="eastAsia" w:ascii="仿宋_GB2312" w:eastAsia="仿宋_GB2312"/>
          <w:lang w:val="en-US" w:eastAsia="zh-CN"/>
        </w:rPr>
        <w:t>到2025年，全区第</w:t>
      </w:r>
      <w:r>
        <w:rPr>
          <w:rFonts w:hint="eastAsia"/>
          <w:lang w:val="en-US" w:eastAsia="zh-CN"/>
        </w:rPr>
        <w:t>二</w:t>
      </w:r>
      <w:r>
        <w:rPr>
          <w:rFonts w:hint="eastAsia" w:ascii="仿宋_GB2312" w:eastAsia="仿宋_GB2312"/>
          <w:lang w:val="en-US" w:eastAsia="zh-CN"/>
        </w:rPr>
        <w:t>产业地区生产总值（GDP）达到</w:t>
      </w:r>
      <w:r>
        <w:rPr>
          <w:rFonts w:hint="eastAsia"/>
          <w:lang w:val="en-US" w:eastAsia="zh-CN"/>
        </w:rPr>
        <w:t>15</w:t>
      </w:r>
      <w:r>
        <w:rPr>
          <w:rFonts w:hint="eastAsia" w:ascii="仿宋_GB2312" w:eastAsia="仿宋_GB2312"/>
          <w:lang w:val="en-US" w:eastAsia="zh-CN"/>
        </w:rPr>
        <w:t>亿元，年均增速达到</w:t>
      </w:r>
      <w:r>
        <w:rPr>
          <w:rFonts w:hint="eastAsia"/>
          <w:lang w:val="en-US" w:eastAsia="zh-CN"/>
        </w:rPr>
        <w:t>7.2</w:t>
      </w:r>
      <w:r>
        <w:rPr>
          <w:rFonts w:hint="eastAsia" w:ascii="仿宋_GB2312" w:eastAsia="仿宋_GB2312"/>
          <w:lang w:val="en-US" w:eastAsia="zh-CN"/>
        </w:rPr>
        <w:t>%。</w:t>
      </w:r>
    </w:p>
    <w:p>
      <w:pPr>
        <w:rPr>
          <w:rFonts w:hint="eastAsia" w:ascii="仿宋_GB2312" w:eastAsia="仿宋_GB2312"/>
          <w:lang w:val="en-US" w:eastAsia="zh-CN"/>
        </w:rPr>
      </w:pPr>
      <w:r>
        <w:rPr>
          <w:rFonts w:hint="eastAsia" w:ascii="仿宋_GB2312" w:eastAsia="仿宋_GB2312"/>
          <w:lang w:val="en-US" w:eastAsia="zh-CN"/>
        </w:rPr>
        <w:t>到2035年，全区第</w:t>
      </w:r>
      <w:r>
        <w:rPr>
          <w:rFonts w:hint="eastAsia"/>
          <w:lang w:val="en-US" w:eastAsia="zh-CN"/>
        </w:rPr>
        <w:t>二</w:t>
      </w:r>
      <w:r>
        <w:rPr>
          <w:rFonts w:hint="eastAsia" w:ascii="仿宋_GB2312" w:eastAsia="仿宋_GB2312"/>
          <w:lang w:val="en-US" w:eastAsia="zh-CN"/>
        </w:rPr>
        <w:t>产业地区生产总值（GDP）达到</w:t>
      </w:r>
      <w:r>
        <w:rPr>
          <w:rFonts w:hint="eastAsia"/>
          <w:lang w:val="en-US" w:eastAsia="zh-CN"/>
        </w:rPr>
        <w:t>6</w:t>
      </w:r>
      <w:r>
        <w:rPr>
          <w:rFonts w:hint="eastAsia" w:ascii="仿宋_GB2312" w:eastAsia="仿宋_GB2312"/>
          <w:lang w:val="en-US" w:eastAsia="zh-CN"/>
        </w:rPr>
        <w:t>0亿元，2025-2035年的年均增速达到</w:t>
      </w:r>
      <w:r>
        <w:rPr>
          <w:rFonts w:hint="eastAsia"/>
          <w:lang w:val="en-US" w:eastAsia="zh-CN"/>
        </w:rPr>
        <w:t>14.9</w:t>
      </w:r>
      <w:r>
        <w:rPr>
          <w:rFonts w:hint="eastAsia" w:ascii="仿宋_GB2312" w:eastAsia="仿宋_GB2312"/>
          <w:lang w:val="en-US" w:eastAsia="zh-CN"/>
        </w:rPr>
        <w:t>%。</w:t>
      </w:r>
    </w:p>
    <w:p>
      <w:pPr>
        <w:bidi w:val="0"/>
        <w:spacing w:line="240" w:lineRule="auto"/>
        <w:ind w:firstLine="0" w:firstLineChars="0"/>
        <w:jc w:val="center"/>
        <w:rPr>
          <w:rFonts w:hint="eastAsia" w:ascii="楷体" w:hAnsi="楷体" w:eastAsia="楷体" w:cs="楷体"/>
          <w:b w:val="0"/>
          <w:bCs w:val="0"/>
          <w:sz w:val="28"/>
          <w:szCs w:val="28"/>
          <w:lang w:val="en-US" w:eastAsia="zh-CN"/>
        </w:rPr>
      </w:pPr>
      <w:r>
        <w:rPr>
          <w:rFonts w:hint="eastAsia" w:ascii="楷体" w:hAnsi="楷体" w:eastAsia="楷体" w:cs="楷体"/>
          <w:b w:val="0"/>
          <w:bCs w:val="0"/>
          <w:sz w:val="28"/>
          <w:szCs w:val="28"/>
          <w:lang w:val="en-US" w:eastAsia="zh-CN"/>
        </w:rPr>
        <w:t>表22  第二产业产值测算表</w:t>
      </w:r>
    </w:p>
    <w:tbl>
      <w:tblPr>
        <w:tblStyle w:val="18"/>
        <w:tblW w:w="5000" w:type="pct"/>
        <w:tblInd w:w="0" w:type="dxa"/>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85"/>
        <w:gridCol w:w="630"/>
        <w:gridCol w:w="1163"/>
        <w:gridCol w:w="5376"/>
        <w:gridCol w:w="968"/>
      </w:tblGrid>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tblHeader/>
        </w:trPr>
        <w:tc>
          <w:tcPr>
            <w:tcW w:w="1015" w:type="dxa"/>
            <w:gridSpan w:val="2"/>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bCs/>
                <w:i w:val="0"/>
                <w:iCs w:val="0"/>
                <w:color w:val="auto"/>
                <w:kern w:val="2"/>
                <w:sz w:val="21"/>
                <w:szCs w:val="21"/>
                <w:u w:val="none"/>
                <w:lang w:val="en-US" w:eastAsia="zh-CN" w:bidi="ar"/>
              </w:rPr>
            </w:pPr>
            <w:r>
              <w:rPr>
                <w:rFonts w:hint="eastAsia" w:ascii="楷体" w:hAnsi="楷体" w:eastAsia="楷体" w:cs="楷体"/>
                <w:b/>
                <w:bCs/>
                <w:i w:val="0"/>
                <w:color w:val="auto"/>
                <w:kern w:val="2"/>
                <w:sz w:val="21"/>
                <w:szCs w:val="21"/>
                <w:u w:val="none"/>
                <w:lang w:val="en-US" w:eastAsia="zh-CN" w:bidi="ar"/>
              </w:rPr>
              <w:t>产业</w:t>
            </w:r>
          </w:p>
        </w:tc>
        <w:tc>
          <w:tcPr>
            <w:tcW w:w="1163" w:type="dxa"/>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bCs/>
                <w:i w:val="0"/>
                <w:iCs w:val="0"/>
                <w:color w:val="auto"/>
                <w:kern w:val="2"/>
                <w:sz w:val="21"/>
                <w:szCs w:val="21"/>
                <w:u w:val="none"/>
                <w:lang w:val="en-US" w:eastAsia="zh-CN" w:bidi="ar"/>
              </w:rPr>
            </w:pPr>
            <w:r>
              <w:rPr>
                <w:rFonts w:hint="eastAsia" w:ascii="楷体" w:hAnsi="楷体" w:eastAsia="楷体" w:cs="楷体"/>
                <w:b/>
                <w:bCs/>
                <w:i w:val="0"/>
                <w:iCs w:val="0"/>
                <w:color w:val="auto"/>
                <w:kern w:val="2"/>
                <w:sz w:val="21"/>
                <w:szCs w:val="21"/>
                <w:u w:val="none"/>
                <w:lang w:val="en-US" w:eastAsia="zh-CN" w:bidi="ar"/>
              </w:rPr>
              <w:t>细分方向</w:t>
            </w:r>
          </w:p>
        </w:tc>
        <w:tc>
          <w:tcPr>
            <w:tcW w:w="5376" w:type="dxa"/>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bCs/>
                <w:i w:val="0"/>
                <w:iCs w:val="0"/>
                <w:color w:val="auto"/>
                <w:kern w:val="2"/>
                <w:sz w:val="21"/>
                <w:szCs w:val="21"/>
                <w:u w:val="none"/>
                <w:lang w:val="en-US" w:eastAsia="zh-CN" w:bidi="ar"/>
              </w:rPr>
            </w:pPr>
            <w:r>
              <w:rPr>
                <w:rFonts w:hint="eastAsia" w:ascii="楷体" w:hAnsi="楷体" w:eastAsia="楷体" w:cs="楷体"/>
                <w:b/>
                <w:bCs/>
                <w:i w:val="0"/>
                <w:iCs w:val="0"/>
                <w:color w:val="auto"/>
                <w:kern w:val="2"/>
                <w:sz w:val="21"/>
                <w:szCs w:val="21"/>
                <w:u w:val="none"/>
                <w:lang w:val="en-US" w:eastAsia="zh-CN" w:bidi="ar"/>
              </w:rPr>
              <w:t>测算说明</w:t>
            </w:r>
          </w:p>
        </w:tc>
        <w:tc>
          <w:tcPr>
            <w:tcW w:w="968" w:type="dxa"/>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bCs/>
                <w:i w:val="0"/>
                <w:iCs w:val="0"/>
                <w:color w:val="auto"/>
                <w:kern w:val="2"/>
                <w:sz w:val="21"/>
                <w:szCs w:val="21"/>
                <w:u w:val="none"/>
                <w:lang w:val="en-US" w:eastAsia="zh-CN" w:bidi="ar"/>
              </w:rPr>
            </w:pPr>
            <w:r>
              <w:rPr>
                <w:rFonts w:hint="eastAsia" w:ascii="楷体" w:hAnsi="楷体" w:eastAsia="楷体" w:cs="楷体"/>
                <w:b/>
                <w:bCs/>
                <w:i w:val="0"/>
                <w:iCs w:val="0"/>
                <w:color w:val="auto"/>
                <w:kern w:val="2"/>
                <w:sz w:val="21"/>
                <w:szCs w:val="21"/>
                <w:u w:val="none"/>
                <w:lang w:val="en-US" w:eastAsia="zh-CN" w:bidi="ar"/>
              </w:rPr>
              <w:t>结论</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1015" w:type="dxa"/>
            <w:gridSpan w:val="2"/>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黑体" w:hAnsi="黑体" w:eastAsia="黑体" w:cs="黑体"/>
                <w:b w:val="0"/>
                <w:bCs w:val="0"/>
                <w:i w:val="0"/>
                <w:color w:val="auto"/>
                <w:kern w:val="2"/>
                <w:sz w:val="18"/>
                <w:szCs w:val="18"/>
                <w:u w:val="none"/>
                <w:lang w:val="en-US" w:eastAsia="zh-CN" w:bidi="ar"/>
              </w:rPr>
            </w:pPr>
            <w:r>
              <w:rPr>
                <w:rFonts w:hint="eastAsia" w:ascii="黑体" w:hAnsi="黑体" w:eastAsia="黑体" w:cs="黑体"/>
                <w:b w:val="0"/>
                <w:bCs w:val="0"/>
                <w:i w:val="0"/>
                <w:color w:val="auto"/>
                <w:kern w:val="2"/>
                <w:sz w:val="18"/>
                <w:szCs w:val="18"/>
                <w:u w:val="none"/>
                <w:lang w:val="en-US" w:eastAsia="zh-CN" w:bidi="ar"/>
              </w:rPr>
              <w:t>最</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黑体" w:hAnsi="黑体" w:eastAsia="黑体" w:cs="黑体"/>
                <w:b w:val="0"/>
                <w:bCs w:val="0"/>
                <w:i w:val="0"/>
                <w:color w:val="auto"/>
                <w:kern w:val="2"/>
                <w:sz w:val="18"/>
                <w:szCs w:val="18"/>
                <w:u w:val="none"/>
                <w:lang w:val="en-US" w:eastAsia="zh-CN" w:bidi="ar"/>
              </w:rPr>
            </w:pPr>
            <w:r>
              <w:rPr>
                <w:rFonts w:hint="eastAsia" w:ascii="黑体" w:hAnsi="黑体" w:eastAsia="黑体" w:cs="黑体"/>
                <w:b w:val="0"/>
                <w:bCs w:val="0"/>
                <w:i w:val="0"/>
                <w:color w:val="auto"/>
                <w:kern w:val="2"/>
                <w:sz w:val="18"/>
                <w:szCs w:val="18"/>
                <w:u w:val="none"/>
                <w:lang w:val="en-US" w:eastAsia="zh-CN" w:bidi="ar"/>
              </w:rPr>
              <w:t>终</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黑体" w:hAnsi="黑体" w:eastAsia="黑体" w:cs="黑体"/>
                <w:b w:val="0"/>
                <w:bCs w:val="0"/>
                <w:i w:val="0"/>
                <w:color w:val="auto"/>
                <w:kern w:val="2"/>
                <w:sz w:val="18"/>
                <w:szCs w:val="18"/>
                <w:u w:val="none"/>
                <w:lang w:val="en-US" w:eastAsia="zh-CN" w:bidi="ar"/>
              </w:rPr>
            </w:pPr>
            <w:r>
              <w:rPr>
                <w:rFonts w:hint="eastAsia" w:ascii="黑体" w:hAnsi="黑体" w:eastAsia="黑体" w:cs="黑体"/>
                <w:b w:val="0"/>
                <w:bCs w:val="0"/>
                <w:i w:val="0"/>
                <w:color w:val="auto"/>
                <w:kern w:val="2"/>
                <w:sz w:val="18"/>
                <w:szCs w:val="18"/>
                <w:u w:val="none"/>
                <w:lang w:val="en-US" w:eastAsia="zh-CN" w:bidi="ar"/>
              </w:rPr>
              <w:t>总</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黑体" w:hAnsi="黑体" w:eastAsia="黑体" w:cs="黑体"/>
                <w:b w:val="0"/>
                <w:bCs w:val="0"/>
                <w:i w:val="0"/>
                <w:color w:val="auto"/>
                <w:kern w:val="2"/>
                <w:sz w:val="18"/>
                <w:szCs w:val="18"/>
                <w:u w:val="none"/>
                <w:lang w:val="en-US" w:eastAsia="zh-CN" w:bidi="ar"/>
              </w:rPr>
            </w:pPr>
            <w:r>
              <w:rPr>
                <w:rFonts w:hint="eastAsia" w:ascii="黑体" w:hAnsi="黑体" w:eastAsia="黑体" w:cs="黑体"/>
                <w:b w:val="0"/>
                <w:bCs w:val="0"/>
                <w:i w:val="0"/>
                <w:color w:val="auto"/>
                <w:kern w:val="2"/>
                <w:sz w:val="18"/>
                <w:szCs w:val="18"/>
                <w:u w:val="none"/>
                <w:lang w:val="en-US" w:eastAsia="zh-CN" w:bidi="ar"/>
              </w:rPr>
              <w:t>结</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黑体" w:hAnsi="黑体" w:eastAsia="黑体" w:cs="黑体"/>
                <w:b w:val="0"/>
                <w:bCs w:val="0"/>
                <w:i w:val="0"/>
                <w:color w:val="auto"/>
                <w:kern w:val="2"/>
                <w:sz w:val="18"/>
                <w:szCs w:val="18"/>
                <w:u w:val="none"/>
                <w:lang w:val="en-US" w:eastAsia="zh-CN" w:bidi="ar"/>
              </w:rPr>
            </w:pPr>
            <w:r>
              <w:rPr>
                <w:rFonts w:hint="eastAsia" w:ascii="黑体" w:hAnsi="黑体" w:eastAsia="黑体" w:cs="黑体"/>
                <w:b w:val="0"/>
                <w:bCs w:val="0"/>
                <w:i w:val="0"/>
                <w:color w:val="auto"/>
                <w:kern w:val="2"/>
                <w:sz w:val="18"/>
                <w:szCs w:val="18"/>
                <w:u w:val="none"/>
                <w:lang w:val="en-US" w:eastAsia="zh-CN" w:bidi="ar"/>
              </w:rPr>
              <w:t>论</w:t>
            </w:r>
          </w:p>
        </w:tc>
        <w:tc>
          <w:tcPr>
            <w:tcW w:w="1163" w:type="dxa"/>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2019-2020</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现状基础</w:t>
            </w:r>
          </w:p>
        </w:tc>
        <w:tc>
          <w:tcPr>
            <w:tcW w:w="5376" w:type="dxa"/>
            <w:vAlign w:val="top"/>
          </w:tcPr>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黑体" w:hAnsi="黑体" w:eastAsia="黑体" w:cs="黑体"/>
                <w:b w:val="0"/>
                <w:bCs w:val="0"/>
                <w:i w:val="0"/>
                <w:iCs w:val="0"/>
                <w:color w:val="auto"/>
                <w:kern w:val="2"/>
                <w:sz w:val="18"/>
                <w:szCs w:val="18"/>
                <w:u w:val="none"/>
                <w:lang w:val="en-US" w:eastAsia="zh-CN" w:bidi="ar"/>
              </w:rPr>
              <w:t>2</w:t>
            </w:r>
            <w:r>
              <w:rPr>
                <w:rFonts w:hint="eastAsia" w:ascii="楷体" w:hAnsi="楷体" w:eastAsia="楷体" w:cs="楷体"/>
                <w:b w:val="0"/>
                <w:bCs w:val="0"/>
                <w:i w:val="0"/>
                <w:iCs w:val="0"/>
                <w:color w:val="auto"/>
                <w:kern w:val="2"/>
                <w:sz w:val="18"/>
                <w:szCs w:val="18"/>
                <w:u w:val="none"/>
                <w:lang w:val="en-US" w:eastAsia="zh-CN" w:bidi="ar"/>
              </w:rPr>
              <w:t>019年：全区GDP为64.3亿，建区到2019年年均增速9.1%</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黑体" w:hAnsi="黑体" w:eastAsia="黑体" w:cs="黑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2020年：全区GDP为66.3亿，建区到2020年年均增速7.9%</w:t>
            </w:r>
          </w:p>
        </w:tc>
        <w:tc>
          <w:tcPr>
            <w:tcW w:w="968" w:type="dxa"/>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auto"/>
                <w:kern w:val="2"/>
                <w:sz w:val="18"/>
                <w:szCs w:val="18"/>
                <w:u w:val="none"/>
                <w:lang w:val="en-US" w:eastAsia="zh-CN" w:bidi="ar"/>
              </w:rPr>
            </w:pPr>
            <w:r>
              <w:rPr>
                <w:rFonts w:hint="eastAsia" w:ascii="楷体" w:hAnsi="楷体" w:eastAsia="楷体" w:cs="楷体"/>
                <w:b w:val="0"/>
                <w:bCs w:val="0"/>
                <w:i w:val="0"/>
                <w:color w:val="auto"/>
                <w:kern w:val="2"/>
                <w:sz w:val="18"/>
                <w:szCs w:val="18"/>
                <w:u w:val="none"/>
                <w:lang w:val="en-US" w:eastAsia="zh-CN" w:bidi="ar"/>
              </w:rPr>
              <w:t>2020年</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黑体" w:hAnsi="黑体" w:eastAsia="黑体" w:cs="黑体"/>
                <w:b w:val="0"/>
                <w:bCs w:val="0"/>
                <w:i w:val="0"/>
                <w:iCs w:val="0"/>
                <w:color w:val="auto"/>
                <w:kern w:val="2"/>
                <w:sz w:val="18"/>
                <w:szCs w:val="18"/>
                <w:u w:val="none"/>
                <w:lang w:val="en-US" w:eastAsia="zh-CN" w:bidi="ar"/>
              </w:rPr>
            </w:pPr>
            <w:r>
              <w:rPr>
                <w:rFonts w:hint="eastAsia" w:ascii="楷体" w:hAnsi="楷体" w:eastAsia="楷体" w:cs="楷体"/>
                <w:b w:val="0"/>
                <w:bCs w:val="0"/>
                <w:i w:val="0"/>
                <w:color w:val="auto"/>
                <w:kern w:val="2"/>
                <w:sz w:val="18"/>
                <w:szCs w:val="18"/>
                <w:u w:val="none"/>
                <w:lang w:val="en-US" w:eastAsia="zh-CN" w:bidi="ar"/>
              </w:rPr>
              <w:t>66.3亿</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1015" w:type="dxa"/>
            <w:gridSpan w:val="2"/>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黑体" w:hAnsi="黑体" w:eastAsia="黑体" w:cs="黑体"/>
                <w:b w:val="0"/>
                <w:bCs w:val="0"/>
                <w:i w:val="0"/>
                <w:color w:val="auto"/>
                <w:kern w:val="2"/>
                <w:sz w:val="18"/>
                <w:szCs w:val="18"/>
                <w:u w:val="none"/>
                <w:lang w:val="en-US" w:eastAsia="zh-CN" w:bidi="ar"/>
              </w:rPr>
            </w:pPr>
          </w:p>
        </w:tc>
        <w:tc>
          <w:tcPr>
            <w:tcW w:w="1163" w:type="dxa"/>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2025年</w:t>
            </w:r>
          </w:p>
        </w:tc>
        <w:tc>
          <w:tcPr>
            <w:tcW w:w="5376" w:type="dxa"/>
            <w:vAlign w:val="top"/>
          </w:tcPr>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低值：97亿，按建区以来到GDP年均增速7.9%预测</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高值：169亿，各产业门类测算合计得到的结果，年均增速20%</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黑体" w:hAnsi="黑体" w:eastAsia="黑体" w:cs="黑体"/>
                <w:b w:val="0"/>
                <w:bCs w:val="0"/>
                <w:i w:val="0"/>
                <w:iCs w:val="0"/>
                <w:color w:val="auto"/>
                <w:kern w:val="2"/>
                <w:sz w:val="18"/>
                <w:szCs w:val="18"/>
                <w:u w:val="none"/>
                <w:lang w:val="en-US" w:eastAsia="zh-CN" w:bidi="ar"/>
              </w:rPr>
            </w:pPr>
            <w:r>
              <w:rPr>
                <w:rFonts w:hint="eastAsia" w:ascii="黑体" w:hAnsi="黑体" w:eastAsia="黑体" w:cs="黑体"/>
                <w:b w:val="0"/>
                <w:bCs w:val="0"/>
                <w:i w:val="0"/>
                <w:iCs w:val="0"/>
                <w:color w:val="auto"/>
                <w:kern w:val="2"/>
                <w:sz w:val="18"/>
                <w:szCs w:val="18"/>
                <w:u w:val="none"/>
                <w:lang w:val="en-US" w:eastAsia="zh-CN" w:bidi="ar"/>
              </w:rPr>
              <w:t>结论：</w:t>
            </w:r>
            <w:r>
              <w:rPr>
                <w:rFonts w:hint="eastAsia" w:ascii="楷体" w:hAnsi="楷体" w:eastAsia="楷体" w:cs="楷体"/>
                <w:b w:val="0"/>
                <w:bCs w:val="0"/>
                <w:i w:val="0"/>
                <w:iCs w:val="0"/>
                <w:color w:val="auto"/>
                <w:kern w:val="2"/>
                <w:sz w:val="18"/>
                <w:szCs w:val="18"/>
                <w:u w:val="none"/>
                <w:lang w:val="en-US" w:eastAsia="zh-CN" w:bidi="ar"/>
              </w:rPr>
              <w:t>参考全省目标，</w:t>
            </w:r>
            <w:r>
              <w:rPr>
                <w:rFonts w:hint="eastAsia" w:ascii="黑体" w:hAnsi="黑体" w:eastAsia="黑体" w:cs="黑体"/>
                <w:b w:val="0"/>
                <w:bCs w:val="0"/>
                <w:i w:val="0"/>
                <w:iCs w:val="0"/>
                <w:color w:val="auto"/>
                <w:kern w:val="2"/>
                <w:sz w:val="18"/>
                <w:szCs w:val="18"/>
                <w:u w:val="none"/>
                <w:lang w:val="en-US" w:eastAsia="zh-CN" w:bidi="ar"/>
              </w:rPr>
              <w:t>2025年在2020年基础上实现翻番，“十四五”实际GDP年均增速10%（名义12-13%），GDP达到130亿</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黑体" w:hAnsi="黑体" w:eastAsia="黑体" w:cs="黑体"/>
                <w:b w:val="0"/>
                <w:bCs w:val="0"/>
                <w:i w:val="0"/>
                <w:iCs w:val="0"/>
                <w:color w:val="auto"/>
                <w:kern w:val="2"/>
                <w:sz w:val="18"/>
                <w:szCs w:val="18"/>
                <w:u w:val="none"/>
                <w:lang w:val="en-US" w:eastAsia="zh-CN" w:bidi="ar"/>
              </w:rPr>
            </w:pPr>
            <w:r>
              <w:rPr>
                <w:rFonts w:hint="eastAsia" w:ascii="黑体" w:hAnsi="黑体" w:eastAsia="黑体" w:cs="黑体"/>
                <w:b w:val="0"/>
                <w:bCs w:val="0"/>
                <w:i w:val="0"/>
                <w:iCs w:val="0"/>
                <w:color w:val="auto"/>
                <w:kern w:val="2"/>
                <w:sz w:val="18"/>
                <w:szCs w:val="18"/>
                <w:u w:val="none"/>
                <w:lang w:val="en-US" w:eastAsia="zh-CN" w:bidi="ar"/>
              </w:rPr>
              <w:t>对三次产业产值进行修正</w:t>
            </w:r>
            <w:r>
              <w:rPr>
                <w:rFonts w:hint="eastAsia" w:ascii="楷体" w:hAnsi="楷体" w:eastAsia="楷体" w:cs="楷体"/>
                <w:b w:val="0"/>
                <w:bCs w:val="0"/>
                <w:i w:val="0"/>
                <w:iCs w:val="0"/>
                <w:color w:val="auto"/>
                <w:kern w:val="2"/>
                <w:sz w:val="18"/>
                <w:szCs w:val="18"/>
                <w:u w:val="none"/>
                <w:lang w:val="en-US" w:eastAsia="zh-CN" w:bidi="ar"/>
              </w:rPr>
              <w:t>（以同比例修正为基准、根据产业项目情况适当微调）</w:t>
            </w:r>
            <w:r>
              <w:rPr>
                <w:rFonts w:hint="eastAsia" w:ascii="黑体" w:hAnsi="黑体" w:eastAsia="黑体" w:cs="黑体"/>
                <w:b w:val="0"/>
                <w:bCs w:val="0"/>
                <w:i w:val="0"/>
                <w:iCs w:val="0"/>
                <w:color w:val="auto"/>
                <w:kern w:val="2"/>
                <w:sz w:val="18"/>
                <w:szCs w:val="18"/>
                <w:u w:val="none"/>
                <w:lang w:val="en-US" w:eastAsia="zh-CN" w:bidi="ar"/>
              </w:rPr>
              <w:t>，第一产业为30亿、第二产业为15亿、第三产业为85亿，三产结构为23∶12∶65</w:t>
            </w:r>
          </w:p>
        </w:tc>
        <w:tc>
          <w:tcPr>
            <w:tcW w:w="968" w:type="dxa"/>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黑体" w:hAnsi="黑体" w:eastAsia="黑体" w:cs="黑体"/>
                <w:b w:val="0"/>
                <w:bCs w:val="0"/>
                <w:i w:val="0"/>
                <w:iCs w:val="0"/>
                <w:color w:val="auto"/>
                <w:kern w:val="2"/>
                <w:sz w:val="18"/>
                <w:szCs w:val="18"/>
                <w:u w:val="none"/>
                <w:lang w:val="en-US" w:eastAsia="zh-CN" w:bidi="ar"/>
              </w:rPr>
            </w:pPr>
            <w:r>
              <w:rPr>
                <w:rFonts w:hint="eastAsia" w:ascii="黑体" w:hAnsi="黑体" w:eastAsia="黑体" w:cs="黑体"/>
                <w:b w:val="0"/>
                <w:bCs w:val="0"/>
                <w:i w:val="0"/>
                <w:iCs w:val="0"/>
                <w:color w:val="auto"/>
                <w:kern w:val="2"/>
                <w:sz w:val="18"/>
                <w:szCs w:val="18"/>
                <w:u w:val="none"/>
                <w:lang w:val="en-US" w:eastAsia="zh-CN" w:bidi="ar"/>
              </w:rPr>
              <w:t>130亿</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1015" w:type="dxa"/>
            <w:gridSpan w:val="2"/>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黑体" w:hAnsi="黑体" w:eastAsia="黑体" w:cs="黑体"/>
                <w:b w:val="0"/>
                <w:bCs w:val="0"/>
                <w:i w:val="0"/>
                <w:color w:val="auto"/>
                <w:kern w:val="2"/>
                <w:sz w:val="18"/>
                <w:szCs w:val="18"/>
                <w:u w:val="none"/>
                <w:lang w:val="en-US" w:eastAsia="zh-CN" w:bidi="ar"/>
              </w:rPr>
            </w:pPr>
          </w:p>
        </w:tc>
        <w:tc>
          <w:tcPr>
            <w:tcW w:w="1163" w:type="dxa"/>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2035年</w:t>
            </w:r>
          </w:p>
        </w:tc>
        <w:tc>
          <w:tcPr>
            <w:tcW w:w="5376" w:type="dxa"/>
            <w:vAlign w:val="top"/>
          </w:tcPr>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低值：281亿，在2025年130亿基础上，按2026-2035年名义GDP年均增速8%预测</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高值：568亿，在各产业门类分别测算的基础上合计得到的结果，2025-2035年名义GDP年均增速13%</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黑体" w:hAnsi="黑体" w:eastAsia="黑体" w:cs="黑体"/>
                <w:b w:val="0"/>
                <w:bCs w:val="0"/>
                <w:i w:val="0"/>
                <w:iCs w:val="0"/>
                <w:color w:val="auto"/>
                <w:kern w:val="2"/>
                <w:sz w:val="18"/>
                <w:szCs w:val="18"/>
                <w:u w:val="none"/>
                <w:lang w:val="en-US" w:eastAsia="zh-CN" w:bidi="ar"/>
              </w:rPr>
            </w:pPr>
            <w:r>
              <w:rPr>
                <w:rFonts w:hint="eastAsia" w:ascii="黑体" w:hAnsi="黑体" w:eastAsia="黑体" w:cs="黑体"/>
                <w:b w:val="0"/>
                <w:bCs w:val="0"/>
                <w:i w:val="0"/>
                <w:iCs w:val="0"/>
                <w:color w:val="auto"/>
                <w:kern w:val="2"/>
                <w:sz w:val="18"/>
                <w:szCs w:val="18"/>
                <w:u w:val="none"/>
                <w:lang w:val="en-US" w:eastAsia="zh-CN" w:bidi="ar"/>
              </w:rPr>
              <w:t>结论：</w:t>
            </w:r>
            <w:r>
              <w:rPr>
                <w:rFonts w:hint="eastAsia" w:ascii="楷体" w:hAnsi="楷体" w:eastAsia="楷体" w:cs="楷体"/>
                <w:b w:val="0"/>
                <w:bCs w:val="0"/>
                <w:i w:val="0"/>
                <w:iCs w:val="0"/>
                <w:color w:val="auto"/>
                <w:kern w:val="2"/>
                <w:sz w:val="18"/>
                <w:szCs w:val="18"/>
                <w:u w:val="none"/>
                <w:lang w:val="en-US" w:eastAsia="zh-CN" w:bidi="ar"/>
              </w:rPr>
              <w:t>考虑到新开发区域GDP通常由高速逐年向中高速转换，且发展基础基数不断提高壮大，2025年之后GDP的增速有所下降，</w:t>
            </w:r>
            <w:r>
              <w:rPr>
                <w:rFonts w:hint="eastAsia" w:ascii="黑体" w:hAnsi="黑体" w:eastAsia="黑体" w:cs="黑体"/>
                <w:b w:val="0"/>
                <w:bCs w:val="0"/>
                <w:i w:val="0"/>
                <w:iCs w:val="0"/>
                <w:color w:val="auto"/>
                <w:kern w:val="2"/>
                <w:sz w:val="18"/>
                <w:szCs w:val="18"/>
                <w:u w:val="none"/>
                <w:lang w:val="en-US" w:eastAsia="zh-CN" w:bidi="ar"/>
              </w:rPr>
              <w:t>取低值和高值名义GDP的平均增速11%（实际GDP为8%左右），测算2035年GDP达到370亿</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黑体" w:hAnsi="黑体" w:eastAsia="黑体" w:cs="黑体"/>
                <w:b w:val="0"/>
                <w:bCs w:val="0"/>
                <w:i w:val="0"/>
                <w:iCs w:val="0"/>
                <w:color w:val="auto"/>
                <w:kern w:val="2"/>
                <w:sz w:val="18"/>
                <w:szCs w:val="18"/>
                <w:u w:val="none"/>
                <w:lang w:val="en-US" w:eastAsia="zh-CN" w:bidi="ar"/>
              </w:rPr>
            </w:pPr>
            <w:r>
              <w:rPr>
                <w:rFonts w:hint="eastAsia" w:ascii="黑体" w:hAnsi="黑体" w:eastAsia="黑体" w:cs="黑体"/>
                <w:b w:val="0"/>
                <w:bCs w:val="0"/>
                <w:i w:val="0"/>
                <w:iCs w:val="0"/>
                <w:color w:val="auto"/>
                <w:kern w:val="2"/>
                <w:sz w:val="18"/>
                <w:szCs w:val="18"/>
                <w:u w:val="none"/>
                <w:lang w:val="en-US" w:eastAsia="zh-CN" w:bidi="ar"/>
              </w:rPr>
              <w:t>对三次产业产值进行修正</w:t>
            </w:r>
            <w:r>
              <w:rPr>
                <w:rFonts w:hint="eastAsia" w:ascii="楷体" w:hAnsi="楷体" w:eastAsia="楷体" w:cs="楷体"/>
                <w:b w:val="0"/>
                <w:bCs w:val="0"/>
                <w:i w:val="0"/>
                <w:iCs w:val="0"/>
                <w:color w:val="auto"/>
                <w:kern w:val="2"/>
                <w:sz w:val="18"/>
                <w:szCs w:val="18"/>
                <w:u w:val="none"/>
                <w:lang w:val="en-US" w:eastAsia="zh-CN" w:bidi="ar"/>
              </w:rPr>
              <w:t>（以同比例修正为基准、根据产业项目情况适当微调）</w:t>
            </w:r>
            <w:r>
              <w:rPr>
                <w:rFonts w:hint="eastAsia" w:ascii="黑体" w:hAnsi="黑体" w:eastAsia="黑体" w:cs="黑体"/>
                <w:b w:val="0"/>
                <w:bCs w:val="0"/>
                <w:i w:val="0"/>
                <w:iCs w:val="0"/>
                <w:color w:val="auto"/>
                <w:kern w:val="2"/>
                <w:sz w:val="18"/>
                <w:szCs w:val="18"/>
                <w:u w:val="none"/>
                <w:lang w:val="en-US" w:eastAsia="zh-CN" w:bidi="ar"/>
              </w:rPr>
              <w:t>，第一产业为60亿、第二产业为60亿、第三产业为250亿，三产结构为16∶16∶68</w:t>
            </w:r>
          </w:p>
        </w:tc>
        <w:tc>
          <w:tcPr>
            <w:tcW w:w="968" w:type="dxa"/>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黑体" w:hAnsi="黑体" w:eastAsia="黑体" w:cs="黑体"/>
                <w:b w:val="0"/>
                <w:bCs w:val="0"/>
                <w:i w:val="0"/>
                <w:iCs w:val="0"/>
                <w:color w:val="auto"/>
                <w:kern w:val="2"/>
                <w:sz w:val="18"/>
                <w:szCs w:val="18"/>
                <w:u w:val="none"/>
                <w:lang w:val="en-US" w:eastAsia="zh-CN" w:bidi="ar"/>
              </w:rPr>
            </w:pPr>
            <w:r>
              <w:rPr>
                <w:rFonts w:hint="eastAsia" w:ascii="黑体" w:hAnsi="黑体" w:eastAsia="黑体" w:cs="黑体"/>
                <w:b w:val="0"/>
                <w:bCs w:val="0"/>
                <w:i w:val="0"/>
                <w:iCs w:val="0"/>
                <w:color w:val="auto"/>
                <w:kern w:val="2"/>
                <w:sz w:val="18"/>
                <w:szCs w:val="18"/>
                <w:u w:val="none"/>
                <w:lang w:val="en-US" w:eastAsia="zh-CN" w:bidi="ar"/>
              </w:rPr>
              <w:t>370亿</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385"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第二产业</w:t>
            </w:r>
          </w:p>
        </w:tc>
        <w:tc>
          <w:tcPr>
            <w:tcW w:w="630"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增速预测法：</w:t>
            </w:r>
          </w:p>
        </w:tc>
        <w:tc>
          <w:tcPr>
            <w:tcW w:w="1163" w:type="dxa"/>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20" w:lineRule="exact"/>
              <w:ind w:left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2019-2020</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20" w:lineRule="exact"/>
              <w:ind w:left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现状基础</w:t>
            </w:r>
          </w:p>
        </w:tc>
        <w:tc>
          <w:tcPr>
            <w:tcW w:w="5376" w:type="dxa"/>
            <w:vAlign w:val="top"/>
          </w:tcPr>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2019年：二产GDP为7.5亿，建区到2019年年均下降10.1%，二产GDP中，工业1.0亿（占13%）、建筑业6.5亿（占87%）</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2020年：二产GDP为10.6亿，建区到2020年年均下降1.6%，其中建筑业回复较快，占二产大部分份额</w:t>
            </w:r>
          </w:p>
        </w:tc>
        <w:tc>
          <w:tcPr>
            <w:tcW w:w="968" w:type="dxa"/>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auto"/>
                <w:kern w:val="2"/>
                <w:sz w:val="18"/>
                <w:szCs w:val="18"/>
                <w:u w:val="none"/>
                <w:lang w:val="en-US" w:eastAsia="zh-CN" w:bidi="ar"/>
              </w:rPr>
            </w:pPr>
            <w:r>
              <w:rPr>
                <w:rFonts w:hint="eastAsia" w:ascii="楷体" w:hAnsi="楷体" w:eastAsia="楷体" w:cs="楷体"/>
                <w:b w:val="0"/>
                <w:bCs w:val="0"/>
                <w:i w:val="0"/>
                <w:color w:val="auto"/>
                <w:kern w:val="2"/>
                <w:sz w:val="18"/>
                <w:szCs w:val="18"/>
                <w:u w:val="none"/>
                <w:lang w:val="en-US" w:eastAsia="zh-CN" w:bidi="ar"/>
              </w:rPr>
              <w:t>2020年</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auto"/>
                <w:kern w:val="2"/>
                <w:sz w:val="18"/>
                <w:szCs w:val="18"/>
                <w:u w:val="none"/>
                <w:lang w:val="en-US" w:eastAsia="zh-CN" w:bidi="ar"/>
              </w:rPr>
            </w:pPr>
            <w:r>
              <w:rPr>
                <w:rFonts w:hint="eastAsia" w:ascii="楷体" w:hAnsi="楷体" w:eastAsia="楷体" w:cs="楷体"/>
                <w:b w:val="0"/>
                <w:bCs w:val="0"/>
                <w:i w:val="0"/>
                <w:color w:val="auto"/>
                <w:kern w:val="2"/>
                <w:sz w:val="18"/>
                <w:szCs w:val="18"/>
                <w:u w:val="none"/>
                <w:lang w:val="en-US" w:eastAsia="zh-CN" w:bidi="ar"/>
              </w:rPr>
              <w:t>10.6亿</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385"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val="0"/>
                <w:bCs w:val="0"/>
                <w:i w:val="0"/>
                <w:iCs w:val="0"/>
                <w:color w:val="auto"/>
                <w:kern w:val="2"/>
                <w:sz w:val="18"/>
                <w:szCs w:val="18"/>
                <w:u w:val="none"/>
                <w:lang w:val="en-US" w:eastAsia="zh-CN" w:bidi="ar"/>
              </w:rPr>
            </w:pPr>
          </w:p>
        </w:tc>
        <w:tc>
          <w:tcPr>
            <w:tcW w:w="630"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val="0"/>
                <w:bCs w:val="0"/>
                <w:i w:val="0"/>
                <w:iCs w:val="0"/>
                <w:color w:val="auto"/>
                <w:kern w:val="2"/>
                <w:sz w:val="18"/>
                <w:szCs w:val="18"/>
                <w:u w:val="none"/>
                <w:lang w:val="en-US" w:eastAsia="zh-CN" w:bidi="ar"/>
              </w:rPr>
            </w:pPr>
          </w:p>
        </w:tc>
        <w:tc>
          <w:tcPr>
            <w:tcW w:w="1163" w:type="dxa"/>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20" w:lineRule="exact"/>
              <w:ind w:left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2025年</w:t>
            </w:r>
          </w:p>
        </w:tc>
        <w:tc>
          <w:tcPr>
            <w:tcW w:w="5376" w:type="dxa"/>
            <w:vAlign w:val="top"/>
          </w:tcPr>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低值：按照实际GDP不变、名义GDP增速3%，2025年为12亿</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中值：实际GDP增速由负转正保持低速增长，名义GDP增速达到7%，2025年为15亿（工业5亿、建筑业9亿）</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高值：增速接近全区GDP平均增速，名义GDP增速达到10%，2025年为17亿</w:t>
            </w:r>
          </w:p>
        </w:tc>
        <w:tc>
          <w:tcPr>
            <w:tcW w:w="968" w:type="dxa"/>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auto"/>
                <w:kern w:val="2"/>
                <w:sz w:val="18"/>
                <w:szCs w:val="18"/>
                <w:u w:val="none"/>
                <w:lang w:val="en-US" w:eastAsia="zh-CN" w:bidi="ar"/>
              </w:rPr>
            </w:pPr>
            <w:r>
              <w:rPr>
                <w:rFonts w:hint="eastAsia" w:ascii="楷体" w:hAnsi="楷体" w:eastAsia="楷体" w:cs="楷体"/>
                <w:b w:val="0"/>
                <w:bCs w:val="0"/>
                <w:i w:val="0"/>
                <w:color w:val="auto"/>
                <w:kern w:val="2"/>
                <w:sz w:val="18"/>
                <w:szCs w:val="18"/>
                <w:u w:val="none"/>
                <w:lang w:val="en-US" w:eastAsia="zh-CN" w:bidi="ar"/>
              </w:rPr>
              <w:t>GDP中值</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auto"/>
                <w:kern w:val="2"/>
                <w:sz w:val="18"/>
                <w:szCs w:val="18"/>
                <w:u w:val="none"/>
                <w:lang w:val="en-US" w:eastAsia="zh-CN" w:bidi="ar"/>
              </w:rPr>
            </w:pPr>
            <w:r>
              <w:rPr>
                <w:rFonts w:hint="eastAsia" w:ascii="楷体" w:hAnsi="楷体" w:eastAsia="楷体" w:cs="楷体"/>
                <w:b w:val="0"/>
                <w:bCs w:val="0"/>
                <w:i w:val="0"/>
                <w:color w:val="auto"/>
                <w:kern w:val="2"/>
                <w:sz w:val="18"/>
                <w:szCs w:val="18"/>
                <w:u w:val="none"/>
                <w:lang w:val="en-US" w:eastAsia="zh-CN" w:bidi="ar"/>
              </w:rPr>
              <w:t>15亿</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385"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val="0"/>
                <w:bCs w:val="0"/>
                <w:i w:val="0"/>
                <w:iCs w:val="0"/>
                <w:color w:val="auto"/>
                <w:kern w:val="2"/>
                <w:sz w:val="18"/>
                <w:szCs w:val="18"/>
                <w:u w:val="none"/>
                <w:lang w:val="en-US" w:eastAsia="zh-CN" w:bidi="ar"/>
              </w:rPr>
            </w:pPr>
          </w:p>
        </w:tc>
        <w:tc>
          <w:tcPr>
            <w:tcW w:w="630"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val="0"/>
                <w:bCs w:val="0"/>
                <w:i w:val="0"/>
                <w:iCs w:val="0"/>
                <w:color w:val="auto"/>
                <w:kern w:val="2"/>
                <w:sz w:val="18"/>
                <w:szCs w:val="18"/>
                <w:u w:val="none"/>
                <w:lang w:val="en-US" w:eastAsia="zh-CN" w:bidi="ar"/>
              </w:rPr>
            </w:pPr>
          </w:p>
        </w:tc>
        <w:tc>
          <w:tcPr>
            <w:tcW w:w="1163" w:type="dxa"/>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20" w:lineRule="exact"/>
              <w:ind w:left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2035年</w:t>
            </w:r>
          </w:p>
        </w:tc>
        <w:tc>
          <w:tcPr>
            <w:tcW w:w="5376" w:type="dxa"/>
            <w:vAlign w:val="top"/>
          </w:tcPr>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低值：在2025年基础上按名义GDP增速5%，2035年为25亿</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中值：在2025年基础上按名义GDP增速10%，2035年为40亿</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高值：在2025年基础上按名义GDP增速13%，2035年为50亿</w:t>
            </w:r>
          </w:p>
        </w:tc>
        <w:tc>
          <w:tcPr>
            <w:tcW w:w="968" w:type="dxa"/>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default" w:ascii="楷体" w:hAnsi="楷体" w:eastAsia="楷体" w:cs="楷体"/>
                <w:b w:val="0"/>
                <w:bCs w:val="0"/>
                <w:i w:val="0"/>
                <w:color w:val="auto"/>
                <w:kern w:val="2"/>
                <w:sz w:val="18"/>
                <w:szCs w:val="18"/>
                <w:u w:val="none"/>
                <w:lang w:val="en-US" w:eastAsia="zh-CN" w:bidi="ar"/>
              </w:rPr>
            </w:pPr>
            <w:r>
              <w:rPr>
                <w:rFonts w:hint="eastAsia" w:ascii="楷体" w:hAnsi="楷体" w:eastAsia="楷体" w:cs="楷体"/>
                <w:b w:val="0"/>
                <w:bCs w:val="0"/>
                <w:i w:val="0"/>
                <w:color w:val="auto"/>
                <w:kern w:val="2"/>
                <w:sz w:val="18"/>
                <w:szCs w:val="18"/>
                <w:u w:val="none"/>
                <w:lang w:val="en-US" w:eastAsia="zh-CN" w:bidi="ar"/>
              </w:rPr>
              <w:t>GDP中值</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auto"/>
                <w:kern w:val="2"/>
                <w:sz w:val="18"/>
                <w:szCs w:val="18"/>
                <w:u w:val="none"/>
                <w:lang w:val="en-US" w:eastAsia="zh-CN" w:bidi="ar"/>
              </w:rPr>
            </w:pPr>
            <w:r>
              <w:rPr>
                <w:rFonts w:hint="eastAsia" w:ascii="楷体" w:hAnsi="楷体" w:eastAsia="楷体" w:cs="楷体"/>
                <w:b w:val="0"/>
                <w:bCs w:val="0"/>
                <w:i w:val="0"/>
                <w:color w:val="auto"/>
                <w:kern w:val="2"/>
                <w:sz w:val="18"/>
                <w:szCs w:val="18"/>
                <w:u w:val="none"/>
                <w:lang w:val="en-US" w:eastAsia="zh-CN" w:bidi="ar"/>
              </w:rPr>
              <w:t>40亿</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385"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val="0"/>
                <w:bCs w:val="0"/>
                <w:i w:val="0"/>
                <w:iCs w:val="0"/>
                <w:color w:val="auto"/>
                <w:kern w:val="2"/>
                <w:sz w:val="18"/>
                <w:szCs w:val="18"/>
                <w:u w:val="none"/>
                <w:lang w:val="en-US" w:eastAsia="zh-CN" w:bidi="ar"/>
              </w:rPr>
            </w:pPr>
          </w:p>
        </w:tc>
        <w:tc>
          <w:tcPr>
            <w:tcW w:w="630"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结构预测法：</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农渔产品加工</w:t>
            </w:r>
          </w:p>
        </w:tc>
        <w:tc>
          <w:tcPr>
            <w:tcW w:w="1163" w:type="dxa"/>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20" w:lineRule="exact"/>
              <w:ind w:left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农产品加工</w:t>
            </w:r>
          </w:p>
        </w:tc>
        <w:tc>
          <w:tcPr>
            <w:tcW w:w="5376" w:type="dxa"/>
            <w:vAlign w:val="top"/>
          </w:tcPr>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2025年：预计5%农产品（1.5万吨）进入本地加工环节，创造工业产值2.4亿、贡献增加值（GDP）0.8亿</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2035年：预计20%农产品（6万吨）进入本地加工环节，创造工业产值13亿、贡献增加值（GDP）4亿</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20" w:lineRule="exact"/>
              <w:ind w:left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（注：已考虑CPI增长因素，测算依据过程详见第四章第二节）</w:t>
            </w:r>
          </w:p>
        </w:tc>
        <w:tc>
          <w:tcPr>
            <w:tcW w:w="968" w:type="dxa"/>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auto"/>
                <w:kern w:val="2"/>
                <w:sz w:val="18"/>
                <w:szCs w:val="18"/>
                <w:u w:val="none"/>
                <w:lang w:val="en-US" w:eastAsia="zh-CN" w:bidi="ar"/>
              </w:rPr>
            </w:pPr>
            <w:r>
              <w:rPr>
                <w:rFonts w:hint="eastAsia" w:ascii="楷体" w:hAnsi="楷体" w:eastAsia="楷体" w:cs="楷体"/>
                <w:b w:val="0"/>
                <w:bCs w:val="0"/>
                <w:i w:val="0"/>
                <w:color w:val="auto"/>
                <w:kern w:val="2"/>
                <w:sz w:val="18"/>
                <w:szCs w:val="18"/>
                <w:u w:val="none"/>
                <w:lang w:val="en-US" w:eastAsia="zh-CN" w:bidi="ar"/>
              </w:rPr>
              <w:t>GDP贡献</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auto"/>
                <w:kern w:val="2"/>
                <w:sz w:val="18"/>
                <w:szCs w:val="18"/>
                <w:u w:val="none"/>
                <w:lang w:val="en-US" w:eastAsia="zh-CN" w:bidi="ar"/>
              </w:rPr>
            </w:pPr>
            <w:r>
              <w:rPr>
                <w:rFonts w:hint="eastAsia" w:ascii="楷体" w:hAnsi="楷体" w:eastAsia="楷体" w:cs="楷体"/>
                <w:b w:val="0"/>
                <w:bCs w:val="0"/>
                <w:i w:val="0"/>
                <w:color w:val="auto"/>
                <w:kern w:val="2"/>
                <w:sz w:val="18"/>
                <w:szCs w:val="18"/>
                <w:u w:val="none"/>
                <w:lang w:val="en-US" w:eastAsia="zh-CN" w:bidi="ar"/>
              </w:rPr>
              <w:t>2025年：</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auto"/>
                <w:kern w:val="2"/>
                <w:sz w:val="18"/>
                <w:szCs w:val="18"/>
                <w:u w:val="none"/>
                <w:lang w:val="en-US" w:eastAsia="zh-CN" w:bidi="ar"/>
              </w:rPr>
            </w:pPr>
            <w:r>
              <w:rPr>
                <w:rFonts w:hint="eastAsia" w:ascii="楷体" w:hAnsi="楷体" w:eastAsia="楷体" w:cs="楷体"/>
                <w:b w:val="0"/>
                <w:bCs w:val="0"/>
                <w:i w:val="0"/>
                <w:color w:val="auto"/>
                <w:kern w:val="2"/>
                <w:sz w:val="18"/>
                <w:szCs w:val="18"/>
                <w:u w:val="none"/>
                <w:lang w:val="en-US" w:eastAsia="zh-CN" w:bidi="ar"/>
              </w:rPr>
              <w:t>0.8亿</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auto"/>
                <w:kern w:val="2"/>
                <w:sz w:val="18"/>
                <w:szCs w:val="18"/>
                <w:u w:val="none"/>
                <w:lang w:val="en-US" w:eastAsia="zh-CN" w:bidi="ar"/>
              </w:rPr>
            </w:pPr>
            <w:r>
              <w:rPr>
                <w:rFonts w:hint="eastAsia" w:ascii="楷体" w:hAnsi="楷体" w:eastAsia="楷体" w:cs="楷体"/>
                <w:b w:val="0"/>
                <w:bCs w:val="0"/>
                <w:i w:val="0"/>
                <w:color w:val="auto"/>
                <w:kern w:val="2"/>
                <w:sz w:val="18"/>
                <w:szCs w:val="18"/>
                <w:u w:val="none"/>
                <w:lang w:val="en-US" w:eastAsia="zh-CN" w:bidi="ar"/>
              </w:rPr>
              <w:t>2035年：</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auto"/>
                <w:kern w:val="2"/>
                <w:sz w:val="18"/>
                <w:szCs w:val="18"/>
                <w:u w:val="none"/>
                <w:lang w:val="en-US" w:eastAsia="zh-CN" w:bidi="ar"/>
              </w:rPr>
            </w:pPr>
            <w:r>
              <w:rPr>
                <w:rFonts w:hint="eastAsia" w:ascii="楷体" w:hAnsi="楷体" w:eastAsia="楷体" w:cs="楷体"/>
                <w:b w:val="0"/>
                <w:bCs w:val="0"/>
                <w:i w:val="0"/>
                <w:color w:val="auto"/>
                <w:kern w:val="2"/>
                <w:sz w:val="18"/>
                <w:szCs w:val="18"/>
                <w:u w:val="none"/>
                <w:lang w:val="en-US" w:eastAsia="zh-CN" w:bidi="ar"/>
              </w:rPr>
              <w:t>4亿</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385"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val="0"/>
                <w:bCs w:val="0"/>
                <w:i w:val="0"/>
                <w:iCs w:val="0"/>
                <w:color w:val="auto"/>
                <w:kern w:val="2"/>
                <w:sz w:val="18"/>
                <w:szCs w:val="18"/>
                <w:u w:val="none"/>
                <w:lang w:val="en-US" w:eastAsia="zh-CN" w:bidi="ar"/>
              </w:rPr>
            </w:pPr>
          </w:p>
        </w:tc>
        <w:tc>
          <w:tcPr>
            <w:tcW w:w="630"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val="0"/>
                <w:bCs w:val="0"/>
                <w:i w:val="0"/>
                <w:iCs w:val="0"/>
                <w:color w:val="auto"/>
                <w:kern w:val="2"/>
                <w:sz w:val="18"/>
                <w:szCs w:val="18"/>
                <w:u w:val="none"/>
                <w:lang w:val="en-US" w:eastAsia="zh-CN" w:bidi="ar"/>
              </w:rPr>
            </w:pPr>
          </w:p>
        </w:tc>
        <w:tc>
          <w:tcPr>
            <w:tcW w:w="1163" w:type="dxa"/>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20" w:lineRule="exact"/>
              <w:ind w:left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水产品加工</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20" w:lineRule="exact"/>
              <w:ind w:left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功能性产品</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20" w:lineRule="exact"/>
              <w:ind w:left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宠物饲料</w:t>
            </w:r>
          </w:p>
        </w:tc>
        <w:tc>
          <w:tcPr>
            <w:tcW w:w="5376" w:type="dxa"/>
            <w:vAlign w:val="top"/>
          </w:tcPr>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2025年：预计中心渔港后方加工用地达到500亩，创造工业产值12亿、贡献增加值（GDP）4亿</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2025年：预计中心渔港后方加工用地达到2000亩，创造工业产值64亿、贡献增加值（GDP）21亿</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20" w:lineRule="exact"/>
              <w:ind w:left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（注：已考虑CPI增长因素）</w:t>
            </w:r>
          </w:p>
        </w:tc>
        <w:tc>
          <w:tcPr>
            <w:tcW w:w="968" w:type="dxa"/>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auto"/>
                <w:kern w:val="2"/>
                <w:sz w:val="18"/>
                <w:szCs w:val="18"/>
                <w:u w:val="none"/>
                <w:lang w:val="en-US" w:eastAsia="zh-CN" w:bidi="ar"/>
              </w:rPr>
            </w:pPr>
            <w:r>
              <w:rPr>
                <w:rFonts w:hint="eastAsia" w:ascii="楷体" w:hAnsi="楷体" w:eastAsia="楷体" w:cs="楷体"/>
                <w:b w:val="0"/>
                <w:bCs w:val="0"/>
                <w:i w:val="0"/>
                <w:color w:val="auto"/>
                <w:kern w:val="2"/>
                <w:sz w:val="18"/>
                <w:szCs w:val="18"/>
                <w:u w:val="none"/>
                <w:lang w:val="en-US" w:eastAsia="zh-CN" w:bidi="ar"/>
              </w:rPr>
              <w:t>GDP贡献</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auto"/>
                <w:kern w:val="2"/>
                <w:sz w:val="18"/>
                <w:szCs w:val="18"/>
                <w:u w:val="none"/>
                <w:lang w:val="en-US" w:eastAsia="zh-CN" w:bidi="ar"/>
              </w:rPr>
            </w:pPr>
            <w:r>
              <w:rPr>
                <w:rFonts w:hint="eastAsia" w:ascii="楷体" w:hAnsi="楷体" w:eastAsia="楷体" w:cs="楷体"/>
                <w:b w:val="0"/>
                <w:bCs w:val="0"/>
                <w:i w:val="0"/>
                <w:color w:val="auto"/>
                <w:kern w:val="2"/>
                <w:sz w:val="18"/>
                <w:szCs w:val="18"/>
                <w:u w:val="none"/>
                <w:lang w:val="en-US" w:eastAsia="zh-CN" w:bidi="ar"/>
              </w:rPr>
              <w:t>2025年：</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auto"/>
                <w:kern w:val="2"/>
                <w:sz w:val="18"/>
                <w:szCs w:val="18"/>
                <w:u w:val="none"/>
                <w:lang w:val="en-US" w:eastAsia="zh-CN" w:bidi="ar"/>
              </w:rPr>
            </w:pPr>
            <w:r>
              <w:rPr>
                <w:rFonts w:hint="eastAsia" w:ascii="楷体" w:hAnsi="楷体" w:eastAsia="楷体" w:cs="楷体"/>
                <w:b w:val="0"/>
                <w:bCs w:val="0"/>
                <w:i w:val="0"/>
                <w:color w:val="auto"/>
                <w:kern w:val="2"/>
                <w:sz w:val="18"/>
                <w:szCs w:val="18"/>
                <w:u w:val="none"/>
                <w:lang w:val="en-US" w:eastAsia="zh-CN" w:bidi="ar"/>
              </w:rPr>
              <w:t>4亿</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auto"/>
                <w:kern w:val="2"/>
                <w:sz w:val="18"/>
                <w:szCs w:val="18"/>
                <w:u w:val="none"/>
                <w:lang w:val="en-US" w:eastAsia="zh-CN" w:bidi="ar"/>
              </w:rPr>
            </w:pPr>
            <w:r>
              <w:rPr>
                <w:rFonts w:hint="eastAsia" w:ascii="楷体" w:hAnsi="楷体" w:eastAsia="楷体" w:cs="楷体"/>
                <w:b w:val="0"/>
                <w:bCs w:val="0"/>
                <w:i w:val="0"/>
                <w:color w:val="auto"/>
                <w:kern w:val="2"/>
                <w:sz w:val="18"/>
                <w:szCs w:val="18"/>
                <w:u w:val="none"/>
                <w:lang w:val="en-US" w:eastAsia="zh-CN" w:bidi="ar"/>
              </w:rPr>
              <w:t>2035年：</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auto"/>
                <w:kern w:val="2"/>
                <w:sz w:val="18"/>
                <w:szCs w:val="18"/>
                <w:u w:val="none"/>
                <w:lang w:val="en-US" w:eastAsia="zh-CN" w:bidi="ar"/>
              </w:rPr>
            </w:pPr>
            <w:r>
              <w:rPr>
                <w:rFonts w:hint="eastAsia" w:ascii="楷体" w:hAnsi="楷体" w:eastAsia="楷体" w:cs="楷体"/>
                <w:b w:val="0"/>
                <w:bCs w:val="0"/>
                <w:i w:val="0"/>
                <w:color w:val="auto"/>
                <w:kern w:val="2"/>
                <w:sz w:val="18"/>
                <w:szCs w:val="18"/>
                <w:u w:val="none"/>
                <w:lang w:val="en-US" w:eastAsia="zh-CN" w:bidi="ar"/>
              </w:rPr>
              <w:t>21亿</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385"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val="0"/>
                <w:bCs w:val="0"/>
                <w:i w:val="0"/>
                <w:iCs w:val="0"/>
                <w:color w:val="auto"/>
                <w:kern w:val="2"/>
                <w:sz w:val="18"/>
                <w:szCs w:val="18"/>
                <w:u w:val="none"/>
                <w:lang w:val="en-US" w:eastAsia="zh-CN" w:bidi="ar"/>
              </w:rPr>
            </w:pPr>
          </w:p>
        </w:tc>
        <w:tc>
          <w:tcPr>
            <w:tcW w:w="630" w:type="dxa"/>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结构预测法：</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绿色高端制造</w:t>
            </w:r>
          </w:p>
        </w:tc>
        <w:tc>
          <w:tcPr>
            <w:tcW w:w="1163" w:type="dxa"/>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20" w:lineRule="exact"/>
              <w:ind w:left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电子制造</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20" w:lineRule="exact"/>
              <w:ind w:left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三高产业</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20" w:lineRule="exact"/>
              <w:ind w:left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消费品制造</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20" w:lineRule="exact"/>
              <w:ind w:left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临港加工</w:t>
            </w:r>
          </w:p>
        </w:tc>
        <w:tc>
          <w:tcPr>
            <w:tcW w:w="5376" w:type="dxa"/>
            <w:vAlign w:val="top"/>
          </w:tcPr>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2025年：以项目谋划引入为主，产业项目逐渐起步，初始体量较小，创造工业产值0.5亿、贡献增加值（GDP）0.2亿</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2035年：预计有10家左右代表性企业进入，创造工业产值10-50亿、贡献增加值（GDP）3-15亿</w:t>
            </w:r>
          </w:p>
        </w:tc>
        <w:tc>
          <w:tcPr>
            <w:tcW w:w="968" w:type="dxa"/>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auto"/>
                <w:kern w:val="2"/>
                <w:sz w:val="18"/>
                <w:szCs w:val="18"/>
                <w:u w:val="none"/>
                <w:lang w:val="en-US" w:eastAsia="zh-CN" w:bidi="ar"/>
              </w:rPr>
            </w:pPr>
            <w:r>
              <w:rPr>
                <w:rFonts w:hint="eastAsia" w:ascii="楷体" w:hAnsi="楷体" w:eastAsia="楷体" w:cs="楷体"/>
                <w:b w:val="0"/>
                <w:bCs w:val="0"/>
                <w:i w:val="0"/>
                <w:color w:val="auto"/>
                <w:kern w:val="2"/>
                <w:sz w:val="18"/>
                <w:szCs w:val="18"/>
                <w:u w:val="none"/>
                <w:lang w:val="en-US" w:eastAsia="zh-CN" w:bidi="ar"/>
              </w:rPr>
              <w:t>GDP贡献</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auto"/>
                <w:kern w:val="2"/>
                <w:sz w:val="18"/>
                <w:szCs w:val="18"/>
                <w:u w:val="none"/>
                <w:lang w:val="en-US" w:eastAsia="zh-CN" w:bidi="ar"/>
              </w:rPr>
            </w:pPr>
            <w:r>
              <w:rPr>
                <w:rFonts w:hint="eastAsia" w:ascii="楷体" w:hAnsi="楷体" w:eastAsia="楷体" w:cs="楷体"/>
                <w:b w:val="0"/>
                <w:bCs w:val="0"/>
                <w:i w:val="0"/>
                <w:color w:val="auto"/>
                <w:kern w:val="2"/>
                <w:sz w:val="18"/>
                <w:szCs w:val="18"/>
                <w:u w:val="none"/>
                <w:lang w:val="en-US" w:eastAsia="zh-CN" w:bidi="ar"/>
              </w:rPr>
              <w:t>2025年：</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auto"/>
                <w:kern w:val="2"/>
                <w:sz w:val="18"/>
                <w:szCs w:val="18"/>
                <w:u w:val="none"/>
                <w:lang w:val="en-US" w:eastAsia="zh-CN" w:bidi="ar"/>
              </w:rPr>
            </w:pPr>
            <w:r>
              <w:rPr>
                <w:rFonts w:hint="eastAsia" w:ascii="楷体" w:hAnsi="楷体" w:eastAsia="楷体" w:cs="楷体"/>
                <w:b w:val="0"/>
                <w:bCs w:val="0"/>
                <w:i w:val="0"/>
                <w:color w:val="auto"/>
                <w:kern w:val="2"/>
                <w:sz w:val="18"/>
                <w:szCs w:val="18"/>
                <w:u w:val="none"/>
                <w:lang w:val="en-US" w:eastAsia="zh-CN" w:bidi="ar"/>
              </w:rPr>
              <w:t>0.2亿</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auto"/>
                <w:kern w:val="2"/>
                <w:sz w:val="18"/>
                <w:szCs w:val="18"/>
                <w:u w:val="none"/>
                <w:lang w:val="en-US" w:eastAsia="zh-CN" w:bidi="ar"/>
              </w:rPr>
            </w:pPr>
            <w:r>
              <w:rPr>
                <w:rFonts w:hint="eastAsia" w:ascii="楷体" w:hAnsi="楷体" w:eastAsia="楷体" w:cs="楷体"/>
                <w:b w:val="0"/>
                <w:bCs w:val="0"/>
                <w:i w:val="0"/>
                <w:color w:val="auto"/>
                <w:kern w:val="2"/>
                <w:sz w:val="18"/>
                <w:szCs w:val="18"/>
                <w:u w:val="none"/>
                <w:lang w:val="en-US" w:eastAsia="zh-CN" w:bidi="ar"/>
              </w:rPr>
              <w:t>2035年：</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auto"/>
                <w:kern w:val="2"/>
                <w:sz w:val="18"/>
                <w:szCs w:val="18"/>
                <w:u w:val="none"/>
                <w:lang w:val="en-US" w:eastAsia="zh-CN" w:bidi="ar"/>
              </w:rPr>
            </w:pPr>
            <w:r>
              <w:rPr>
                <w:rFonts w:hint="eastAsia" w:ascii="楷体" w:hAnsi="楷体" w:eastAsia="楷体" w:cs="楷体"/>
                <w:b w:val="0"/>
                <w:bCs w:val="0"/>
                <w:i w:val="0"/>
                <w:color w:val="auto"/>
                <w:kern w:val="2"/>
                <w:sz w:val="18"/>
                <w:szCs w:val="18"/>
                <w:u w:val="none"/>
                <w:lang w:val="en-US" w:eastAsia="zh-CN" w:bidi="ar"/>
              </w:rPr>
              <w:t>3-15亿</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385"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val="0"/>
                <w:bCs w:val="0"/>
                <w:i w:val="0"/>
                <w:iCs w:val="0"/>
                <w:color w:val="auto"/>
                <w:kern w:val="2"/>
                <w:sz w:val="18"/>
                <w:szCs w:val="18"/>
                <w:u w:val="none"/>
                <w:lang w:val="en-US" w:eastAsia="zh-CN" w:bidi="ar"/>
              </w:rPr>
            </w:pPr>
          </w:p>
        </w:tc>
        <w:tc>
          <w:tcPr>
            <w:tcW w:w="1793" w:type="dxa"/>
            <w:gridSpan w:val="2"/>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20" w:lineRule="exact"/>
              <w:ind w:left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结构预测法：</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20" w:lineRule="exact"/>
              <w:ind w:left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建筑业</w:t>
            </w:r>
          </w:p>
        </w:tc>
        <w:tc>
          <w:tcPr>
            <w:tcW w:w="5376" w:type="dxa"/>
            <w:vAlign w:val="top"/>
          </w:tcPr>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2019年：建筑业GDP为6.5亿，崖州区、科技城处于快速建设阶段，固投将保持一定强度，参考三亚近5年建筑业GDP年均增速（5.6%）适当调整</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2025年：（低值）按三亚增速（5.6%）为9亿；（高值）增速上浮25%（7%）为10亿</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2035年：（低值）按三亚增速（5.6%）为15.5亿；（高值）增速上浮25%（7%）为19亿</w:t>
            </w:r>
          </w:p>
        </w:tc>
        <w:tc>
          <w:tcPr>
            <w:tcW w:w="968" w:type="dxa"/>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auto"/>
                <w:kern w:val="2"/>
                <w:sz w:val="18"/>
                <w:szCs w:val="18"/>
                <w:u w:val="none"/>
                <w:lang w:val="en-US" w:eastAsia="zh-CN" w:bidi="ar"/>
              </w:rPr>
            </w:pPr>
            <w:r>
              <w:rPr>
                <w:rFonts w:hint="eastAsia" w:ascii="楷体" w:hAnsi="楷体" w:eastAsia="楷体" w:cs="楷体"/>
                <w:b w:val="0"/>
                <w:bCs w:val="0"/>
                <w:i w:val="0"/>
                <w:color w:val="auto"/>
                <w:kern w:val="2"/>
                <w:sz w:val="18"/>
                <w:szCs w:val="18"/>
                <w:u w:val="none"/>
                <w:lang w:val="en-US" w:eastAsia="zh-CN" w:bidi="ar"/>
              </w:rPr>
              <w:t>GDP贡献</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auto"/>
                <w:kern w:val="2"/>
                <w:sz w:val="18"/>
                <w:szCs w:val="18"/>
                <w:u w:val="none"/>
                <w:lang w:val="en-US" w:eastAsia="zh-CN" w:bidi="ar"/>
              </w:rPr>
            </w:pPr>
            <w:r>
              <w:rPr>
                <w:rFonts w:hint="eastAsia" w:ascii="楷体" w:hAnsi="楷体" w:eastAsia="楷体" w:cs="楷体"/>
                <w:b w:val="0"/>
                <w:bCs w:val="0"/>
                <w:i w:val="0"/>
                <w:color w:val="auto"/>
                <w:kern w:val="2"/>
                <w:sz w:val="18"/>
                <w:szCs w:val="18"/>
                <w:u w:val="none"/>
                <w:lang w:val="en-US" w:eastAsia="zh-CN" w:bidi="ar"/>
              </w:rPr>
              <w:t>2025年：</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auto"/>
                <w:kern w:val="2"/>
                <w:sz w:val="18"/>
                <w:szCs w:val="18"/>
                <w:u w:val="none"/>
                <w:lang w:val="en-US" w:eastAsia="zh-CN" w:bidi="ar"/>
              </w:rPr>
            </w:pPr>
            <w:r>
              <w:rPr>
                <w:rFonts w:hint="eastAsia" w:ascii="楷体" w:hAnsi="楷体" w:eastAsia="楷体" w:cs="楷体"/>
                <w:b w:val="0"/>
                <w:bCs w:val="0"/>
                <w:i w:val="0"/>
                <w:color w:val="auto"/>
                <w:kern w:val="2"/>
                <w:sz w:val="18"/>
                <w:szCs w:val="18"/>
                <w:u w:val="none"/>
                <w:lang w:val="en-US" w:eastAsia="zh-CN" w:bidi="ar"/>
              </w:rPr>
              <w:t>9-10亿</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auto"/>
                <w:kern w:val="2"/>
                <w:sz w:val="18"/>
                <w:szCs w:val="18"/>
                <w:u w:val="none"/>
                <w:lang w:val="en-US" w:eastAsia="zh-CN" w:bidi="ar"/>
              </w:rPr>
            </w:pPr>
            <w:r>
              <w:rPr>
                <w:rFonts w:hint="eastAsia" w:ascii="楷体" w:hAnsi="楷体" w:eastAsia="楷体" w:cs="楷体"/>
                <w:b w:val="0"/>
                <w:bCs w:val="0"/>
                <w:i w:val="0"/>
                <w:color w:val="auto"/>
                <w:kern w:val="2"/>
                <w:sz w:val="18"/>
                <w:szCs w:val="18"/>
                <w:u w:val="none"/>
                <w:lang w:val="en-US" w:eastAsia="zh-CN" w:bidi="ar"/>
              </w:rPr>
              <w:t>2035年：</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auto"/>
                <w:kern w:val="2"/>
                <w:sz w:val="18"/>
                <w:szCs w:val="18"/>
                <w:u w:val="none"/>
                <w:lang w:val="en-US" w:eastAsia="zh-CN" w:bidi="ar"/>
              </w:rPr>
            </w:pPr>
            <w:r>
              <w:rPr>
                <w:rFonts w:hint="eastAsia" w:ascii="楷体" w:hAnsi="楷体" w:eastAsia="楷体" w:cs="楷体"/>
                <w:b w:val="0"/>
                <w:bCs w:val="0"/>
                <w:i w:val="0"/>
                <w:color w:val="auto"/>
                <w:kern w:val="2"/>
                <w:sz w:val="18"/>
                <w:szCs w:val="18"/>
                <w:u w:val="none"/>
                <w:lang w:val="en-US" w:eastAsia="zh-CN" w:bidi="ar"/>
              </w:rPr>
              <w:t>15.5-19亿</w:t>
            </w:r>
          </w:p>
        </w:tc>
      </w:tr>
    </w:tbl>
    <w:p>
      <w:pPr>
        <w:pStyle w:val="3"/>
        <w:bidi w:val="0"/>
        <w:rPr>
          <w:rFonts w:hint="default"/>
          <w:lang w:val="en-US" w:eastAsia="zh-CN"/>
        </w:rPr>
      </w:pPr>
      <w:bookmarkStart w:id="353" w:name="_Toc19771"/>
      <w:bookmarkStart w:id="354" w:name="_Toc26076"/>
      <w:bookmarkStart w:id="355" w:name="_Toc27864"/>
      <w:r>
        <w:rPr>
          <w:rFonts w:hint="eastAsia"/>
          <w:lang w:val="en-US" w:eastAsia="zh-CN"/>
        </w:rPr>
        <w:t>第五节  产业布局</w:t>
      </w:r>
      <w:bookmarkEnd w:id="353"/>
      <w:bookmarkEnd w:id="354"/>
      <w:bookmarkEnd w:id="355"/>
    </w:p>
    <w:p>
      <w:pPr>
        <w:bidi w:val="0"/>
        <w:rPr>
          <w:rFonts w:hint="eastAsia"/>
          <w:lang w:val="en-US" w:eastAsia="zh-CN"/>
        </w:rPr>
      </w:pPr>
      <w:r>
        <w:rPr>
          <w:rFonts w:hint="eastAsia"/>
          <w:lang w:val="en-US" w:eastAsia="zh-CN"/>
        </w:rPr>
        <w:t>崖州区打造形成“两核、多点”的第二产业功能布局。</w:t>
      </w:r>
    </w:p>
    <w:p>
      <w:pPr>
        <w:bidi w:val="0"/>
        <w:rPr>
          <w:rFonts w:hint="default"/>
          <w:lang w:val="en-US" w:eastAsia="zh-CN"/>
        </w:rPr>
      </w:pPr>
      <w:r>
        <w:rPr>
          <w:rFonts w:hint="eastAsia"/>
          <w:lang w:val="en-US" w:eastAsia="zh-CN"/>
        </w:rPr>
        <w:t>“两核”指三亚崖州果蔬综合批发市场和三亚崖州中心渔港，分别发展农产品加工业和水产品加工业，是全区加工制造业发展的两个核心区域。</w:t>
      </w:r>
    </w:p>
    <w:p>
      <w:pPr>
        <w:bidi w:val="0"/>
        <w:rPr>
          <w:rFonts w:hint="default"/>
          <w:lang w:val="en-US" w:eastAsia="zh-CN"/>
        </w:rPr>
      </w:pPr>
      <w:r>
        <w:rPr>
          <w:rFonts w:hint="eastAsia"/>
          <w:lang w:val="en-US" w:eastAsia="zh-CN"/>
        </w:rPr>
        <w:t>“多点”指分布在其他区域的加工制造业，以培育发展高温高盐高辐射型产业、中高端消费品制造、电子产品制造为主。</w:t>
      </w:r>
    </w:p>
    <w:p>
      <w:pPr>
        <w:keepNext w:val="0"/>
        <w:keepLines w:val="0"/>
        <w:pageBreakBefore w:val="0"/>
        <w:widowControl w:val="0"/>
        <w:kinsoku/>
        <w:wordWrap/>
        <w:overflowPunct/>
        <w:topLinePunct w:val="0"/>
        <w:autoSpaceDE/>
        <w:autoSpaceDN/>
        <w:bidi w:val="0"/>
        <w:adjustRightInd/>
        <w:snapToGrid/>
        <w:ind w:left="-160" w:leftChars="-50" w:firstLine="0" w:firstLineChars="0"/>
        <w:textAlignment w:val="auto"/>
        <w:rPr>
          <w:rFonts w:hint="eastAsia"/>
          <w:lang w:val="en-US" w:eastAsia="zh-CN"/>
        </w:rPr>
      </w:pPr>
      <w:r>
        <w:rPr>
          <w:rFonts w:hint="eastAsia"/>
          <w:lang w:val="en-US" w:eastAsia="zh-CN"/>
        </w:rPr>
        <w:drawing>
          <wp:inline distT="0" distB="0" distL="114300" distR="114300">
            <wp:extent cx="8503920" cy="5400040"/>
            <wp:effectExtent l="0" t="0" r="10160" b="11430"/>
            <wp:docPr id="6" name="图片 6" descr="制图ppt_页面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制图ppt_页面_08"/>
                    <pic:cNvPicPr>
                      <a:picLocks noChangeAspect="1"/>
                    </pic:cNvPicPr>
                  </pic:nvPicPr>
                  <pic:blipFill>
                    <a:blip r:embed="rId19"/>
                    <a:srcRect t="4406" b="4406"/>
                    <a:stretch>
                      <a:fillRect/>
                    </a:stretch>
                  </pic:blipFill>
                  <pic:spPr>
                    <a:xfrm rot="5400000">
                      <a:off x="0" y="0"/>
                      <a:ext cx="8503920" cy="5400040"/>
                    </a:xfrm>
                    <a:prstGeom prst="rect">
                      <a:avLst/>
                    </a:prstGeom>
                  </pic:spPr>
                </pic:pic>
              </a:graphicData>
            </a:graphic>
          </wp:inline>
        </w:drawing>
      </w:r>
    </w:p>
    <w:p>
      <w:pPr>
        <w:ind w:left="0" w:leftChars="0" w:firstLine="0" w:firstLineChars="0"/>
        <w:jc w:val="center"/>
        <w:rPr>
          <w:rFonts w:hint="eastAsia"/>
          <w:b w:val="0"/>
          <w:bCs w:val="0"/>
          <w:lang w:val="en-US" w:eastAsia="zh-CN"/>
        </w:rPr>
      </w:pPr>
      <w:r>
        <w:rPr>
          <w:rFonts w:hint="eastAsia" w:ascii="楷体" w:hAnsi="楷体" w:eastAsia="楷体" w:cs="楷体"/>
          <w:b w:val="0"/>
          <w:bCs w:val="0"/>
          <w:sz w:val="28"/>
          <w:szCs w:val="28"/>
          <w:lang w:val="en-US" w:eastAsia="zh-CN"/>
        </w:rPr>
        <w:t>图4  崖州区第二产业发展布局示意图</w:t>
      </w:r>
    </w:p>
    <w:p>
      <w:pPr>
        <w:bidi w:val="0"/>
        <w:rPr>
          <w:rFonts w:hint="eastAsia"/>
          <w:b w:val="0"/>
          <w:bCs w:val="0"/>
          <w:lang w:val="en-US" w:eastAsia="zh-CN"/>
        </w:rPr>
        <w:sectPr>
          <w:footerReference r:id="rId8" w:type="default"/>
          <w:footnotePr>
            <w:numFmt w:val="decimalEnclosedCircleChinese"/>
            <w:numRestart w:val="eachPage"/>
          </w:footnotePr>
          <w:pgSz w:w="11906" w:h="16838"/>
          <w:pgMar w:top="1440" w:right="1800" w:bottom="1440" w:left="1800" w:header="851" w:footer="992" w:gutter="0"/>
          <w:cols w:space="425" w:num="1"/>
          <w:docGrid w:type="lines" w:linePitch="312" w:charSpace="0"/>
        </w:sectPr>
      </w:pPr>
    </w:p>
    <w:p>
      <w:pPr>
        <w:pStyle w:val="3"/>
        <w:bidi w:val="0"/>
        <w:rPr>
          <w:rFonts w:hint="eastAsia"/>
          <w:lang w:val="en-US" w:eastAsia="zh-CN"/>
        </w:rPr>
      </w:pPr>
      <w:bookmarkStart w:id="356" w:name="_Toc4091"/>
      <w:bookmarkStart w:id="357" w:name="_Toc15584"/>
      <w:bookmarkStart w:id="358" w:name="_Toc7534"/>
      <w:r>
        <w:rPr>
          <w:rFonts w:hint="eastAsia"/>
          <w:lang w:val="en-US" w:eastAsia="zh-CN"/>
        </w:rPr>
        <w:t>第六节  项目策划</w:t>
      </w:r>
      <w:bookmarkEnd w:id="356"/>
      <w:bookmarkEnd w:id="357"/>
      <w:bookmarkEnd w:id="358"/>
    </w:p>
    <w:p>
      <w:pPr>
        <w:bidi w:val="0"/>
        <w:spacing w:line="240" w:lineRule="auto"/>
        <w:ind w:firstLine="0" w:firstLineChars="0"/>
        <w:jc w:val="center"/>
        <w:rPr>
          <w:rFonts w:hint="eastAsia" w:ascii="楷体" w:hAnsi="楷体" w:eastAsia="楷体" w:cs="楷体"/>
          <w:b w:val="0"/>
          <w:bCs w:val="0"/>
          <w:sz w:val="28"/>
          <w:szCs w:val="28"/>
          <w:lang w:val="en-US" w:eastAsia="zh-CN"/>
        </w:rPr>
      </w:pPr>
      <w:r>
        <w:rPr>
          <w:rFonts w:hint="eastAsia" w:ascii="楷体" w:hAnsi="楷体" w:eastAsia="楷体" w:cs="楷体"/>
          <w:b w:val="0"/>
          <w:bCs w:val="0"/>
          <w:sz w:val="28"/>
          <w:szCs w:val="28"/>
          <w:lang w:val="en-US" w:eastAsia="zh-CN"/>
        </w:rPr>
        <w:t>表23  第二产业重点项目策划</w:t>
      </w:r>
    </w:p>
    <w:tbl>
      <w:tblPr>
        <w:tblStyle w:val="18"/>
        <w:tblW w:w="5000" w:type="pct"/>
        <w:jc w:val="center"/>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1"/>
        <w:gridCol w:w="739"/>
        <w:gridCol w:w="1436"/>
        <w:gridCol w:w="7180"/>
        <w:gridCol w:w="1436"/>
        <w:gridCol w:w="1436"/>
        <w:gridCol w:w="1436"/>
      </w:tblGrid>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blHeader/>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iCs w:val="0"/>
                <w:color w:val="000000"/>
                <w:kern w:val="2"/>
                <w:sz w:val="24"/>
                <w:szCs w:val="24"/>
                <w:u w:val="none"/>
                <w:lang w:val="en-US" w:eastAsia="zh-CN" w:bidi="ar"/>
              </w:rPr>
            </w:pPr>
          </w:p>
        </w:tc>
        <w:tc>
          <w:tcPr>
            <w:tcW w:w="739"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类型</w:t>
            </w:r>
          </w:p>
        </w:tc>
        <w:tc>
          <w:tcPr>
            <w:tcW w:w="1436"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项目名称</w:t>
            </w:r>
          </w:p>
        </w:tc>
        <w:tc>
          <w:tcPr>
            <w:tcW w:w="718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项目内容</w:t>
            </w:r>
          </w:p>
        </w:tc>
        <w:tc>
          <w:tcPr>
            <w:tcW w:w="1436"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投资主体</w:t>
            </w:r>
          </w:p>
        </w:tc>
        <w:tc>
          <w:tcPr>
            <w:tcW w:w="1436"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选址建议</w:t>
            </w:r>
          </w:p>
        </w:tc>
        <w:tc>
          <w:tcPr>
            <w:tcW w:w="1436"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启动时序</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w:t>
            </w:r>
          </w:p>
        </w:tc>
        <w:tc>
          <w:tcPr>
            <w:tcW w:w="739"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农产品加工业</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崖州农产品加工产业园</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在新建果蔬批发市场东侧启动建设崖州农产品加工产业园，起步区占地100亩，发展热带水果、蔬菜加工产业，起步区引入5-8家中小型农产品加工企业，园区建设投资2500万，厂房设备投资1亿。</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城投公司、企业</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新建果蔬批发市场以东、坝头村以北</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（1-3年）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2</w:t>
            </w:r>
          </w:p>
        </w:tc>
        <w:tc>
          <w:tcPr>
            <w:tcW w:w="739"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牲畜屠宰加工厂</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现代化生猪、肉牛、羊等屠宰厂，肉食品初加工厂，冷链仓储物流基地。</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企业</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符合规划和环保区域</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（1-3年）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3</w:t>
            </w:r>
          </w:p>
        </w:tc>
        <w:tc>
          <w:tcPr>
            <w:tcW w:w="739"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莲雾花茶莲雾酵素工厂</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建设集种植、生产、加工、科研、销售、观光为一体的综合性莲雾创业产业示范园区，带动崖州农业向精品高效农业转型。</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南鹿公司</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梅山</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（1-3年）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4</w:t>
            </w:r>
          </w:p>
        </w:tc>
        <w:tc>
          <w:tcPr>
            <w:tcW w:w="739"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芒果采后保鲜处理</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建设芒果清洗、恒温热处理灭菌、分级、分选、标准化包装一体的自动化保鲜分选生产线，延长芒果运输、贮藏、销售期。</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企业</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新建果蔬批发市场附近</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（1-3年）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5</w:t>
            </w:r>
          </w:p>
        </w:tc>
        <w:tc>
          <w:tcPr>
            <w:tcW w:w="739"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冻干果蔬加工</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发展冻干芒果、香蕉、蜜瓜、菠萝蜜、豇豆、秋葵等冻干果蔬加工。</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企业</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新建果蔬批发市场附近</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（1-3年）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6</w:t>
            </w:r>
          </w:p>
        </w:tc>
        <w:tc>
          <w:tcPr>
            <w:tcW w:w="739"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果蔬汁加工</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发展芒果原浆、浓缩汁、果汁饮料、芒果酒、豇豆汁加工，生产饮料和综合果蔬汁。</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企业</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新建果蔬批发市场附近</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（1-3年）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7</w:t>
            </w:r>
          </w:p>
        </w:tc>
        <w:tc>
          <w:tcPr>
            <w:tcW w:w="739"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果蔬粉加工</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发展芒果、蜜瓜等果粉加工，发展豇豆超微粉加工，用于食品添加和辅料。</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企业</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新建果蔬批发市场附近</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（1-3年）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8</w:t>
            </w:r>
          </w:p>
        </w:tc>
        <w:tc>
          <w:tcPr>
            <w:tcW w:w="739"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果蔬腌晒加工</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利用气候优势，发展芒果、菠萝蜜等热带水果果脯加工，发展豇豆腌制加工和豇豆晒制加工。</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企业</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新建果蔬批发市场附近</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（1-3年）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9</w:t>
            </w:r>
          </w:p>
        </w:tc>
        <w:tc>
          <w:tcPr>
            <w:tcW w:w="739"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蔬菜保鲜速冻即食加工</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发展净菜保鲜加工、速冻加工、半成品食材、即食食材加工。</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企业</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新建果蔬批发市场附近</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（1-3年）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10</w:t>
            </w:r>
          </w:p>
        </w:tc>
        <w:tc>
          <w:tcPr>
            <w:tcW w:w="739"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水产品加工业</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海产品初级加工</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发展保税型分拣、清洗、处理、冷冻等海产品初级加工，建设水产品原料粗加工车间、水产品深加工车间、水产调理品加工车间。</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企业</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崖州中心渔港后方</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（1-3年）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11</w:t>
            </w:r>
          </w:p>
        </w:tc>
        <w:tc>
          <w:tcPr>
            <w:tcW w:w="739"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休闲消费类海产品加工</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利用捕捞渔货和进口原材料，发展烘烤、罐头、辅食、半加工食材、即食食品、休闲食品等直接消费类海产品深加工。</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企业</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崖州中心渔港后方</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（1-3年）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12</w:t>
            </w:r>
          </w:p>
        </w:tc>
        <w:tc>
          <w:tcPr>
            <w:tcW w:w="739"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海珍品精深加工</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default" w:ascii="楷体" w:hAnsi="楷体" w:eastAsia="楷体" w:cs="楷体"/>
                <w:b w:val="0"/>
                <w:bCs w:val="0"/>
                <w:i w:val="0"/>
                <w:iCs w:val="0"/>
                <w:color w:val="000000"/>
                <w:kern w:val="2"/>
                <w:sz w:val="24"/>
                <w:szCs w:val="24"/>
                <w:u w:val="none"/>
                <w:lang w:val="en-US" w:eastAsia="zh-CN" w:bidi="ar"/>
              </w:rPr>
              <w:t>发展一二线品牌</w:t>
            </w:r>
            <w:r>
              <w:rPr>
                <w:rFonts w:hint="eastAsia" w:ascii="楷体" w:hAnsi="楷体" w:eastAsia="楷体" w:cs="楷体"/>
                <w:b w:val="0"/>
                <w:bCs w:val="0"/>
                <w:i w:val="0"/>
                <w:iCs w:val="0"/>
                <w:color w:val="000000"/>
                <w:kern w:val="2"/>
                <w:sz w:val="24"/>
                <w:szCs w:val="24"/>
                <w:u w:val="none"/>
                <w:lang w:val="en-US" w:eastAsia="zh-CN" w:bidi="ar"/>
              </w:rPr>
              <w:t>企业，发展</w:t>
            </w:r>
            <w:r>
              <w:rPr>
                <w:rFonts w:hint="default" w:ascii="楷体" w:hAnsi="楷体" w:eastAsia="楷体" w:cs="楷体"/>
                <w:b w:val="0"/>
                <w:bCs w:val="0"/>
                <w:i w:val="0"/>
                <w:iCs w:val="0"/>
                <w:color w:val="000000"/>
                <w:kern w:val="2"/>
                <w:sz w:val="24"/>
                <w:szCs w:val="24"/>
                <w:u w:val="none"/>
                <w:lang w:val="en-US" w:eastAsia="zh-CN" w:bidi="ar"/>
              </w:rPr>
              <w:t>参鲍翅窝等高端海珍品加工</w:t>
            </w:r>
            <w:r>
              <w:rPr>
                <w:rFonts w:hint="eastAsia" w:ascii="楷体" w:hAnsi="楷体" w:eastAsia="楷体" w:cs="楷体"/>
                <w:b w:val="0"/>
                <w:bCs w:val="0"/>
                <w:i w:val="0"/>
                <w:iCs w:val="0"/>
                <w:color w:val="000000"/>
                <w:kern w:val="2"/>
                <w:sz w:val="24"/>
                <w:szCs w:val="24"/>
                <w:u w:val="none"/>
                <w:lang w:val="en-US" w:eastAsia="zh-CN" w:bidi="ar"/>
              </w:rPr>
              <w:t>。</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企业</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崖州中心渔港后方</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（1-3年）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13</w:t>
            </w:r>
          </w:p>
        </w:tc>
        <w:tc>
          <w:tcPr>
            <w:tcW w:w="739"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保健功能性海产品加工</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导入海洋保健品、海洋生物提炼产品生产企业，开发生产保健功能性海产品，开发海洋保健品类旅游产品，提高产品附加值。</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企业</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崖州中心渔港后方</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近中期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（1-5年）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14</w:t>
            </w:r>
          </w:p>
        </w:tc>
        <w:tc>
          <w:tcPr>
            <w:tcW w:w="739"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南极磷虾加工</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利用进口南极磷虾，建设原料解冻车间、虾仁原料加工车间、虾仁生食品加工车间、虾仁馅料面食品加工车间、虾休闲食品加工车间、功能饲料加工车间、生物医药加工车间等。</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企业</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崖州中心渔港后方</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（1-3年）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15</w:t>
            </w:r>
          </w:p>
        </w:tc>
        <w:tc>
          <w:tcPr>
            <w:tcW w:w="739"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宠物饲料和宠物罐头</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利用进口原材料，发展以鱼粉为主成分的宠物饲料、以鱼为主的宠物罐头。</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企业</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崖州中心渔港后方</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（1-3年）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16</w:t>
            </w:r>
          </w:p>
        </w:tc>
        <w:tc>
          <w:tcPr>
            <w:tcW w:w="739"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绿色高端制造业</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高温发酵类食品产业</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利用常年如夏、降雨量不大的气候条件，引入酿酒、酵母、发酵调味品行业企业，建设发酵粮食种植基地</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企业</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区内适宜区域</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（1-3年）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17</w:t>
            </w:r>
          </w:p>
        </w:tc>
        <w:tc>
          <w:tcPr>
            <w:tcW w:w="739"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高温高盐高辐射测试</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发挥崖州湾科技城科研机构和人才密集优势，引入国内外汽车、高铁、电子设备、海工器材研制企业，开展高温高盐高辐射下的产品测试、认证、研发行业。</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企业</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区内适宜区域</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（1-3年）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18</w:t>
            </w:r>
          </w:p>
        </w:tc>
        <w:tc>
          <w:tcPr>
            <w:tcW w:w="739"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体育运动装备制造</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发展两头在外或供应岛内免税销售的高端体育运动装备加工项目，利用自贸港政策向大陆销售，如水上运动装备、飞行运动装备、智能运动装备等。</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企业</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区内适宜区域</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（1-3年）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19</w:t>
            </w:r>
          </w:p>
        </w:tc>
        <w:tc>
          <w:tcPr>
            <w:tcW w:w="739"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中高端日用品组装制造项目</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发展两头在外或供应岛内免税销售的箱包、工艺品、保健器材、玩具等中高端消费品制造项目。</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企业</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区内适宜区域</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（1-3年）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20</w:t>
            </w:r>
          </w:p>
        </w:tc>
        <w:tc>
          <w:tcPr>
            <w:tcW w:w="739"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电子产品制造项目</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发展两头在外电子产品制造，如半导体芯片、物联网传感器、5G设备、穿戴设备、电子消费品、汽车电子、卫星定位传感器、海洋传感器、显示器材、VR设备等。</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企业</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区内适宜区域</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近中期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（1-5年）</w:t>
            </w:r>
          </w:p>
        </w:tc>
      </w:tr>
    </w:tbl>
    <w:p>
      <w:pPr>
        <w:pStyle w:val="3"/>
        <w:bidi w:val="0"/>
        <w:rPr>
          <w:rFonts w:hint="default"/>
          <w:lang w:val="en-US" w:eastAsia="zh-CN"/>
        </w:rPr>
      </w:pPr>
      <w:bookmarkStart w:id="359" w:name="_Toc23158"/>
      <w:bookmarkStart w:id="360" w:name="_Toc24766"/>
      <w:bookmarkStart w:id="361" w:name="_Toc9451"/>
      <w:r>
        <w:rPr>
          <w:rFonts w:hint="eastAsia"/>
          <w:lang w:val="en-US" w:eastAsia="zh-CN"/>
        </w:rPr>
        <w:t>第七节  招商建议</w:t>
      </w:r>
      <w:bookmarkEnd w:id="359"/>
      <w:bookmarkEnd w:id="360"/>
      <w:bookmarkEnd w:id="361"/>
    </w:p>
    <w:p>
      <w:pPr>
        <w:bidi w:val="0"/>
        <w:spacing w:line="240" w:lineRule="auto"/>
        <w:ind w:firstLine="0" w:firstLineChars="0"/>
        <w:jc w:val="center"/>
        <w:rPr>
          <w:rFonts w:hint="eastAsia"/>
          <w:b w:val="0"/>
          <w:bCs w:val="0"/>
          <w:lang w:val="en-US" w:eastAsia="zh-CN"/>
        </w:rPr>
      </w:pPr>
      <w:r>
        <w:rPr>
          <w:rFonts w:hint="eastAsia" w:ascii="楷体" w:hAnsi="楷体" w:eastAsia="楷体" w:cs="楷体"/>
          <w:b w:val="0"/>
          <w:bCs w:val="0"/>
          <w:sz w:val="28"/>
          <w:szCs w:val="28"/>
          <w:lang w:val="en-US" w:eastAsia="zh-CN"/>
        </w:rPr>
        <w:t>表24  第二产业招商建议</w:t>
      </w:r>
    </w:p>
    <w:tbl>
      <w:tblPr>
        <w:tblStyle w:val="18"/>
        <w:tblW w:w="5000" w:type="pct"/>
        <w:jc w:val="center"/>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24"/>
        <w:gridCol w:w="2024"/>
        <w:gridCol w:w="2024"/>
        <w:gridCol w:w="8102"/>
      </w:tblGrid>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tblHeader/>
          <w:jc w:val="center"/>
        </w:trPr>
        <w:tc>
          <w:tcPr>
            <w:tcW w:w="202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领域方向</w:t>
            </w:r>
          </w:p>
        </w:tc>
        <w:tc>
          <w:tcPr>
            <w:tcW w:w="202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企业/机构</w:t>
            </w:r>
          </w:p>
        </w:tc>
        <w:tc>
          <w:tcPr>
            <w:tcW w:w="202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业务范围</w:t>
            </w:r>
          </w:p>
        </w:tc>
        <w:tc>
          <w:tcPr>
            <w:tcW w:w="8102"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简介</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水果精深加工</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佳沃集团</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水果种植、种苗繁育、果干、果汁、果酒、干果等休闲食品和饮品业务</w:t>
            </w: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中国最大的水果全产业链企业，联想控股下的现代农业板块公司，拥有规模化蓝莓和奇异果种植基地，具备种苗繁育中心、工程技术中心、分选加工中心、冷链物流平台和品牌营销网络，积极谋划进入热带水果领域。</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海洋保健品</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交大昂立</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保健食品</w:t>
            </w: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中国保健食品行业佼佼者，保健食品行业首家上市企业和“中国保健品十大最具公信力品牌”获得企业，在海洋保健品领域进行创新拓展。</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海洋保健品</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珍奥集团</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核酸类生物制品、食品、保健品、药品等研发、生产和销售</w:t>
            </w: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公司产业涵盖生物制药、生物制造、生物制品、生物环保、生物新生态、基因检测等板块，是国际化生物产业技术研发与转化平台。目前拥有多功能、多系列产品近300种，已拥有自主知识产品近100个。</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海洋保健品</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Country life乡村生活</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生物技术与制药，制造维生素、补品和运动营养产品</w:t>
            </w: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美国顶级营养素品牌，天然保健行业的领跑者，Country Life的鱼油系列产品物美价廉，国内消费者认可度高，口碑产品有鱼油、综合维生素、葡萄籽油。</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海洋保健品</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欧淬恩</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生物科技开发</w:t>
            </w: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公司为国伟医药集团旗下，鱼油十大品牌，具有高纯度深海鱼油提纯专利技术的高科技医药企业，主要产品是欧淬恩鱼油软胶囊。</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海洋保健品</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汤臣倍健</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研发、生产和销售保健食品、特殊膳食、医学配方食品</w:t>
            </w: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上市公司，创立于1995年，是中国膳食补充剂领导品牌和标杆企业，也是中国保健行业第一家3A信用等级企业，汤臣倍健有70%以上的原料进口自世界各国。</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海洋保健品</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健合集团</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致力优质维生素补充剂和婴幼儿营养与护理领域两大领域</w:t>
            </w: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港交所上市公司，集团旗下汇集四大高端品牌：高端婴幼儿营养与健康品牌Biostime合生元，澳大利亚销量领先的自然健康品牌Swisse，美国36年历史的有机食品品牌Healthy Times，以及法国高端婴幼儿护理用品品牌Dodie。</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海洋渔业综合经营</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蓬莱汇洋食品有限公司</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水产品速冻食品、罐头、水产制品等</w:t>
            </w: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公司隶属于山东汇洋集团，是集远洋捕捞、水产加工、海水养殖，即捕、产、销为一体的综合性股份企业，拥有现代化水产品加工工厂18座，冷库8座。</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海洋渔业综合经营</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大连天宝绿色食品股份有限公司</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水产品加工、出口贸易</w:t>
            </w: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以出口为主的加工型企业，主营业务为以水产品加工出口为主的农副产品加工、销售，是全国农业产业化优秀龙头企业、全国农产品加工示范企业、全国农产品加工业出口示范企业。</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海洋渔业综合经营</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玛鲁哈日鲁株式会社</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水产品捕捞、加工、销售</w:t>
            </w: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日本知名的捕捞、加工、销售一体的大型海洋食品企业</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海洋渔业综合经营</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日本水产</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水产品捕捞、加工、销售</w:t>
            </w: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日本知名的水产食品加工、捕捞企业</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海洋渔业综合经营</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泰万盛冷冻食品公司</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高值鱼类加工、销售</w:t>
            </w: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总部设在泰国，世界最大的耐储存金枪鱼产品制造商，全球知名的大型优质海鲜供应商之一</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海洋水产和海珍品种苗繁育企业</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獐子岛集团</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集海珍品育苗、增养殖、加工、贸易于一体的综合性海洋食品企业</w:t>
            </w: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上市公司，中国农业第一个百元股，农业产业化国家重点龙头企业，以虾夷扇贝、海参、皱纹盘鲍、海胆、海螺等海珍品为主要产品，拥有国内唯一的国家级虾夷扇贝原良种场和国内一流的海参、鲍鱼等海珍品育苗基地，拥有中国最大的海胆和金枪鱼加工厂，年总加工能力超过2万吨。</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南极磷虾捕捞加工</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辽渔南极磷虾科技发展有限公司</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磷虾捕捞、磷虾食品、保健品、磷虾油</w:t>
            </w: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集成捕捞到精深加工全产业链，建立具有国际先进水平的南极磷虾油生产线装备体系，掌握南极磷虾快速分离与深加工关键技术、制备高纯度磷脂型EPA、DHA技术。</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宠物食品</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烟台中宠食品</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生产、加工宠物食品，销售宠物饲料及添加剂</w:t>
            </w: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上市公司，中外合资，中国最具规模、最专业化的高端宠物食品加工企业，拥有14间现代化宠物食品加工厂，16家子公司，产品出口五大洲，年销十亿袋，宠物零食领军企业。</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宠物食品</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好主人宠物食品</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开发、生产宠物食品、用品、保健品</w:t>
            </w: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中国大型集团通威集团旗下专业从事宠物食品研发、生产和销售的企业，在天猫、京东等电商平台均开辟旗舰店。</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宠物食品</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皇家宠物食品</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生产、加工、销售宠物食品</w:t>
            </w: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世界知名宠物食品品牌，1967年创立于法国，全球有15家工厂，于1995年进入中国，总部在上海，中国高端宠物食品市场第一品牌。</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宠物食品</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比瑞吉</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宠物食品、用品、医疗器械、兽药等</w:t>
            </w: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国内较早提出并规范天然粮原料标准的企业，从事全系列犬猫粮的研发、生产和销售，覆盖全国41个销售省区，60多个办事处，批发商100多家。</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宠物食品</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乖宝宠物食品</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宠物食品、宠物零食的加工及销售</w:t>
            </w: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中国有影响力的宠物食品出口企业，在美国、日本、荷兰、泰国成立多个子公司，产品出口欧美韩等33多个国家和地区。2013年受美国“抗生素”事件影响，已成为典型的出口转内销企业。</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珍珠养殖加工</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浙江山下湖珍珠集团</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珍珠养殖、加工、贸易、医药开发</w:t>
            </w: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国家八部委认定的目前珍珠行业唯一一家农业产业化国家重点龙头企业，可以与旅游业深度结合，开发珍珠种类旅游观光和旅游产品。</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发酵调味品</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海天味业</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发酵调味品生产、销售</w:t>
            </w: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国内调味品头部企业，上市公司，年营收170亿元、平均利润30%以上，把发酵工业与旅游业结合起来，推出发酵工业旅游路线。</w:t>
            </w:r>
          </w:p>
        </w:tc>
      </w:tr>
    </w:tbl>
    <w:p>
      <w:pPr>
        <w:keepNext w:val="0"/>
        <w:keepLines w:val="0"/>
        <w:pageBreakBefore w:val="0"/>
        <w:widowControl w:val="0"/>
        <w:kinsoku/>
        <w:wordWrap/>
        <w:overflowPunct/>
        <w:topLinePunct w:val="0"/>
        <w:autoSpaceDE/>
        <w:autoSpaceDN/>
        <w:bidi w:val="0"/>
        <w:adjustRightInd/>
        <w:snapToGrid/>
        <w:spacing w:line="240" w:lineRule="exact"/>
        <w:ind w:left="0" w:leftChars="0" w:firstLine="0" w:firstLineChars="0"/>
        <w:textAlignment w:val="auto"/>
        <w:rPr>
          <w:rFonts w:hint="eastAsia"/>
          <w:sz w:val="21"/>
          <w:szCs w:val="18"/>
          <w:lang w:val="en-US" w:eastAsia="zh-CN"/>
        </w:rPr>
      </w:pPr>
    </w:p>
    <w:p>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sz w:val="21"/>
          <w:szCs w:val="18"/>
          <w:lang w:val="en-US" w:eastAsia="zh-CN"/>
        </w:rPr>
        <w:sectPr>
          <w:footnotePr>
            <w:numFmt w:val="decimalEnclosedCircleChinese"/>
            <w:numRestart w:val="eachPage"/>
          </w:footnotePr>
          <w:pgSz w:w="16838" w:h="11906" w:orient="landscape"/>
          <w:pgMar w:top="1800" w:right="1440" w:bottom="1800" w:left="1440" w:header="851" w:footer="992" w:gutter="0"/>
          <w:cols w:space="425" w:num="1"/>
          <w:docGrid w:type="lines" w:linePitch="312" w:charSpace="0"/>
        </w:sect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pStyle w:val="2"/>
        <w:bidi w:val="0"/>
        <w:rPr>
          <w:rFonts w:hint="eastAsia"/>
          <w:lang w:val="en-US" w:eastAsia="zh-CN"/>
        </w:rPr>
      </w:pPr>
      <w:bookmarkStart w:id="362" w:name="_Toc28606"/>
      <w:bookmarkStart w:id="363" w:name="_Toc16322"/>
      <w:bookmarkStart w:id="364" w:name="_Toc20030"/>
      <w:r>
        <w:rPr>
          <w:rFonts w:hint="eastAsia"/>
          <w:lang w:val="en-US" w:eastAsia="zh-CN"/>
        </w:rPr>
        <w:t>第五章  第三产业</w:t>
      </w:r>
      <w:bookmarkEnd w:id="362"/>
      <w:bookmarkEnd w:id="363"/>
      <w:bookmarkEnd w:id="364"/>
    </w:p>
    <w:p>
      <w:pPr>
        <w:rPr>
          <w:rFonts w:hint="eastAsia"/>
          <w:lang w:val="en-US" w:eastAsia="zh-CN"/>
        </w:rPr>
      </w:pPr>
      <w:r>
        <w:rPr>
          <w:rFonts w:hint="eastAsia" w:ascii="仿宋_GB2312" w:eastAsia="仿宋_GB2312"/>
          <w:lang w:val="en-US" w:eastAsia="zh-CN"/>
        </w:rPr>
        <w:br w:type="page"/>
      </w:r>
    </w:p>
    <w:p>
      <w:pPr>
        <w:pStyle w:val="3"/>
        <w:bidi w:val="0"/>
        <w:rPr>
          <w:rFonts w:hint="eastAsia"/>
          <w:lang w:val="en-US" w:eastAsia="zh-CN"/>
        </w:rPr>
      </w:pPr>
      <w:bookmarkStart w:id="365" w:name="_Toc6602"/>
      <w:bookmarkStart w:id="366" w:name="_Toc9290"/>
      <w:bookmarkStart w:id="367" w:name="_Toc12285"/>
      <w:r>
        <w:rPr>
          <w:rFonts w:hint="eastAsia"/>
          <w:lang w:val="en-US" w:eastAsia="zh-CN"/>
        </w:rPr>
        <w:t>第一节  自贸港政策解读</w:t>
      </w:r>
      <w:bookmarkEnd w:id="365"/>
      <w:bookmarkEnd w:id="366"/>
      <w:bookmarkEnd w:id="367"/>
    </w:p>
    <w:p>
      <w:pPr>
        <w:pStyle w:val="4"/>
        <w:bidi w:val="0"/>
        <w:rPr>
          <w:rFonts w:hint="default"/>
          <w:lang w:val="en-US" w:eastAsia="zh-CN"/>
        </w:rPr>
      </w:pPr>
      <w:bookmarkStart w:id="368" w:name="_Toc29128"/>
      <w:bookmarkStart w:id="369" w:name="_Toc4260"/>
      <w:bookmarkStart w:id="370" w:name="_Toc11120"/>
      <w:r>
        <w:rPr>
          <w:rFonts w:hint="eastAsia"/>
          <w:lang w:val="en-US" w:eastAsia="zh-CN"/>
        </w:rPr>
        <w:t>一、自贸港第三产业政策解读</w:t>
      </w:r>
      <w:bookmarkEnd w:id="368"/>
      <w:bookmarkEnd w:id="369"/>
      <w:bookmarkEnd w:id="370"/>
    </w:p>
    <w:p>
      <w:pPr>
        <w:pStyle w:val="5"/>
        <w:numPr>
          <w:ilvl w:val="0"/>
          <w:numId w:val="37"/>
        </w:numPr>
        <w:bidi w:val="0"/>
        <w:rPr>
          <w:rFonts w:hint="default"/>
          <w:lang w:val="en-US" w:eastAsia="zh-CN"/>
        </w:rPr>
      </w:pPr>
      <w:bookmarkStart w:id="371" w:name="_Toc3893"/>
      <w:bookmarkStart w:id="372" w:name="_Toc7858"/>
      <w:bookmarkStart w:id="373" w:name="_Toc2393"/>
      <w:r>
        <w:rPr>
          <w:rFonts w:hint="eastAsia"/>
          <w:lang w:val="en-US" w:eastAsia="zh-CN"/>
        </w:rPr>
        <w:t>加快服务业对外开放</w:t>
      </w:r>
      <w:bookmarkEnd w:id="371"/>
      <w:bookmarkEnd w:id="372"/>
      <w:bookmarkEnd w:id="373"/>
    </w:p>
    <w:p>
      <w:pPr>
        <w:rPr>
          <w:rFonts w:hint="eastAsia" w:ascii="仿宋_GB2312" w:eastAsia="仿宋_GB2312"/>
          <w:lang w:val="en-US" w:eastAsia="zh-CN"/>
        </w:rPr>
      </w:pPr>
      <w:r>
        <w:rPr>
          <w:rFonts w:hint="eastAsia" w:ascii="仿宋_GB2312" w:eastAsia="仿宋_GB2312"/>
          <w:lang w:val="en-US" w:eastAsia="zh-CN"/>
        </w:rPr>
        <w:t>用好“一线”放开政策，争取在崖州中心渔港设立海关特殊监管区域，发展水产品进出口贸易、国际水产品保税仓储中转、水产品现货期货保税交割、跨境电商</w:t>
      </w:r>
      <w:r>
        <w:rPr>
          <w:rFonts w:hint="eastAsia"/>
          <w:lang w:val="en-US" w:eastAsia="zh-CN"/>
        </w:rPr>
        <w:t>、水产品进口分拨包装（B2C）、保税柴油。</w:t>
      </w:r>
    </w:p>
    <w:p>
      <w:pPr>
        <w:rPr>
          <w:rFonts w:hint="eastAsia"/>
          <w:lang w:val="en-US" w:eastAsia="zh-CN"/>
        </w:rPr>
      </w:pPr>
      <w:r>
        <w:rPr>
          <w:rFonts w:hint="eastAsia" w:ascii="仿宋_GB2312" w:eastAsia="仿宋_GB2312"/>
          <w:lang w:val="en-US" w:eastAsia="zh-CN"/>
        </w:rPr>
        <w:t>用好</w:t>
      </w:r>
      <w:r>
        <w:rPr>
          <w:rFonts w:hint="default"/>
          <w:lang w:val="en-US" w:eastAsia="zh-CN"/>
        </w:rPr>
        <w:t>全岛封关</w:t>
      </w:r>
      <w:r>
        <w:rPr>
          <w:rFonts w:hint="eastAsia" w:ascii="仿宋_GB2312" w:eastAsia="仿宋_GB2312"/>
          <w:lang w:val="en-US" w:eastAsia="zh-CN"/>
        </w:rPr>
        <w:t>和航空政策，</w:t>
      </w:r>
      <w:r>
        <w:rPr>
          <w:rFonts w:hint="eastAsia"/>
          <w:lang w:val="en-US" w:eastAsia="zh-CN"/>
        </w:rPr>
        <w:t>向温带地区国家出口热带水果和特色瓜菜。</w:t>
      </w:r>
    </w:p>
    <w:p>
      <w:pPr>
        <w:rPr>
          <w:rFonts w:hint="default"/>
          <w:lang w:val="en-US" w:eastAsia="zh-CN"/>
        </w:rPr>
      </w:pPr>
      <w:r>
        <w:rPr>
          <w:rFonts w:hint="eastAsia" w:ascii="仿宋_GB2312" w:eastAsia="仿宋_GB2312"/>
          <w:lang w:val="en-US" w:eastAsia="zh-CN"/>
        </w:rPr>
        <w:t>用好</w:t>
      </w:r>
      <w:r>
        <w:rPr>
          <w:rFonts w:hint="default"/>
          <w:lang w:val="en-US" w:eastAsia="zh-CN"/>
        </w:rPr>
        <w:t>离岛免税购物</w:t>
      </w:r>
      <w:r>
        <w:rPr>
          <w:rFonts w:hint="eastAsia" w:ascii="仿宋_GB2312" w:eastAsia="仿宋_GB2312"/>
          <w:lang w:val="en-US" w:eastAsia="zh-CN"/>
        </w:rPr>
        <w:t>政策，发展</w:t>
      </w:r>
      <w:r>
        <w:rPr>
          <w:rFonts w:hint="default"/>
          <w:lang w:val="en-US" w:eastAsia="zh-CN"/>
        </w:rPr>
        <w:t>玩具、游戏机</w:t>
      </w:r>
      <w:r>
        <w:rPr>
          <w:rFonts w:hint="eastAsia" w:ascii="仿宋_GB2312" w:eastAsia="仿宋_GB2312"/>
          <w:lang w:val="en-US" w:eastAsia="zh-CN"/>
        </w:rPr>
        <w:t>及</w:t>
      </w:r>
      <w:r>
        <w:rPr>
          <w:rFonts w:hint="default"/>
          <w:lang w:val="en-US" w:eastAsia="zh-CN"/>
        </w:rPr>
        <w:t>娱乐设备、主题公园周边、游戏动漫周边免税购物</w:t>
      </w:r>
      <w:r>
        <w:rPr>
          <w:rFonts w:hint="eastAsia" w:ascii="仿宋_GB2312" w:eastAsia="仿宋_GB2312"/>
          <w:lang w:val="en-US" w:eastAsia="zh-CN"/>
        </w:rPr>
        <w:t>。</w:t>
      </w:r>
    </w:p>
    <w:p>
      <w:pPr>
        <w:pStyle w:val="5"/>
        <w:numPr>
          <w:ilvl w:val="0"/>
          <w:numId w:val="37"/>
        </w:numPr>
        <w:bidi w:val="0"/>
        <w:rPr>
          <w:rFonts w:hint="default"/>
          <w:lang w:val="en-US" w:eastAsia="zh-CN"/>
        </w:rPr>
      </w:pPr>
      <w:bookmarkStart w:id="374" w:name="_Toc30969"/>
      <w:bookmarkStart w:id="375" w:name="_Toc22630"/>
      <w:bookmarkStart w:id="376" w:name="_Toc15927"/>
      <w:r>
        <w:rPr>
          <w:rFonts w:hint="eastAsia"/>
          <w:lang w:val="en-US" w:eastAsia="zh-CN"/>
        </w:rPr>
        <w:t>帮助服务业企业获取境外低成本资金</w:t>
      </w:r>
      <w:bookmarkEnd w:id="374"/>
      <w:bookmarkEnd w:id="375"/>
      <w:bookmarkEnd w:id="376"/>
    </w:p>
    <w:p>
      <w:pPr>
        <w:rPr>
          <w:rFonts w:hint="default"/>
          <w:lang w:val="en-US" w:eastAsia="zh-CN"/>
        </w:rPr>
      </w:pPr>
      <w:r>
        <w:rPr>
          <w:rFonts w:hint="eastAsia" w:ascii="仿宋_GB2312" w:eastAsia="仿宋_GB2312"/>
          <w:lang w:val="en-US" w:eastAsia="zh-CN"/>
        </w:rPr>
        <w:t>全球流动性充裕，境外资金成本低，主题乐园等重资本项目</w:t>
      </w:r>
      <w:r>
        <w:rPr>
          <w:rFonts w:hint="eastAsia"/>
          <w:lang w:val="en-US" w:eastAsia="zh-CN"/>
        </w:rPr>
        <w:t>投资</w:t>
      </w:r>
      <w:r>
        <w:rPr>
          <w:rFonts w:hint="eastAsia" w:ascii="仿宋_GB2312" w:eastAsia="仿宋_GB2312"/>
          <w:lang w:val="en-US" w:eastAsia="zh-CN"/>
        </w:rPr>
        <w:t>企业可在境外融资借债。优质旅游资产可以开展证券化试点</w:t>
      </w:r>
      <w:r>
        <w:rPr>
          <w:rFonts w:hint="eastAsia"/>
          <w:lang w:val="en-US" w:eastAsia="zh-CN"/>
        </w:rPr>
        <w:t>。</w:t>
      </w:r>
    </w:p>
    <w:p>
      <w:pPr>
        <w:pStyle w:val="5"/>
        <w:numPr>
          <w:ilvl w:val="0"/>
          <w:numId w:val="37"/>
        </w:numPr>
        <w:bidi w:val="0"/>
        <w:rPr>
          <w:rFonts w:hint="default"/>
          <w:lang w:val="en-US" w:eastAsia="zh-CN"/>
        </w:rPr>
      </w:pPr>
      <w:bookmarkStart w:id="377" w:name="_Toc31202"/>
      <w:bookmarkStart w:id="378" w:name="_Toc30245"/>
      <w:bookmarkStart w:id="379" w:name="_Toc3230"/>
      <w:r>
        <w:rPr>
          <w:rFonts w:hint="eastAsia"/>
          <w:lang w:val="en-US" w:eastAsia="zh-CN"/>
        </w:rPr>
        <w:t>吸引岛外游客、企业和人才进入</w:t>
      </w:r>
      <w:bookmarkEnd w:id="377"/>
      <w:bookmarkEnd w:id="378"/>
      <w:bookmarkEnd w:id="379"/>
    </w:p>
    <w:p>
      <w:pPr>
        <w:rPr>
          <w:rFonts w:hint="default"/>
          <w:lang w:val="en-US" w:eastAsia="zh-CN"/>
        </w:rPr>
      </w:pPr>
      <w:r>
        <w:rPr>
          <w:rFonts w:hint="eastAsia" w:ascii="仿宋_GB2312" w:eastAsia="仿宋_GB2312"/>
          <w:lang w:val="en-US" w:eastAsia="zh-CN"/>
        </w:rPr>
        <w:t>更加便利的免签入境措施</w:t>
      </w:r>
      <w:r>
        <w:rPr>
          <w:rFonts w:hint="eastAsia"/>
          <w:lang w:val="en-US" w:eastAsia="zh-CN"/>
        </w:rPr>
        <w:t>可以吸引</w:t>
      </w:r>
      <w:r>
        <w:rPr>
          <w:rFonts w:hint="eastAsia" w:ascii="仿宋_GB2312" w:eastAsia="仿宋_GB2312"/>
          <w:lang w:val="en-US" w:eastAsia="zh-CN"/>
        </w:rPr>
        <w:t>外国人</w:t>
      </w:r>
      <w:r>
        <w:rPr>
          <w:rFonts w:hint="eastAsia"/>
          <w:lang w:val="en-US" w:eastAsia="zh-CN"/>
        </w:rPr>
        <w:t>来崖州</w:t>
      </w:r>
      <w:r>
        <w:rPr>
          <w:rFonts w:hint="eastAsia" w:ascii="仿宋_GB2312" w:eastAsia="仿宋_GB2312"/>
          <w:lang w:val="en-US" w:eastAsia="zh-CN"/>
        </w:rPr>
        <w:t>参与海钓赛事、沙滩运动、主题乐园旅游、农渔产品贸易等活动</w:t>
      </w:r>
      <w:r>
        <w:rPr>
          <w:rFonts w:hint="eastAsia"/>
          <w:lang w:val="en-US" w:eastAsia="zh-CN"/>
        </w:rPr>
        <w:t>。</w:t>
      </w:r>
      <w:r>
        <w:rPr>
          <w:rFonts w:hint="eastAsia" w:ascii="仿宋_GB2312" w:eastAsia="仿宋_GB2312"/>
          <w:lang w:val="en-US" w:eastAsia="zh-CN"/>
        </w:rPr>
        <w:t>执行较低的</w:t>
      </w:r>
      <w:r>
        <w:rPr>
          <w:rFonts w:hint="default"/>
          <w:lang w:val="en-US" w:eastAsia="zh-CN"/>
        </w:rPr>
        <w:t>企业所得税</w:t>
      </w:r>
      <w:r>
        <w:rPr>
          <w:rFonts w:hint="eastAsia" w:ascii="仿宋_GB2312" w:eastAsia="仿宋_GB2312"/>
          <w:lang w:val="en-US" w:eastAsia="zh-CN"/>
        </w:rPr>
        <w:t>和</w:t>
      </w:r>
      <w:r>
        <w:rPr>
          <w:rFonts w:hint="default"/>
          <w:lang w:val="en-US" w:eastAsia="zh-CN"/>
        </w:rPr>
        <w:t>个人所得税</w:t>
      </w:r>
      <w:r>
        <w:rPr>
          <w:rFonts w:hint="eastAsia" w:ascii="仿宋_GB2312" w:eastAsia="仿宋_GB2312"/>
          <w:lang w:val="en-US" w:eastAsia="zh-CN"/>
        </w:rPr>
        <w:t>政策，有利于崖州吸引岛外及全球</w:t>
      </w:r>
      <w:r>
        <w:rPr>
          <w:rFonts w:hint="eastAsia"/>
          <w:lang w:val="en-US" w:eastAsia="zh-CN"/>
        </w:rPr>
        <w:t>旅游、商贸、物流</w:t>
      </w:r>
      <w:r>
        <w:rPr>
          <w:rFonts w:hint="eastAsia" w:ascii="仿宋_GB2312" w:eastAsia="仿宋_GB2312"/>
          <w:lang w:val="en-US" w:eastAsia="zh-CN"/>
        </w:rPr>
        <w:t>企业和人才进入。</w:t>
      </w:r>
    </w:p>
    <w:tbl>
      <w:tblPr>
        <w:tblStyle w:val="18"/>
        <w:tblW w:w="5000" w:type="pct"/>
        <w:jc w:val="center"/>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Layout w:type="fixed"/>
        <w:tblCellMar>
          <w:top w:w="0" w:type="dxa"/>
          <w:left w:w="108" w:type="dxa"/>
          <w:bottom w:w="0" w:type="dxa"/>
          <w:right w:w="108" w:type="dxa"/>
        </w:tblCellMar>
      </w:tblPr>
      <w:tblGrid>
        <w:gridCol w:w="494"/>
        <w:gridCol w:w="4014"/>
        <w:gridCol w:w="4014"/>
      </w:tblGrid>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23" w:hRule="atLeast"/>
          <w:jc w:val="center"/>
        </w:trPr>
        <w:tc>
          <w:tcPr>
            <w:tcW w:w="8522" w:type="dxa"/>
            <w:gridSpan w:val="3"/>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楷体" w:hAnsi="楷体" w:eastAsia="楷体" w:cs="楷体"/>
                <w:b/>
                <w:bCs/>
                <w:sz w:val="28"/>
                <w:szCs w:val="28"/>
                <w:vertAlign w:val="baseline"/>
                <w:lang w:val="en-US"/>
              </w:rPr>
            </w:pPr>
            <w:r>
              <w:rPr>
                <w:rFonts w:hint="eastAsia" w:ascii="楷体" w:hAnsi="楷体" w:eastAsia="楷体" w:cs="楷体"/>
                <w:b/>
                <w:bCs/>
                <w:sz w:val="24"/>
                <w:szCs w:val="24"/>
                <w:lang w:val="en-US" w:eastAsia="zh-CN"/>
              </w:rPr>
              <w:t>专栏15  从《海南自由贸易港建设总体方案》“2025年前重点任务”中解读崖州第三产业发展机遇</w:t>
            </w:r>
          </w:p>
        </w:tc>
      </w:tr>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cantSplit/>
          <w:trHeight w:val="23" w:hRule="atLeast"/>
          <w:jc w:val="center"/>
        </w:trPr>
        <w:tc>
          <w:tcPr>
            <w:tcW w:w="494"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楷体" w:hAnsi="楷体" w:eastAsia="楷体" w:cs="楷体"/>
                <w:b w:val="0"/>
                <w:bCs w:val="0"/>
                <w:kern w:val="2"/>
                <w:sz w:val="24"/>
                <w:szCs w:val="24"/>
                <w:vertAlign w:val="baseline"/>
                <w:lang w:val="en-US" w:eastAsia="zh-CN" w:bidi="ar-SA"/>
              </w:rPr>
            </w:pPr>
          </w:p>
        </w:tc>
        <w:tc>
          <w:tcPr>
            <w:tcW w:w="4014"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楷体" w:hAnsi="楷体" w:eastAsia="楷体" w:cs="楷体"/>
                <w:b w:val="0"/>
                <w:bCs w:val="0"/>
                <w:kern w:val="2"/>
                <w:sz w:val="24"/>
                <w:szCs w:val="24"/>
                <w:vertAlign w:val="baseline"/>
                <w:lang w:val="en-US" w:eastAsia="zh-CN" w:bidi="ar-SA"/>
              </w:rPr>
            </w:pPr>
            <w:r>
              <w:rPr>
                <w:rFonts w:hint="eastAsia" w:ascii="楷体" w:hAnsi="楷体" w:eastAsia="楷体" w:cs="楷体"/>
                <w:b w:val="0"/>
                <w:bCs w:val="0"/>
                <w:kern w:val="2"/>
                <w:sz w:val="24"/>
                <w:szCs w:val="24"/>
                <w:vertAlign w:val="baseline"/>
                <w:lang w:val="en-US" w:eastAsia="zh-CN" w:bidi="ar-SA"/>
              </w:rPr>
              <w:t>原文节选</w:t>
            </w:r>
          </w:p>
        </w:tc>
        <w:tc>
          <w:tcPr>
            <w:tcW w:w="4014"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楷体" w:hAnsi="楷体" w:eastAsia="楷体" w:cs="楷体"/>
                <w:b w:val="0"/>
                <w:bCs w:val="0"/>
                <w:kern w:val="2"/>
                <w:sz w:val="24"/>
                <w:szCs w:val="24"/>
                <w:vertAlign w:val="baseline"/>
                <w:lang w:val="en-US" w:eastAsia="zh-CN" w:bidi="ar-SA"/>
              </w:rPr>
            </w:pPr>
            <w:r>
              <w:rPr>
                <w:rFonts w:hint="eastAsia" w:ascii="楷体" w:hAnsi="楷体" w:eastAsia="楷体" w:cs="楷体"/>
                <w:b w:val="0"/>
                <w:bCs w:val="0"/>
                <w:kern w:val="2"/>
                <w:sz w:val="24"/>
                <w:szCs w:val="24"/>
                <w:vertAlign w:val="baseline"/>
                <w:lang w:val="en-US" w:eastAsia="zh-CN" w:bidi="ar-SA"/>
              </w:rPr>
              <w:t>崖州机遇解读</w:t>
            </w:r>
          </w:p>
        </w:tc>
      </w:tr>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23" w:hRule="atLeast"/>
          <w:jc w:val="center"/>
        </w:trPr>
        <w:tc>
          <w:tcPr>
            <w:tcW w:w="494"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楷体" w:hAnsi="楷体" w:eastAsia="楷体" w:cs="楷体"/>
                <w:sz w:val="24"/>
                <w:szCs w:val="24"/>
                <w:vertAlign w:val="baseline"/>
                <w:lang w:val="en-US" w:eastAsia="zh-CN"/>
              </w:rPr>
            </w:pPr>
            <w:r>
              <w:rPr>
                <w:rFonts w:hint="eastAsia" w:ascii="楷体" w:hAnsi="楷体" w:eastAsia="楷体" w:cs="楷体"/>
                <w:sz w:val="24"/>
                <w:szCs w:val="24"/>
                <w:vertAlign w:val="baseline"/>
                <w:lang w:val="en-US" w:eastAsia="zh-CN"/>
              </w:rPr>
              <w:t>1</w:t>
            </w:r>
          </w:p>
        </w:tc>
        <w:tc>
          <w:tcPr>
            <w:tcW w:w="4014"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480" w:firstLineChars="200"/>
              <w:textAlignment w:val="auto"/>
              <w:rPr>
                <w:rFonts w:hint="default" w:ascii="楷体" w:hAnsi="楷体" w:eastAsia="楷体" w:cs="楷体"/>
                <w:kern w:val="2"/>
                <w:sz w:val="24"/>
                <w:szCs w:val="24"/>
                <w:vertAlign w:val="baseline"/>
                <w:lang w:val="en-US" w:eastAsia="zh-CN" w:bidi="ar"/>
              </w:rPr>
            </w:pPr>
            <w:r>
              <w:rPr>
                <w:rFonts w:hint="default" w:ascii="楷体" w:hAnsi="楷体" w:eastAsia="楷体" w:cs="楷体"/>
                <w:kern w:val="2"/>
                <w:sz w:val="24"/>
                <w:szCs w:val="24"/>
                <w:vertAlign w:val="baseline"/>
                <w:lang w:val="en-US" w:eastAsia="zh-CN" w:bidi="ar"/>
              </w:rPr>
              <w:t>加强海关特殊监管区域建设。具备条件区域率先“一线”放开、“二线”管住。根据需要增设海关特殊监管区域。</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480" w:firstLineChars="200"/>
              <w:textAlignment w:val="auto"/>
              <w:rPr>
                <w:rFonts w:hint="default" w:ascii="楷体" w:hAnsi="楷体" w:eastAsia="楷体" w:cs="楷体"/>
                <w:kern w:val="2"/>
                <w:sz w:val="24"/>
                <w:szCs w:val="24"/>
                <w:vertAlign w:val="baseline"/>
                <w:lang w:val="en-US" w:eastAsia="zh-CN" w:bidi="ar"/>
              </w:rPr>
            </w:pPr>
            <w:r>
              <w:rPr>
                <w:rFonts w:hint="default" w:ascii="楷体" w:hAnsi="楷体" w:eastAsia="楷体" w:cs="楷体"/>
                <w:kern w:val="2"/>
                <w:sz w:val="24"/>
                <w:szCs w:val="24"/>
                <w:vertAlign w:val="baseline"/>
                <w:lang w:val="en-US" w:eastAsia="zh-CN" w:bidi="ar"/>
              </w:rPr>
              <w:t>做好封关运作准备工作。出台进口征税商品目录，增加对外开放口岸，建设全岛封关运作的配套设施。</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480" w:firstLineChars="200"/>
              <w:textAlignment w:val="auto"/>
              <w:rPr>
                <w:rFonts w:hint="default" w:ascii="楷体" w:hAnsi="楷体" w:eastAsia="楷体" w:cs="楷体"/>
                <w:kern w:val="2"/>
                <w:sz w:val="24"/>
                <w:szCs w:val="24"/>
                <w:vertAlign w:val="baseline"/>
                <w:lang w:val="en-US" w:eastAsia="zh-CN" w:bidi="ar"/>
              </w:rPr>
            </w:pPr>
            <w:r>
              <w:rPr>
                <w:rFonts w:hint="default" w:ascii="楷体" w:hAnsi="楷体" w:eastAsia="楷体" w:cs="楷体"/>
                <w:kern w:val="2"/>
                <w:sz w:val="24"/>
                <w:szCs w:val="24"/>
                <w:vertAlign w:val="baseline"/>
                <w:lang w:val="en-US" w:eastAsia="zh-CN" w:bidi="ar"/>
              </w:rPr>
              <w:t>适时启动全岛封关运作。</w:t>
            </w:r>
          </w:p>
        </w:tc>
        <w:tc>
          <w:tcPr>
            <w:tcW w:w="4014"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480" w:firstLineChars="200"/>
              <w:textAlignment w:val="auto"/>
              <w:rPr>
                <w:rFonts w:hint="default" w:ascii="楷体" w:hAnsi="楷体" w:eastAsia="楷体" w:cs="楷体"/>
                <w:kern w:val="2"/>
                <w:sz w:val="24"/>
                <w:szCs w:val="24"/>
                <w:vertAlign w:val="baseline"/>
                <w:lang w:val="en-US" w:eastAsia="zh-CN" w:bidi="ar"/>
              </w:rPr>
            </w:pPr>
            <w:r>
              <w:rPr>
                <w:rFonts w:hint="eastAsia" w:ascii="楷体" w:hAnsi="楷体" w:eastAsia="楷体" w:cs="楷体"/>
                <w:kern w:val="2"/>
                <w:sz w:val="24"/>
                <w:szCs w:val="24"/>
                <w:vertAlign w:val="baseline"/>
                <w:lang w:val="en-US" w:eastAsia="zh-CN" w:bidi="ar"/>
              </w:rPr>
              <w:t>积极争取在崖州中心渔港设立海关特殊监管区域，发展海产品保税仓储、保税加工，发展渔船保税柴油业务。</w:t>
            </w:r>
          </w:p>
        </w:tc>
      </w:tr>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23" w:hRule="atLeast"/>
          <w:jc w:val="center"/>
        </w:trPr>
        <w:tc>
          <w:tcPr>
            <w:tcW w:w="494"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楷体" w:hAnsi="楷体" w:eastAsia="楷体" w:cs="楷体"/>
                <w:kern w:val="2"/>
                <w:sz w:val="24"/>
                <w:szCs w:val="24"/>
                <w:vertAlign w:val="baseline"/>
                <w:lang w:val="en-US" w:eastAsia="zh-CN" w:bidi="ar-SA"/>
              </w:rPr>
            </w:pPr>
            <w:r>
              <w:rPr>
                <w:rFonts w:hint="eastAsia" w:ascii="楷体" w:hAnsi="楷体" w:eastAsia="楷体" w:cs="楷体"/>
                <w:sz w:val="24"/>
                <w:szCs w:val="24"/>
                <w:vertAlign w:val="baseline"/>
                <w:lang w:val="en-US" w:eastAsia="zh-CN"/>
              </w:rPr>
              <w:t>2</w:t>
            </w:r>
          </w:p>
        </w:tc>
        <w:tc>
          <w:tcPr>
            <w:tcW w:w="4014"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480" w:firstLineChars="200"/>
              <w:textAlignment w:val="auto"/>
              <w:rPr>
                <w:rFonts w:hint="default" w:ascii="楷体" w:hAnsi="楷体" w:eastAsia="楷体" w:cs="楷体"/>
                <w:kern w:val="2"/>
                <w:sz w:val="24"/>
                <w:szCs w:val="24"/>
                <w:vertAlign w:val="baseline"/>
                <w:lang w:val="en-US" w:eastAsia="zh-CN" w:bidi="ar"/>
              </w:rPr>
            </w:pPr>
            <w:r>
              <w:rPr>
                <w:rFonts w:hint="default" w:ascii="楷体" w:hAnsi="楷体" w:eastAsia="楷体" w:cs="楷体"/>
                <w:kern w:val="2"/>
                <w:sz w:val="24"/>
                <w:szCs w:val="24"/>
                <w:vertAlign w:val="baseline"/>
                <w:lang w:val="en-US" w:eastAsia="zh-CN" w:bidi="ar"/>
              </w:rPr>
              <w:t>实行部分进口商品零关税政策。对岛内进口用于交通运输、旅游业的船舶及游艇实行“零关税”。</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480" w:firstLineChars="200"/>
              <w:textAlignment w:val="auto"/>
              <w:rPr>
                <w:rFonts w:hint="default" w:ascii="楷体" w:hAnsi="楷体" w:eastAsia="楷体" w:cs="楷体"/>
                <w:kern w:val="2"/>
                <w:sz w:val="24"/>
                <w:szCs w:val="24"/>
                <w:vertAlign w:val="baseline"/>
                <w:lang w:val="en-US" w:eastAsia="zh-CN" w:bidi="ar"/>
              </w:rPr>
            </w:pPr>
            <w:r>
              <w:rPr>
                <w:rFonts w:hint="default" w:ascii="楷体" w:hAnsi="楷体" w:eastAsia="楷体" w:cs="楷体"/>
                <w:kern w:val="2"/>
                <w:sz w:val="24"/>
                <w:szCs w:val="24"/>
                <w:vertAlign w:val="baseline"/>
                <w:lang w:val="en-US" w:eastAsia="zh-CN" w:bidi="ar"/>
              </w:rPr>
              <w:t>放宽离岛免税购物额度至每年每人10万元，扩大免税商品种类。</w:t>
            </w:r>
          </w:p>
        </w:tc>
        <w:tc>
          <w:tcPr>
            <w:tcW w:w="4014"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480" w:firstLineChars="200"/>
              <w:textAlignment w:val="auto"/>
              <w:rPr>
                <w:rFonts w:hint="default" w:ascii="楷体" w:hAnsi="楷体" w:eastAsia="楷体" w:cs="楷体"/>
                <w:kern w:val="2"/>
                <w:sz w:val="24"/>
                <w:szCs w:val="24"/>
                <w:vertAlign w:val="baseline"/>
                <w:lang w:val="en-US" w:eastAsia="zh-CN" w:bidi="ar"/>
              </w:rPr>
            </w:pPr>
            <w:r>
              <w:rPr>
                <w:rFonts w:hint="eastAsia" w:ascii="楷体" w:hAnsi="楷体" w:eastAsia="楷体" w:cs="楷体"/>
                <w:kern w:val="2"/>
                <w:sz w:val="24"/>
                <w:szCs w:val="24"/>
                <w:vertAlign w:val="baseline"/>
                <w:lang w:val="en-US" w:eastAsia="zh-CN" w:bidi="ar"/>
              </w:rPr>
              <w:t>有利于崖州发展休闲渔业、海上垂钓需要的清洁能源</w:t>
            </w:r>
            <w:r>
              <w:rPr>
                <w:rFonts w:hint="default" w:ascii="楷体" w:hAnsi="楷体" w:eastAsia="楷体" w:cs="楷体"/>
                <w:kern w:val="2"/>
                <w:sz w:val="24"/>
                <w:szCs w:val="24"/>
                <w:vertAlign w:val="baseline"/>
                <w:lang w:val="en-US" w:eastAsia="zh-CN" w:bidi="ar"/>
              </w:rPr>
              <w:t>型游钓船艇租赁</w:t>
            </w:r>
            <w:r>
              <w:rPr>
                <w:rFonts w:hint="eastAsia" w:ascii="楷体" w:hAnsi="楷体" w:eastAsia="楷体" w:cs="楷体"/>
                <w:kern w:val="2"/>
                <w:sz w:val="24"/>
                <w:szCs w:val="24"/>
                <w:vertAlign w:val="baseline"/>
                <w:lang w:val="en-US" w:eastAsia="zh-CN" w:bidi="ar"/>
              </w:rPr>
              <w:t>可以免税进口，在此基础上发展</w:t>
            </w:r>
            <w:r>
              <w:rPr>
                <w:rFonts w:hint="default" w:ascii="楷体" w:hAnsi="楷体" w:eastAsia="楷体" w:cs="楷体"/>
                <w:kern w:val="2"/>
                <w:sz w:val="24"/>
                <w:szCs w:val="24"/>
                <w:vertAlign w:val="baseline"/>
                <w:lang w:val="en-US" w:eastAsia="zh-CN" w:bidi="ar"/>
              </w:rPr>
              <w:t>闲渔业船舶（游钓船艇）租赁业务试点。</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480" w:firstLineChars="200"/>
              <w:textAlignment w:val="auto"/>
              <w:rPr>
                <w:rFonts w:hint="default" w:ascii="楷体" w:hAnsi="楷体" w:eastAsia="楷体" w:cs="楷体"/>
                <w:kern w:val="2"/>
                <w:sz w:val="24"/>
                <w:szCs w:val="24"/>
                <w:vertAlign w:val="baseline"/>
                <w:lang w:val="en-US" w:eastAsia="zh-CN" w:bidi="ar"/>
              </w:rPr>
            </w:pPr>
            <w:r>
              <w:rPr>
                <w:rFonts w:hint="eastAsia" w:ascii="楷体" w:hAnsi="楷体" w:eastAsia="楷体" w:cs="楷体"/>
                <w:kern w:val="2"/>
                <w:sz w:val="24"/>
                <w:szCs w:val="24"/>
                <w:vertAlign w:val="baseline"/>
                <w:lang w:val="en-US" w:eastAsia="zh-CN" w:bidi="ar"/>
              </w:rPr>
              <w:t>有利于崖州发展玩具、游戏机及娱乐设备、主题公园周边、游戏动漫周边免税购物。</w:t>
            </w:r>
          </w:p>
        </w:tc>
      </w:tr>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23" w:hRule="atLeast"/>
          <w:jc w:val="center"/>
        </w:trPr>
        <w:tc>
          <w:tcPr>
            <w:tcW w:w="494"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楷体" w:hAnsi="楷体" w:eastAsia="楷体" w:cs="楷体"/>
                <w:kern w:val="2"/>
                <w:sz w:val="24"/>
                <w:szCs w:val="24"/>
                <w:vertAlign w:val="baseline"/>
                <w:lang w:val="en-US" w:eastAsia="zh-CN" w:bidi="ar-SA"/>
              </w:rPr>
            </w:pPr>
            <w:r>
              <w:rPr>
                <w:rFonts w:hint="eastAsia" w:ascii="楷体" w:hAnsi="楷体" w:eastAsia="楷体" w:cs="楷体"/>
                <w:kern w:val="2"/>
                <w:sz w:val="24"/>
                <w:szCs w:val="24"/>
                <w:vertAlign w:val="baseline"/>
                <w:lang w:val="en-US" w:eastAsia="zh-CN" w:bidi="ar-SA"/>
              </w:rPr>
              <w:t>3</w:t>
            </w:r>
          </w:p>
        </w:tc>
        <w:tc>
          <w:tcPr>
            <w:tcW w:w="4014"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480" w:firstLineChars="200"/>
              <w:textAlignment w:val="auto"/>
              <w:rPr>
                <w:rFonts w:hint="eastAsia" w:ascii="楷体" w:hAnsi="楷体" w:eastAsia="楷体" w:cs="楷体"/>
                <w:kern w:val="2"/>
                <w:sz w:val="24"/>
                <w:szCs w:val="24"/>
                <w:vertAlign w:val="baseline"/>
                <w:lang w:val="en-US" w:eastAsia="zh-CN" w:bidi="ar"/>
              </w:rPr>
            </w:pPr>
            <w:r>
              <w:rPr>
                <w:rFonts w:hint="eastAsia" w:ascii="楷体" w:hAnsi="楷体" w:eastAsia="楷体" w:cs="楷体"/>
                <w:kern w:val="2"/>
                <w:sz w:val="24"/>
                <w:szCs w:val="24"/>
                <w:vertAlign w:val="baseline"/>
                <w:lang w:val="en-US" w:eastAsia="zh-CN" w:bidi="ar"/>
              </w:rPr>
              <w:t>实行“极简审批”投资制度。制定出台放宽市场准入特别清单、外商投资准入负面清单。</w:t>
            </w:r>
          </w:p>
        </w:tc>
        <w:tc>
          <w:tcPr>
            <w:tcW w:w="4014"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480" w:firstLineChars="200"/>
              <w:textAlignment w:val="auto"/>
              <w:rPr>
                <w:rFonts w:hint="default" w:ascii="楷体" w:hAnsi="楷体" w:eastAsia="楷体" w:cs="楷体"/>
                <w:b w:val="0"/>
                <w:bCs w:val="0"/>
                <w:kern w:val="2"/>
                <w:sz w:val="24"/>
                <w:szCs w:val="24"/>
                <w:vertAlign w:val="baseline"/>
                <w:lang w:val="en-US" w:eastAsia="zh-CN" w:bidi="ar-SA"/>
              </w:rPr>
            </w:pPr>
            <w:r>
              <w:rPr>
                <w:rFonts w:hint="eastAsia" w:ascii="楷体" w:hAnsi="楷体" w:eastAsia="楷体" w:cs="楷体"/>
                <w:b w:val="0"/>
                <w:bCs w:val="0"/>
                <w:kern w:val="2"/>
                <w:sz w:val="24"/>
                <w:szCs w:val="24"/>
                <w:vertAlign w:val="baseline"/>
                <w:lang w:val="en-US" w:eastAsia="zh-CN" w:bidi="ar-SA"/>
              </w:rPr>
              <w:t>有利于崖州吸引全球主题乐园、沙滩运动和海上垂钓运营机构、农渔产品国际贸易企业进驻。</w:t>
            </w:r>
          </w:p>
        </w:tc>
      </w:tr>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23" w:hRule="atLeast"/>
          <w:jc w:val="center"/>
        </w:trPr>
        <w:tc>
          <w:tcPr>
            <w:tcW w:w="494"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楷体" w:hAnsi="楷体" w:eastAsia="楷体" w:cs="楷体"/>
                <w:kern w:val="2"/>
                <w:sz w:val="24"/>
                <w:szCs w:val="24"/>
                <w:vertAlign w:val="baseline"/>
                <w:lang w:val="en-US" w:eastAsia="zh-CN" w:bidi="ar-SA"/>
              </w:rPr>
            </w:pPr>
            <w:r>
              <w:rPr>
                <w:rFonts w:hint="eastAsia" w:ascii="楷体" w:hAnsi="楷体" w:eastAsia="楷体" w:cs="楷体"/>
                <w:kern w:val="2"/>
                <w:sz w:val="24"/>
                <w:szCs w:val="24"/>
                <w:vertAlign w:val="baseline"/>
                <w:lang w:val="en-US" w:eastAsia="zh-CN" w:bidi="ar-SA"/>
              </w:rPr>
              <w:t>4</w:t>
            </w:r>
          </w:p>
        </w:tc>
        <w:tc>
          <w:tcPr>
            <w:tcW w:w="4014"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480" w:firstLineChars="200"/>
              <w:textAlignment w:val="auto"/>
              <w:rPr>
                <w:rFonts w:hint="default" w:ascii="楷体" w:hAnsi="楷体" w:eastAsia="楷体" w:cs="楷体"/>
                <w:kern w:val="2"/>
                <w:sz w:val="24"/>
                <w:szCs w:val="24"/>
                <w:vertAlign w:val="baseline"/>
                <w:lang w:val="en-US" w:eastAsia="zh-CN" w:bidi="ar"/>
              </w:rPr>
            </w:pPr>
            <w:r>
              <w:rPr>
                <w:rFonts w:hint="default" w:ascii="楷体" w:hAnsi="楷体" w:eastAsia="楷体" w:cs="楷体"/>
                <w:kern w:val="2"/>
                <w:sz w:val="24"/>
                <w:szCs w:val="24"/>
                <w:vertAlign w:val="baseline"/>
                <w:lang w:val="en-US" w:eastAsia="zh-CN" w:bidi="ar"/>
              </w:rPr>
              <w:t>试点改革跨境证券投融资政策。支持境内企业在境外发行股票，通过境外发行债券融资。</w:t>
            </w:r>
          </w:p>
        </w:tc>
        <w:tc>
          <w:tcPr>
            <w:tcW w:w="4014"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firstLine="480" w:firstLineChars="200"/>
              <w:textAlignment w:val="auto"/>
              <w:rPr>
                <w:rFonts w:hint="default" w:ascii="楷体" w:hAnsi="楷体" w:eastAsia="楷体" w:cs="楷体"/>
                <w:sz w:val="24"/>
                <w:szCs w:val="24"/>
                <w:vertAlign w:val="baseline"/>
                <w:lang w:val="en-US" w:eastAsia="zh-CN" w:bidi="ar"/>
              </w:rPr>
            </w:pPr>
            <w:r>
              <w:rPr>
                <w:rFonts w:hint="eastAsia" w:ascii="楷体" w:hAnsi="楷体" w:eastAsia="楷体" w:cs="楷体"/>
                <w:sz w:val="24"/>
                <w:szCs w:val="24"/>
                <w:vertAlign w:val="baseline"/>
                <w:lang w:val="en-US" w:eastAsia="zh-CN" w:bidi="ar"/>
              </w:rPr>
              <w:t>崖州主题乐园、古城保护开发、宁远河综合治理等重资本投入项目可以通过境外发债获取低息资金。</w:t>
            </w:r>
          </w:p>
        </w:tc>
      </w:tr>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23" w:hRule="atLeast"/>
          <w:jc w:val="center"/>
        </w:trPr>
        <w:tc>
          <w:tcPr>
            <w:tcW w:w="494"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楷体" w:hAnsi="楷体" w:eastAsia="楷体" w:cs="楷体"/>
                <w:kern w:val="2"/>
                <w:sz w:val="24"/>
                <w:szCs w:val="24"/>
                <w:vertAlign w:val="baseline"/>
                <w:lang w:val="en-US" w:eastAsia="zh-CN" w:bidi="ar-SA"/>
              </w:rPr>
            </w:pPr>
            <w:r>
              <w:rPr>
                <w:rFonts w:hint="eastAsia" w:ascii="楷体" w:hAnsi="楷体" w:eastAsia="楷体" w:cs="楷体"/>
                <w:kern w:val="2"/>
                <w:sz w:val="24"/>
                <w:szCs w:val="24"/>
                <w:vertAlign w:val="baseline"/>
                <w:lang w:val="en-US" w:eastAsia="zh-CN" w:bidi="ar-SA"/>
              </w:rPr>
              <w:t>5</w:t>
            </w:r>
          </w:p>
        </w:tc>
        <w:tc>
          <w:tcPr>
            <w:tcW w:w="4014"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480" w:firstLineChars="200"/>
              <w:textAlignment w:val="auto"/>
              <w:rPr>
                <w:rFonts w:hint="default" w:ascii="楷体" w:hAnsi="楷体" w:eastAsia="楷体" w:cs="楷体"/>
                <w:kern w:val="2"/>
                <w:sz w:val="24"/>
                <w:szCs w:val="24"/>
                <w:vertAlign w:val="baseline"/>
                <w:lang w:val="en-US" w:eastAsia="zh-CN" w:bidi="ar"/>
              </w:rPr>
            </w:pPr>
            <w:r>
              <w:rPr>
                <w:rFonts w:hint="default" w:ascii="楷体" w:hAnsi="楷体" w:eastAsia="楷体" w:cs="楷体"/>
                <w:kern w:val="2"/>
                <w:sz w:val="24"/>
                <w:szCs w:val="24"/>
                <w:vertAlign w:val="baseline"/>
                <w:lang w:val="en-US" w:eastAsia="zh-CN" w:bidi="ar"/>
              </w:rPr>
              <w:t>加快金融业对内对外开放。支持金融机构立足海南旅游业、现代服务业、高新技术产业发展需要，创新金融产品，提升服务质效。</w:t>
            </w:r>
          </w:p>
        </w:tc>
        <w:tc>
          <w:tcPr>
            <w:tcW w:w="4014"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firstLine="480" w:firstLineChars="200"/>
              <w:textAlignment w:val="auto"/>
              <w:rPr>
                <w:rFonts w:hint="default" w:ascii="楷体" w:hAnsi="楷体" w:eastAsia="楷体" w:cs="楷体"/>
                <w:sz w:val="24"/>
                <w:szCs w:val="24"/>
                <w:vertAlign w:val="baseline"/>
                <w:lang w:val="en-US" w:eastAsia="zh-CN" w:bidi="ar"/>
              </w:rPr>
            </w:pPr>
            <w:r>
              <w:rPr>
                <w:rFonts w:hint="eastAsia" w:ascii="楷体" w:hAnsi="楷体" w:eastAsia="楷体" w:cs="楷体"/>
                <w:sz w:val="24"/>
                <w:szCs w:val="24"/>
                <w:vertAlign w:val="baseline"/>
                <w:lang w:val="en-US" w:eastAsia="zh-CN" w:bidi="ar"/>
              </w:rPr>
              <w:t>崖州旅游业、现代服务业、高新技术产业企业可以享受更好的金融服务。</w:t>
            </w:r>
          </w:p>
        </w:tc>
      </w:tr>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23" w:hRule="atLeast"/>
          <w:jc w:val="center"/>
        </w:trPr>
        <w:tc>
          <w:tcPr>
            <w:tcW w:w="494"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楷体" w:hAnsi="楷体" w:eastAsia="楷体" w:cs="楷体"/>
                <w:kern w:val="2"/>
                <w:sz w:val="24"/>
                <w:szCs w:val="24"/>
                <w:vertAlign w:val="baseline"/>
                <w:lang w:val="en-US" w:eastAsia="zh-CN" w:bidi="ar-SA"/>
              </w:rPr>
            </w:pPr>
            <w:r>
              <w:rPr>
                <w:rFonts w:hint="eastAsia" w:ascii="楷体" w:hAnsi="楷体" w:eastAsia="楷体" w:cs="楷体"/>
                <w:kern w:val="2"/>
                <w:sz w:val="24"/>
                <w:szCs w:val="24"/>
                <w:vertAlign w:val="baseline"/>
                <w:lang w:val="en-US" w:eastAsia="zh-CN" w:bidi="ar-SA"/>
              </w:rPr>
              <w:t>6</w:t>
            </w:r>
          </w:p>
        </w:tc>
        <w:tc>
          <w:tcPr>
            <w:tcW w:w="4014"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480" w:firstLineChars="200"/>
              <w:textAlignment w:val="auto"/>
              <w:rPr>
                <w:rFonts w:hint="default" w:ascii="楷体" w:hAnsi="楷体" w:eastAsia="楷体" w:cs="楷体"/>
                <w:kern w:val="2"/>
                <w:sz w:val="24"/>
                <w:szCs w:val="24"/>
                <w:vertAlign w:val="baseline"/>
                <w:lang w:val="en-US" w:eastAsia="zh-CN" w:bidi="ar"/>
              </w:rPr>
            </w:pPr>
            <w:r>
              <w:rPr>
                <w:rFonts w:hint="default" w:ascii="楷体" w:hAnsi="楷体" w:eastAsia="楷体" w:cs="楷体"/>
                <w:kern w:val="2"/>
                <w:sz w:val="24"/>
                <w:szCs w:val="24"/>
                <w:vertAlign w:val="baseline"/>
                <w:lang w:val="en-US" w:eastAsia="zh-CN" w:bidi="ar"/>
              </w:rPr>
              <w:t>增强金融服务实体经济能力。支持涉海高新技术企业利用股权、知识产权开展质押融资。</w:t>
            </w:r>
          </w:p>
        </w:tc>
        <w:tc>
          <w:tcPr>
            <w:tcW w:w="4014"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firstLine="480" w:firstLineChars="200"/>
              <w:textAlignment w:val="auto"/>
              <w:rPr>
                <w:rFonts w:hint="default" w:ascii="楷体" w:hAnsi="楷体" w:eastAsia="楷体" w:cs="楷体"/>
                <w:sz w:val="24"/>
                <w:szCs w:val="24"/>
                <w:vertAlign w:val="baseline"/>
                <w:lang w:val="en-US" w:eastAsia="zh-CN" w:bidi="ar"/>
              </w:rPr>
            </w:pPr>
            <w:r>
              <w:rPr>
                <w:rFonts w:hint="eastAsia" w:ascii="楷体" w:hAnsi="楷体" w:eastAsia="楷体" w:cs="楷体"/>
                <w:sz w:val="24"/>
                <w:szCs w:val="24"/>
                <w:vertAlign w:val="baseline"/>
                <w:lang w:val="en-US" w:eastAsia="zh-CN" w:bidi="ar"/>
              </w:rPr>
              <w:t>南山、大小洞天、崖州古城、主题乐园等优质旅游资产可以开展证券化试点。</w:t>
            </w:r>
          </w:p>
        </w:tc>
      </w:tr>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23" w:hRule="atLeast"/>
          <w:jc w:val="center"/>
        </w:trPr>
        <w:tc>
          <w:tcPr>
            <w:tcW w:w="494" w:type="dxa"/>
            <w:tcBorders>
              <w:bottom w:val="nil"/>
            </w:tcBorders>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楷体" w:hAnsi="楷体" w:eastAsia="楷体" w:cs="楷体"/>
                <w:kern w:val="2"/>
                <w:sz w:val="24"/>
                <w:szCs w:val="24"/>
                <w:vertAlign w:val="baseline"/>
                <w:lang w:val="en-US" w:eastAsia="zh-CN" w:bidi="ar-SA"/>
              </w:rPr>
            </w:pPr>
            <w:r>
              <w:rPr>
                <w:rFonts w:hint="eastAsia" w:ascii="楷体" w:hAnsi="楷体" w:eastAsia="楷体" w:cs="楷体"/>
                <w:kern w:val="2"/>
                <w:sz w:val="24"/>
                <w:szCs w:val="24"/>
                <w:vertAlign w:val="baseline"/>
                <w:lang w:val="en-US" w:eastAsia="zh-CN" w:bidi="ar-SA"/>
              </w:rPr>
              <w:t>7</w:t>
            </w:r>
          </w:p>
        </w:tc>
        <w:tc>
          <w:tcPr>
            <w:tcW w:w="4014" w:type="dxa"/>
            <w:tcBorders>
              <w:bottom w:val="nil"/>
            </w:tcBorders>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480" w:firstLineChars="200"/>
              <w:textAlignment w:val="auto"/>
              <w:rPr>
                <w:rFonts w:hint="eastAsia" w:ascii="楷体" w:hAnsi="楷体" w:eastAsia="楷体" w:cs="楷体"/>
                <w:kern w:val="2"/>
                <w:sz w:val="24"/>
                <w:szCs w:val="24"/>
                <w:vertAlign w:val="baseline"/>
                <w:lang w:val="en-US" w:eastAsia="zh-CN" w:bidi="ar"/>
              </w:rPr>
            </w:pPr>
            <w:r>
              <w:rPr>
                <w:rFonts w:hint="eastAsia" w:ascii="楷体" w:hAnsi="楷体" w:eastAsia="楷体" w:cs="楷体"/>
                <w:kern w:val="2"/>
                <w:sz w:val="24"/>
                <w:szCs w:val="24"/>
                <w:vertAlign w:val="baseline"/>
                <w:lang w:val="en-US" w:eastAsia="zh-CN" w:bidi="ar"/>
              </w:rPr>
              <w:t>实施更加便利的免签入境措施。允许外国人以商贸、访问、探亲、就医、会展、体育竞技等事由申请免签入境海南。</w:t>
            </w:r>
          </w:p>
        </w:tc>
        <w:tc>
          <w:tcPr>
            <w:tcW w:w="4014" w:type="dxa"/>
            <w:tcBorders>
              <w:bottom w:val="nil"/>
            </w:tcBorders>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firstLine="480" w:firstLineChars="200"/>
              <w:textAlignment w:val="auto"/>
              <w:rPr>
                <w:rFonts w:hint="default" w:ascii="楷体" w:hAnsi="楷体" w:eastAsia="楷体" w:cs="楷体"/>
                <w:sz w:val="24"/>
                <w:szCs w:val="24"/>
                <w:vertAlign w:val="baseline"/>
                <w:lang w:val="en-US" w:eastAsia="zh-CN" w:bidi="ar"/>
              </w:rPr>
            </w:pPr>
            <w:r>
              <w:rPr>
                <w:rFonts w:hint="eastAsia" w:ascii="楷体" w:hAnsi="楷体" w:eastAsia="楷体" w:cs="楷体"/>
                <w:sz w:val="24"/>
                <w:szCs w:val="24"/>
                <w:vertAlign w:val="baseline"/>
                <w:lang w:val="en-US" w:eastAsia="zh-CN" w:bidi="ar"/>
              </w:rPr>
              <w:t>有利于崖州吸引外国人参与海钓赛事、沙滩运动、主题乐园旅游、农渔产品贸易等活动。</w:t>
            </w:r>
          </w:p>
        </w:tc>
      </w:tr>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23" w:hRule="atLeast"/>
          <w:jc w:val="center"/>
        </w:trPr>
        <w:tc>
          <w:tcPr>
            <w:tcW w:w="494"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楷体" w:hAnsi="楷体" w:eastAsia="楷体" w:cs="楷体"/>
                <w:sz w:val="24"/>
                <w:szCs w:val="24"/>
                <w:vertAlign w:val="baseline"/>
                <w:lang w:val="en-US" w:eastAsia="zh-CN"/>
              </w:rPr>
            </w:pPr>
            <w:r>
              <w:rPr>
                <w:rFonts w:hint="eastAsia" w:ascii="楷体" w:hAnsi="楷体" w:eastAsia="楷体" w:cs="楷体"/>
                <w:sz w:val="24"/>
                <w:szCs w:val="24"/>
                <w:vertAlign w:val="baseline"/>
                <w:lang w:val="en-US" w:eastAsia="zh-CN"/>
              </w:rPr>
              <w:t>8</w:t>
            </w:r>
          </w:p>
        </w:tc>
        <w:tc>
          <w:tcPr>
            <w:tcW w:w="4014"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480" w:firstLineChars="200"/>
              <w:jc w:val="both"/>
              <w:textAlignment w:val="auto"/>
              <w:rPr>
                <w:rFonts w:hint="eastAsia" w:ascii="楷体" w:hAnsi="楷体" w:eastAsia="楷体" w:cs="楷体"/>
                <w:kern w:val="2"/>
                <w:sz w:val="24"/>
                <w:szCs w:val="24"/>
                <w:vertAlign w:val="baseline"/>
                <w:lang w:val="en-US" w:eastAsia="zh-CN" w:bidi="ar"/>
              </w:rPr>
            </w:pPr>
            <w:r>
              <w:rPr>
                <w:rFonts w:hint="eastAsia" w:ascii="楷体" w:hAnsi="楷体" w:eastAsia="楷体" w:cs="楷体"/>
                <w:kern w:val="2"/>
                <w:sz w:val="24"/>
                <w:szCs w:val="24"/>
                <w:vertAlign w:val="baseline"/>
                <w:lang w:val="en-US" w:eastAsia="zh-CN" w:bidi="ar"/>
              </w:rPr>
              <w:t>实施更加开放的航空运输政策。</w:t>
            </w:r>
          </w:p>
        </w:tc>
        <w:tc>
          <w:tcPr>
            <w:tcW w:w="4014"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firstLine="480" w:firstLineChars="200"/>
              <w:textAlignment w:val="auto"/>
              <w:rPr>
                <w:rFonts w:hint="default" w:ascii="楷体" w:hAnsi="楷体" w:eastAsia="楷体" w:cs="楷体"/>
                <w:sz w:val="24"/>
                <w:szCs w:val="24"/>
                <w:vertAlign w:val="baseline"/>
                <w:lang w:val="en-US" w:eastAsia="zh-CN" w:bidi="ar"/>
              </w:rPr>
            </w:pPr>
            <w:r>
              <w:rPr>
                <w:rFonts w:hint="eastAsia" w:ascii="楷体" w:hAnsi="楷体" w:eastAsia="楷体" w:cs="楷体"/>
                <w:sz w:val="24"/>
                <w:szCs w:val="24"/>
                <w:vertAlign w:val="baseline"/>
                <w:lang w:val="en-US" w:eastAsia="zh-CN" w:bidi="ar"/>
              </w:rPr>
              <w:t>有利于崖州通过航空货运开展水果、高价值鱼类、热带观赏鱼出口。</w:t>
            </w:r>
          </w:p>
        </w:tc>
      </w:tr>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23" w:hRule="atLeast"/>
          <w:jc w:val="center"/>
        </w:trPr>
        <w:tc>
          <w:tcPr>
            <w:tcW w:w="494"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楷体" w:hAnsi="楷体" w:eastAsia="楷体" w:cs="楷体"/>
                <w:sz w:val="24"/>
                <w:szCs w:val="24"/>
                <w:vertAlign w:val="baseline"/>
                <w:lang w:val="en-US" w:eastAsia="zh-CN"/>
              </w:rPr>
            </w:pPr>
            <w:r>
              <w:rPr>
                <w:rFonts w:hint="eastAsia" w:ascii="楷体" w:hAnsi="楷体" w:eastAsia="楷体" w:cs="楷体"/>
                <w:sz w:val="24"/>
                <w:szCs w:val="24"/>
                <w:vertAlign w:val="baseline"/>
                <w:lang w:val="en-US" w:eastAsia="zh-CN"/>
              </w:rPr>
              <w:t>9</w:t>
            </w:r>
          </w:p>
        </w:tc>
        <w:tc>
          <w:tcPr>
            <w:tcW w:w="4014"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480" w:firstLineChars="200"/>
              <w:jc w:val="both"/>
              <w:textAlignment w:val="auto"/>
              <w:rPr>
                <w:rFonts w:hint="eastAsia" w:ascii="楷体" w:hAnsi="楷体" w:eastAsia="楷体" w:cs="楷体"/>
                <w:kern w:val="2"/>
                <w:sz w:val="24"/>
                <w:szCs w:val="24"/>
                <w:vertAlign w:val="baseline"/>
                <w:lang w:val="en-US" w:eastAsia="zh-CN" w:bidi="ar"/>
              </w:rPr>
            </w:pPr>
            <w:r>
              <w:rPr>
                <w:rFonts w:hint="eastAsia" w:ascii="楷体" w:hAnsi="楷体" w:eastAsia="楷体" w:cs="楷体"/>
                <w:kern w:val="2"/>
                <w:sz w:val="24"/>
                <w:szCs w:val="24"/>
                <w:vertAlign w:val="baseline"/>
                <w:lang w:val="en-US" w:eastAsia="zh-CN" w:bidi="ar"/>
              </w:rPr>
              <w:t>优化税收政策安排。按15％征收企业所得税，允许资本性支出一次性税前扣除或加速折旧和摊销。免征高端人才和紧缺人才个人所得税超过15％的部分。</w:t>
            </w:r>
          </w:p>
        </w:tc>
        <w:tc>
          <w:tcPr>
            <w:tcW w:w="4014"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480" w:firstLineChars="200"/>
              <w:jc w:val="both"/>
              <w:textAlignment w:val="auto"/>
              <w:rPr>
                <w:rFonts w:hint="default" w:ascii="楷体" w:hAnsi="楷体" w:eastAsia="楷体" w:cs="楷体"/>
                <w:kern w:val="2"/>
                <w:sz w:val="24"/>
                <w:szCs w:val="24"/>
                <w:vertAlign w:val="baseline"/>
                <w:lang w:val="en-US" w:eastAsia="zh-CN" w:bidi="ar"/>
              </w:rPr>
            </w:pPr>
            <w:r>
              <w:rPr>
                <w:rFonts w:hint="eastAsia" w:ascii="楷体" w:hAnsi="楷体" w:eastAsia="楷体" w:cs="楷体"/>
                <w:kern w:val="2"/>
                <w:sz w:val="24"/>
                <w:szCs w:val="24"/>
                <w:vertAlign w:val="baseline"/>
                <w:lang w:val="en-US" w:eastAsia="zh-CN" w:bidi="ar"/>
              </w:rPr>
              <w:t>有利于崖州吸引岛外及全球旅游、商贸、物流企业和人才进入。</w:t>
            </w:r>
          </w:p>
        </w:tc>
      </w:tr>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23" w:hRule="atLeast"/>
          <w:jc w:val="center"/>
        </w:trPr>
        <w:tc>
          <w:tcPr>
            <w:tcW w:w="494"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楷体" w:hAnsi="楷体" w:eastAsia="楷体" w:cs="楷体"/>
                <w:sz w:val="24"/>
                <w:szCs w:val="24"/>
                <w:vertAlign w:val="baseline"/>
                <w:lang w:val="en-US" w:eastAsia="zh-CN"/>
              </w:rPr>
            </w:pPr>
            <w:r>
              <w:rPr>
                <w:rFonts w:hint="eastAsia" w:ascii="楷体" w:hAnsi="楷体" w:eastAsia="楷体" w:cs="楷体"/>
                <w:sz w:val="24"/>
                <w:szCs w:val="24"/>
                <w:vertAlign w:val="baseline"/>
                <w:lang w:val="en-US" w:eastAsia="zh-CN"/>
              </w:rPr>
              <w:t>10</w:t>
            </w:r>
          </w:p>
        </w:tc>
        <w:tc>
          <w:tcPr>
            <w:tcW w:w="4014"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480" w:firstLineChars="200"/>
              <w:jc w:val="both"/>
              <w:textAlignment w:val="auto"/>
              <w:rPr>
                <w:rFonts w:hint="eastAsia" w:ascii="楷体" w:hAnsi="楷体" w:eastAsia="楷体" w:cs="楷体"/>
                <w:kern w:val="2"/>
                <w:sz w:val="24"/>
                <w:szCs w:val="24"/>
                <w:vertAlign w:val="baseline"/>
                <w:lang w:val="en-US" w:eastAsia="zh-CN" w:bidi="ar"/>
              </w:rPr>
            </w:pPr>
            <w:r>
              <w:rPr>
                <w:rFonts w:hint="eastAsia" w:ascii="楷体" w:hAnsi="楷体" w:eastAsia="楷体" w:cs="楷体"/>
                <w:kern w:val="2"/>
                <w:sz w:val="24"/>
                <w:szCs w:val="24"/>
                <w:vertAlign w:val="baseline"/>
                <w:lang w:val="en-US" w:eastAsia="zh-CN" w:bidi="ar"/>
              </w:rPr>
              <w:t>加大中央财政支持力度。</w:t>
            </w:r>
          </w:p>
        </w:tc>
        <w:tc>
          <w:tcPr>
            <w:tcW w:w="4014"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480" w:firstLineChars="200"/>
              <w:jc w:val="both"/>
              <w:textAlignment w:val="auto"/>
              <w:rPr>
                <w:rFonts w:hint="default" w:ascii="楷体" w:hAnsi="楷体" w:eastAsia="楷体" w:cs="楷体"/>
                <w:kern w:val="2"/>
                <w:sz w:val="24"/>
                <w:szCs w:val="24"/>
                <w:vertAlign w:val="baseline"/>
                <w:lang w:val="en-US" w:eastAsia="zh-CN" w:bidi="ar"/>
              </w:rPr>
            </w:pPr>
            <w:r>
              <w:rPr>
                <w:rFonts w:hint="eastAsia" w:ascii="楷体" w:hAnsi="楷体" w:eastAsia="楷体" w:cs="楷体"/>
                <w:kern w:val="2"/>
                <w:sz w:val="24"/>
                <w:szCs w:val="24"/>
                <w:vertAlign w:val="baseline"/>
                <w:lang w:val="en-US" w:eastAsia="zh-CN" w:bidi="ar"/>
              </w:rPr>
              <w:t>有利于崖州增加第三产业政府投资规模。</w:t>
            </w:r>
          </w:p>
        </w:tc>
      </w:tr>
    </w:tbl>
    <w:p>
      <w:pPr>
        <w:pStyle w:val="4"/>
        <w:bidi w:val="0"/>
        <w:rPr>
          <w:rFonts w:hint="eastAsia"/>
          <w:lang w:val="en-US" w:eastAsia="zh-CN"/>
        </w:rPr>
      </w:pPr>
      <w:bookmarkStart w:id="380" w:name="_Toc4419"/>
      <w:bookmarkStart w:id="381" w:name="_Toc8744"/>
      <w:bookmarkStart w:id="382" w:name="_Toc25898"/>
      <w:r>
        <w:rPr>
          <w:rFonts w:hint="eastAsia"/>
          <w:lang w:val="en-US" w:eastAsia="zh-CN"/>
        </w:rPr>
        <w:t>二、旅游业政策解读</w:t>
      </w:r>
      <w:bookmarkEnd w:id="380"/>
      <w:bookmarkEnd w:id="381"/>
      <w:bookmarkEnd w:id="382"/>
    </w:p>
    <w:p>
      <w:pPr>
        <w:pStyle w:val="5"/>
        <w:numPr>
          <w:ilvl w:val="0"/>
          <w:numId w:val="37"/>
        </w:numPr>
        <w:bidi w:val="0"/>
        <w:rPr>
          <w:rFonts w:hint="default"/>
          <w:lang w:val="en-US" w:eastAsia="zh-CN"/>
        </w:rPr>
      </w:pPr>
      <w:bookmarkStart w:id="383" w:name="_Toc8297"/>
      <w:bookmarkStart w:id="384" w:name="_Toc28768"/>
      <w:bookmarkStart w:id="385" w:name="_Toc31415"/>
      <w:r>
        <w:rPr>
          <w:rFonts w:hint="eastAsia"/>
          <w:lang w:val="en-US" w:eastAsia="zh-CN"/>
        </w:rPr>
        <w:t>发展文化旅游</w:t>
      </w:r>
      <w:bookmarkEnd w:id="383"/>
      <w:bookmarkEnd w:id="384"/>
      <w:bookmarkEnd w:id="385"/>
    </w:p>
    <w:p>
      <w:pPr>
        <w:rPr>
          <w:rFonts w:hint="default"/>
          <w:lang w:val="en-US" w:eastAsia="zh-CN"/>
        </w:rPr>
      </w:pPr>
      <w:r>
        <w:rPr>
          <w:rFonts w:hint="eastAsia" w:ascii="仿宋_GB2312" w:eastAsia="仿宋_GB2312"/>
          <w:b/>
          <w:bCs/>
          <w:lang w:val="en-US" w:eastAsia="zh-CN"/>
        </w:rPr>
        <w:t>文化体育旅游</w:t>
      </w:r>
      <w:r>
        <w:rPr>
          <w:rFonts w:hint="eastAsia" w:ascii="仿宋_GB2312" w:eastAsia="仿宋_GB2312"/>
          <w:lang w:val="en-US" w:eastAsia="zh-CN"/>
        </w:rPr>
        <w:t>是海南构建特色旅游产业体系的重要组成部分，推动旅游与文化体育深度融合，建设文化旅游产业园。</w:t>
      </w:r>
    </w:p>
    <w:p>
      <w:pPr>
        <w:pStyle w:val="5"/>
        <w:numPr>
          <w:ilvl w:val="0"/>
          <w:numId w:val="37"/>
        </w:numPr>
        <w:bidi w:val="0"/>
        <w:rPr>
          <w:rFonts w:hint="default"/>
          <w:lang w:val="en-US" w:eastAsia="zh-CN"/>
        </w:rPr>
      </w:pPr>
      <w:bookmarkStart w:id="386" w:name="_Toc17844"/>
      <w:bookmarkStart w:id="387" w:name="_Toc5580"/>
      <w:bookmarkStart w:id="388" w:name="_Toc29411"/>
      <w:r>
        <w:rPr>
          <w:rFonts w:hint="eastAsia"/>
          <w:lang w:val="en-US" w:eastAsia="zh-CN"/>
        </w:rPr>
        <w:t>发展体育旅游</w:t>
      </w:r>
      <w:bookmarkEnd w:id="386"/>
      <w:bookmarkEnd w:id="387"/>
      <w:bookmarkEnd w:id="388"/>
    </w:p>
    <w:p>
      <w:pPr>
        <w:rPr>
          <w:rFonts w:hint="default"/>
          <w:lang w:val="en-US" w:eastAsia="zh-CN"/>
        </w:rPr>
      </w:pPr>
      <w:r>
        <w:rPr>
          <w:rFonts w:hint="default"/>
          <w:lang w:val="en-US" w:eastAsia="zh-CN"/>
        </w:rPr>
        <w:t>发展沙滩运动、水上运动，打造</w:t>
      </w:r>
      <w:r>
        <w:rPr>
          <w:rFonts w:hint="default"/>
          <w:b/>
          <w:bCs/>
          <w:lang w:val="en-US" w:eastAsia="zh-CN"/>
        </w:rPr>
        <w:t>国家体育旅游示范区</w:t>
      </w:r>
      <w:r>
        <w:rPr>
          <w:rFonts w:hint="default"/>
          <w:lang w:val="en-US" w:eastAsia="zh-CN"/>
        </w:rPr>
        <w:t>，支持再引入一批国际一流赛事</w:t>
      </w:r>
      <w:r>
        <w:rPr>
          <w:rFonts w:hint="eastAsia" w:ascii="仿宋_GB2312" w:eastAsia="仿宋_GB2312"/>
          <w:lang w:val="en-US" w:eastAsia="zh-CN"/>
        </w:rPr>
        <w:t>。</w:t>
      </w:r>
    </w:p>
    <w:p>
      <w:pPr>
        <w:pStyle w:val="5"/>
        <w:numPr>
          <w:ilvl w:val="0"/>
          <w:numId w:val="37"/>
        </w:numPr>
        <w:bidi w:val="0"/>
        <w:rPr>
          <w:rFonts w:hint="eastAsia"/>
          <w:lang w:val="en-US" w:eastAsia="zh-CN"/>
        </w:rPr>
      </w:pPr>
      <w:bookmarkStart w:id="389" w:name="_Toc5849"/>
      <w:bookmarkStart w:id="390" w:name="_Toc26483"/>
      <w:bookmarkStart w:id="391" w:name="_Toc9490"/>
      <w:r>
        <w:rPr>
          <w:rFonts w:hint="eastAsia"/>
          <w:lang w:val="en-US" w:eastAsia="zh-CN"/>
        </w:rPr>
        <w:t>发展全域旅游</w:t>
      </w:r>
      <w:bookmarkEnd w:id="389"/>
      <w:bookmarkEnd w:id="390"/>
      <w:bookmarkEnd w:id="391"/>
    </w:p>
    <w:p>
      <w:pPr>
        <w:rPr>
          <w:rFonts w:hint="eastAsia" w:ascii="仿宋_GB2312" w:eastAsia="仿宋_GB2312"/>
          <w:lang w:val="en-US" w:eastAsia="zh-CN"/>
        </w:rPr>
      </w:pPr>
      <w:r>
        <w:rPr>
          <w:rFonts w:hint="default"/>
          <w:lang w:val="en-US" w:eastAsia="zh-CN"/>
        </w:rPr>
        <w:t>开展主题丰富、形式多样的</w:t>
      </w:r>
      <w:r>
        <w:rPr>
          <w:rFonts w:hint="default"/>
          <w:b/>
          <w:bCs/>
          <w:lang w:val="en-US" w:eastAsia="zh-CN"/>
        </w:rPr>
        <w:t>研学旅行</w:t>
      </w:r>
      <w:r>
        <w:rPr>
          <w:rFonts w:hint="eastAsia" w:ascii="仿宋_GB2312" w:eastAsia="仿宋_GB2312"/>
          <w:lang w:val="en-US" w:eastAsia="zh-CN"/>
        </w:rPr>
        <w:t>，发展“共享农庄”和</w:t>
      </w:r>
      <w:r>
        <w:rPr>
          <w:rFonts w:hint="eastAsia" w:ascii="仿宋_GB2312" w:eastAsia="仿宋_GB2312"/>
          <w:b/>
          <w:bCs/>
          <w:lang w:val="en-US" w:eastAsia="zh-CN"/>
        </w:rPr>
        <w:t>主题民宿客栈</w:t>
      </w:r>
      <w:r>
        <w:rPr>
          <w:rFonts w:hint="eastAsia" w:ascii="仿宋_GB2312" w:eastAsia="仿宋_GB2312"/>
          <w:lang w:val="en-US" w:eastAsia="zh-CN"/>
        </w:rPr>
        <w:t>，建设旅游服务中心和</w:t>
      </w:r>
      <w:r>
        <w:rPr>
          <w:rFonts w:hint="eastAsia" w:ascii="仿宋_GB2312" w:eastAsia="仿宋_GB2312"/>
          <w:b/>
          <w:bCs/>
          <w:lang w:val="en-US" w:eastAsia="zh-CN"/>
        </w:rPr>
        <w:t>房车露营基地</w:t>
      </w:r>
      <w:r>
        <w:rPr>
          <w:rFonts w:hint="eastAsia" w:ascii="仿宋_GB2312" w:eastAsia="仿宋_GB2312"/>
          <w:lang w:val="en-US" w:eastAsia="zh-CN"/>
        </w:rPr>
        <w:t>。</w:t>
      </w:r>
    </w:p>
    <w:p>
      <w:pPr>
        <w:pStyle w:val="5"/>
        <w:numPr>
          <w:ilvl w:val="0"/>
          <w:numId w:val="37"/>
        </w:numPr>
        <w:bidi w:val="0"/>
        <w:rPr>
          <w:rFonts w:hint="eastAsia"/>
          <w:lang w:val="en-US" w:eastAsia="zh-CN"/>
        </w:rPr>
      </w:pPr>
      <w:bookmarkStart w:id="392" w:name="_Toc8358"/>
      <w:bookmarkStart w:id="393" w:name="_Toc24865"/>
      <w:bookmarkStart w:id="394" w:name="_Toc14339"/>
      <w:r>
        <w:rPr>
          <w:rFonts w:hint="eastAsia"/>
          <w:lang w:val="en-US" w:eastAsia="zh-CN"/>
        </w:rPr>
        <w:t>发展休闲渔业</w:t>
      </w:r>
      <w:bookmarkEnd w:id="392"/>
      <w:bookmarkEnd w:id="393"/>
      <w:bookmarkEnd w:id="394"/>
    </w:p>
    <w:p>
      <w:pPr>
        <w:rPr>
          <w:rFonts w:hint="eastAsia" w:ascii="仿宋_GB2312" w:eastAsia="仿宋_GB2312"/>
          <w:lang w:val="en-US" w:eastAsia="zh-CN"/>
        </w:rPr>
      </w:pPr>
      <w:r>
        <w:rPr>
          <w:rFonts w:hint="default"/>
          <w:lang w:val="en-US" w:eastAsia="zh-CN"/>
        </w:rPr>
        <w:t>创建三亚崖州国家、省级精品休</w:t>
      </w:r>
      <w:r>
        <w:rPr>
          <w:rFonts w:hint="default"/>
          <w:b/>
          <w:bCs/>
          <w:lang w:val="en-US" w:eastAsia="zh-CN"/>
        </w:rPr>
        <w:t>闲渔业示范基地</w:t>
      </w:r>
      <w:r>
        <w:rPr>
          <w:rFonts w:hint="default"/>
          <w:lang w:val="en-US" w:eastAsia="zh-CN"/>
        </w:rPr>
        <w:t>（</w:t>
      </w:r>
      <w:r>
        <w:rPr>
          <w:rFonts w:hint="default"/>
          <w:b/>
          <w:bCs/>
          <w:lang w:val="en-US" w:eastAsia="zh-CN"/>
        </w:rPr>
        <w:t>休闲渔业主题公园</w:t>
      </w:r>
      <w:r>
        <w:rPr>
          <w:rFonts w:hint="default"/>
          <w:lang w:val="en-US" w:eastAsia="zh-CN"/>
        </w:rPr>
        <w:t>），创建三亚崖州国际（国家）</w:t>
      </w:r>
      <w:r>
        <w:rPr>
          <w:rFonts w:hint="default"/>
          <w:b/>
          <w:bCs/>
          <w:lang w:val="en-US" w:eastAsia="zh-CN"/>
        </w:rPr>
        <w:t>海钓赛事基地</w:t>
      </w:r>
      <w:r>
        <w:rPr>
          <w:rFonts w:hint="default"/>
          <w:lang w:val="en-US" w:eastAsia="zh-CN"/>
        </w:rPr>
        <w:t>，建设三亚崖州具有国际水平的休闲渔业综合示范区</w:t>
      </w:r>
      <w:r>
        <w:rPr>
          <w:rFonts w:hint="eastAsia" w:ascii="仿宋_GB2312" w:eastAsia="仿宋_GB2312"/>
          <w:lang w:val="en-US" w:eastAsia="zh-CN"/>
        </w:rPr>
        <w:t>。</w:t>
      </w:r>
      <w:r>
        <w:rPr>
          <w:rFonts w:hint="default"/>
          <w:lang w:val="en-US" w:eastAsia="zh-CN"/>
        </w:rPr>
        <w:t>升级崖州中心渔港，建设休闲渔业船舶服务设施，加快崖州港等海钓赛事基地改建</w:t>
      </w:r>
      <w:r>
        <w:rPr>
          <w:rFonts w:hint="eastAsia" w:ascii="仿宋_GB2312" w:eastAsia="仿宋_GB2312"/>
          <w:lang w:val="en-US" w:eastAsia="zh-CN"/>
        </w:rPr>
        <w:t>。</w:t>
      </w:r>
      <w:r>
        <w:rPr>
          <w:rFonts w:hint="default"/>
          <w:lang w:val="en-US" w:eastAsia="zh-CN"/>
        </w:rPr>
        <w:t>开展</w:t>
      </w:r>
      <w:r>
        <w:rPr>
          <w:rFonts w:hint="default"/>
          <w:b/>
          <w:bCs/>
          <w:lang w:val="en-US" w:eastAsia="zh-CN"/>
        </w:rPr>
        <w:t>休闲渔业船舶（游钓船艇）租赁业务试点</w:t>
      </w:r>
      <w:r>
        <w:rPr>
          <w:rFonts w:hint="default"/>
          <w:lang w:val="en-US" w:eastAsia="zh-CN"/>
        </w:rPr>
        <w:t>。组织举办国际国内海钓赛事</w:t>
      </w:r>
      <w:r>
        <w:rPr>
          <w:rFonts w:hint="eastAsia" w:ascii="仿宋_GB2312" w:eastAsia="仿宋_GB2312"/>
          <w:lang w:val="en-US" w:eastAsia="zh-CN"/>
        </w:rPr>
        <w:t>，</w:t>
      </w:r>
      <w:r>
        <w:rPr>
          <w:rFonts w:hint="default"/>
          <w:lang w:val="en-US" w:eastAsia="zh-CN"/>
        </w:rPr>
        <w:t>打造国际一流的培训和赛事基地。将休闲娱乐、休闲旅游、餐饮美食、生态建设、文化传承、科普宣传等活动与渔业有机结合，创新“</w:t>
      </w:r>
      <w:r>
        <w:rPr>
          <w:rFonts w:hint="default"/>
          <w:b/>
          <w:bCs/>
          <w:lang w:val="en-US" w:eastAsia="zh-CN"/>
        </w:rPr>
        <w:t>休闲渔业+</w:t>
      </w:r>
      <w:r>
        <w:rPr>
          <w:rFonts w:hint="default"/>
          <w:lang w:val="en-US" w:eastAsia="zh-CN"/>
        </w:rPr>
        <w:t>”行业发展模式。</w:t>
      </w:r>
    </w:p>
    <w:tbl>
      <w:tblPr>
        <w:tblStyle w:val="18"/>
        <w:tblW w:w="5000" w:type="pct"/>
        <w:jc w:val="center"/>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Layout w:type="fixed"/>
        <w:tblCellMar>
          <w:top w:w="0" w:type="dxa"/>
          <w:left w:w="108" w:type="dxa"/>
          <w:bottom w:w="0" w:type="dxa"/>
          <w:right w:w="108" w:type="dxa"/>
        </w:tblCellMar>
      </w:tblPr>
      <w:tblGrid>
        <w:gridCol w:w="426"/>
        <w:gridCol w:w="2698"/>
        <w:gridCol w:w="5398"/>
      </w:tblGrid>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397" w:hRule="atLeast"/>
          <w:jc w:val="center"/>
        </w:trPr>
        <w:tc>
          <w:tcPr>
            <w:tcW w:w="8522" w:type="dxa"/>
            <w:gridSpan w:val="3"/>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楷体" w:hAnsi="楷体" w:eastAsia="楷体" w:cs="楷体"/>
                <w:b/>
                <w:bCs/>
                <w:sz w:val="24"/>
                <w:szCs w:val="24"/>
                <w:lang w:val="en-US" w:eastAsia="zh-CN"/>
              </w:rPr>
            </w:pPr>
            <w:r>
              <w:rPr>
                <w:rFonts w:hint="eastAsia" w:ascii="楷体" w:hAnsi="楷体" w:eastAsia="楷体" w:cs="楷体"/>
                <w:b/>
                <w:bCs/>
                <w:sz w:val="24"/>
                <w:szCs w:val="24"/>
                <w:lang w:val="en-US" w:eastAsia="zh-CN"/>
              </w:rPr>
              <w:t>专栏16  崖州发展文化旅游和体育旅游上位政策出处和原文</w:t>
            </w:r>
          </w:p>
        </w:tc>
      </w:tr>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397" w:hRule="atLeast"/>
          <w:jc w:val="center"/>
        </w:trPr>
        <w:tc>
          <w:tcPr>
            <w:tcW w:w="426"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楷体" w:hAnsi="楷体" w:eastAsia="楷体" w:cs="楷体"/>
                <w:b w:val="0"/>
                <w:bCs w:val="0"/>
                <w:kern w:val="2"/>
                <w:sz w:val="24"/>
                <w:szCs w:val="24"/>
                <w:vertAlign w:val="baseline"/>
                <w:lang w:val="en-US" w:eastAsia="zh-CN" w:bidi="ar-SA"/>
              </w:rPr>
            </w:pPr>
          </w:p>
        </w:tc>
        <w:tc>
          <w:tcPr>
            <w:tcW w:w="2698"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楷体" w:hAnsi="楷体" w:eastAsia="楷体" w:cs="楷体"/>
                <w:b w:val="0"/>
                <w:bCs w:val="0"/>
                <w:kern w:val="2"/>
                <w:sz w:val="24"/>
                <w:szCs w:val="24"/>
                <w:vertAlign w:val="baseline"/>
                <w:lang w:val="en-US" w:eastAsia="zh-CN" w:bidi="ar-SA"/>
              </w:rPr>
            </w:pPr>
            <w:r>
              <w:rPr>
                <w:rFonts w:hint="eastAsia" w:ascii="楷体" w:hAnsi="楷体" w:eastAsia="楷体" w:cs="楷体"/>
                <w:b w:val="0"/>
                <w:bCs w:val="0"/>
                <w:kern w:val="2"/>
                <w:sz w:val="24"/>
                <w:szCs w:val="24"/>
                <w:vertAlign w:val="baseline"/>
                <w:lang w:val="en-US" w:eastAsia="zh-CN" w:bidi="ar-SA"/>
              </w:rPr>
              <w:t>出处</w:t>
            </w:r>
          </w:p>
        </w:tc>
        <w:tc>
          <w:tcPr>
            <w:tcW w:w="5398"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楷体" w:hAnsi="楷体" w:eastAsia="楷体" w:cs="楷体"/>
                <w:b w:val="0"/>
                <w:bCs w:val="0"/>
                <w:kern w:val="2"/>
                <w:sz w:val="24"/>
                <w:szCs w:val="24"/>
                <w:vertAlign w:val="baseline"/>
                <w:lang w:val="en-US" w:eastAsia="zh-CN" w:bidi="ar-SA"/>
              </w:rPr>
            </w:pPr>
            <w:r>
              <w:rPr>
                <w:rFonts w:hint="eastAsia" w:ascii="楷体" w:hAnsi="楷体" w:eastAsia="楷体" w:cs="楷体"/>
                <w:b w:val="0"/>
                <w:bCs w:val="0"/>
                <w:kern w:val="2"/>
                <w:sz w:val="24"/>
                <w:szCs w:val="24"/>
                <w:vertAlign w:val="baseline"/>
                <w:lang w:val="en-US" w:eastAsia="zh-CN" w:bidi="ar-SA"/>
              </w:rPr>
              <w:t>原文</w:t>
            </w:r>
          </w:p>
        </w:tc>
      </w:tr>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397" w:hRule="atLeast"/>
          <w:jc w:val="center"/>
        </w:trPr>
        <w:tc>
          <w:tcPr>
            <w:tcW w:w="426"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楷体" w:hAnsi="楷体" w:eastAsia="楷体" w:cs="楷体"/>
                <w:kern w:val="2"/>
                <w:sz w:val="24"/>
                <w:szCs w:val="24"/>
                <w:vertAlign w:val="baseline"/>
                <w:lang w:val="en-US" w:eastAsia="zh-CN" w:bidi="ar-SA"/>
              </w:rPr>
            </w:pPr>
            <w:r>
              <w:rPr>
                <w:rFonts w:hint="eastAsia" w:ascii="楷体" w:hAnsi="楷体" w:eastAsia="楷体" w:cs="楷体"/>
                <w:sz w:val="24"/>
                <w:szCs w:val="24"/>
                <w:vertAlign w:val="baseline"/>
                <w:lang w:val="en-US" w:eastAsia="zh-CN"/>
              </w:rPr>
              <w:t>1</w:t>
            </w:r>
          </w:p>
        </w:tc>
        <w:tc>
          <w:tcPr>
            <w:tcW w:w="2698"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楷体" w:hAnsi="楷体" w:eastAsia="楷体" w:cs="楷体"/>
                <w:b w:val="0"/>
                <w:bCs w:val="0"/>
                <w:kern w:val="2"/>
                <w:sz w:val="24"/>
                <w:szCs w:val="24"/>
                <w:vertAlign w:val="baseline"/>
                <w:lang w:val="en-US" w:eastAsia="zh-CN" w:bidi="ar-SA"/>
              </w:rPr>
            </w:pPr>
            <w:r>
              <w:rPr>
                <w:rFonts w:hint="eastAsia" w:ascii="楷体" w:hAnsi="楷体" w:eastAsia="楷体" w:cs="楷体"/>
                <w:b w:val="0"/>
                <w:bCs w:val="0"/>
                <w:kern w:val="2"/>
                <w:sz w:val="24"/>
                <w:szCs w:val="24"/>
                <w:vertAlign w:val="baseline"/>
                <w:lang w:val="en-US" w:eastAsia="zh-CN" w:bidi="ar-SA"/>
              </w:rPr>
              <w:t>《海南自由贸易港建设总体方案》</w:t>
            </w:r>
          </w:p>
        </w:tc>
        <w:tc>
          <w:tcPr>
            <w:tcW w:w="5398"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firstLine="480" w:firstLineChars="200"/>
              <w:textAlignment w:val="auto"/>
              <w:rPr>
                <w:rFonts w:hint="default" w:ascii="楷体" w:hAnsi="楷体" w:eastAsia="楷体" w:cs="楷体"/>
                <w:sz w:val="24"/>
                <w:szCs w:val="24"/>
                <w:vertAlign w:val="baseline"/>
                <w:lang w:val="en-US" w:eastAsia="zh-CN" w:bidi="ar"/>
              </w:rPr>
            </w:pPr>
            <w:r>
              <w:rPr>
                <w:rFonts w:hint="eastAsia" w:ascii="楷体" w:hAnsi="楷体" w:eastAsia="楷体" w:cs="楷体"/>
                <w:sz w:val="24"/>
                <w:szCs w:val="24"/>
                <w:vertAlign w:val="baseline"/>
                <w:lang w:val="en-US" w:eastAsia="zh-CN" w:bidi="ar"/>
              </w:rPr>
              <w:t>围绕国际旅游消费中心建设，推动旅游与文化体育深度融合，支持建设文化旅游产业园。</w:t>
            </w:r>
          </w:p>
        </w:tc>
      </w:tr>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397" w:hRule="atLeast"/>
          <w:jc w:val="center"/>
        </w:trPr>
        <w:tc>
          <w:tcPr>
            <w:tcW w:w="426"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楷体" w:hAnsi="楷体" w:eastAsia="楷体" w:cs="楷体"/>
                <w:kern w:val="2"/>
                <w:sz w:val="24"/>
                <w:szCs w:val="24"/>
                <w:vertAlign w:val="baseline"/>
                <w:lang w:val="en-US" w:eastAsia="zh-CN" w:bidi="ar-SA"/>
              </w:rPr>
            </w:pPr>
            <w:r>
              <w:rPr>
                <w:rFonts w:hint="eastAsia" w:ascii="楷体" w:hAnsi="楷体" w:eastAsia="楷体" w:cs="楷体"/>
                <w:sz w:val="24"/>
                <w:szCs w:val="24"/>
                <w:vertAlign w:val="baseline"/>
                <w:lang w:val="en-US" w:eastAsia="zh-CN"/>
              </w:rPr>
              <w:t>2</w:t>
            </w:r>
          </w:p>
        </w:tc>
        <w:tc>
          <w:tcPr>
            <w:tcW w:w="2698"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楷体" w:hAnsi="楷体" w:eastAsia="楷体" w:cs="楷体"/>
                <w:kern w:val="2"/>
                <w:sz w:val="24"/>
                <w:szCs w:val="24"/>
                <w:vertAlign w:val="baseline"/>
                <w:lang w:val="en-US" w:eastAsia="zh-CN" w:bidi="ar-SA"/>
              </w:rPr>
            </w:pPr>
            <w:r>
              <w:rPr>
                <w:rFonts w:hint="default" w:ascii="楷体" w:hAnsi="楷体" w:eastAsia="楷体" w:cs="楷体"/>
                <w:kern w:val="2"/>
                <w:sz w:val="24"/>
                <w:szCs w:val="24"/>
                <w:vertAlign w:val="baseline"/>
                <w:lang w:val="en-US" w:eastAsia="zh-CN" w:bidi="ar-SA"/>
              </w:rPr>
              <w:t>《中共中央国务院关于支持海南全面深化改革开放的指导意见》</w:t>
            </w:r>
          </w:p>
        </w:tc>
        <w:tc>
          <w:tcPr>
            <w:tcW w:w="5398"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firstLine="480" w:firstLineChars="200"/>
              <w:textAlignment w:val="auto"/>
              <w:rPr>
                <w:rFonts w:hint="eastAsia" w:ascii="楷体" w:hAnsi="楷体" w:eastAsia="楷体" w:cs="楷体"/>
                <w:sz w:val="24"/>
                <w:szCs w:val="24"/>
                <w:vertAlign w:val="baseline"/>
                <w:lang w:val="en-US" w:eastAsia="zh-CN" w:bidi="ar"/>
              </w:rPr>
            </w:pPr>
            <w:r>
              <w:rPr>
                <w:rFonts w:hint="eastAsia" w:ascii="楷体" w:hAnsi="楷体" w:eastAsia="楷体" w:cs="楷体"/>
                <w:sz w:val="24"/>
                <w:szCs w:val="24"/>
                <w:vertAlign w:val="baseline"/>
                <w:lang w:val="en-US" w:eastAsia="zh-CN" w:bidi="ar"/>
              </w:rPr>
              <w:t>加快构建以观光旅游为基础、休闲度假为重点、文体旅游和健康旅游为特色的旅游产业体系，推进全域旅游发展。</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firstLine="480" w:firstLineChars="200"/>
              <w:textAlignment w:val="auto"/>
              <w:rPr>
                <w:rFonts w:hint="eastAsia" w:ascii="楷体" w:hAnsi="楷体" w:eastAsia="楷体" w:cs="楷体"/>
                <w:sz w:val="24"/>
                <w:szCs w:val="24"/>
                <w:vertAlign w:val="baseline"/>
                <w:lang w:val="en-US" w:eastAsia="zh-CN" w:bidi="ar"/>
              </w:rPr>
            </w:pPr>
            <w:r>
              <w:rPr>
                <w:rFonts w:hint="eastAsia" w:ascii="楷体" w:hAnsi="楷体" w:eastAsia="楷体" w:cs="楷体"/>
                <w:sz w:val="24"/>
                <w:szCs w:val="24"/>
                <w:vertAlign w:val="baseline"/>
                <w:lang w:val="en-US" w:eastAsia="zh-CN" w:bidi="ar"/>
              </w:rPr>
              <w:t>鼓励发展沙滩运动、水上运动等项目，支持打造国家体育旅游示范区。指导海南进一步办好国际体育赛事，支持再引入一批国际一流赛事。</w:t>
            </w:r>
          </w:p>
        </w:tc>
      </w:tr>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397" w:hRule="atLeast"/>
          <w:jc w:val="center"/>
        </w:trPr>
        <w:tc>
          <w:tcPr>
            <w:tcW w:w="426"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楷体" w:hAnsi="楷体" w:eastAsia="楷体" w:cs="楷体"/>
                <w:kern w:val="2"/>
                <w:sz w:val="24"/>
                <w:szCs w:val="24"/>
                <w:vertAlign w:val="baseline"/>
                <w:lang w:val="en-US" w:eastAsia="zh-CN" w:bidi="ar-SA"/>
              </w:rPr>
            </w:pPr>
            <w:r>
              <w:rPr>
                <w:rFonts w:hint="eastAsia" w:ascii="楷体" w:hAnsi="楷体" w:eastAsia="楷体" w:cs="楷体"/>
                <w:sz w:val="24"/>
                <w:szCs w:val="24"/>
                <w:vertAlign w:val="baseline"/>
                <w:lang w:val="en-US" w:eastAsia="zh-CN"/>
              </w:rPr>
              <w:t>3</w:t>
            </w:r>
          </w:p>
        </w:tc>
        <w:tc>
          <w:tcPr>
            <w:tcW w:w="2698"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楷体" w:hAnsi="楷体" w:eastAsia="楷体" w:cs="楷体"/>
                <w:kern w:val="2"/>
                <w:sz w:val="24"/>
                <w:szCs w:val="24"/>
                <w:vertAlign w:val="baseline"/>
                <w:lang w:val="en-US" w:eastAsia="zh-CN" w:bidi="ar-SA"/>
              </w:rPr>
            </w:pPr>
            <w:r>
              <w:rPr>
                <w:rFonts w:hint="default" w:ascii="楷体" w:hAnsi="楷体" w:eastAsia="楷体" w:cs="楷体"/>
                <w:kern w:val="2"/>
                <w:sz w:val="24"/>
                <w:szCs w:val="24"/>
                <w:vertAlign w:val="baseline"/>
                <w:lang w:val="en-US" w:eastAsia="zh-CN" w:bidi="ar-SA"/>
              </w:rPr>
              <w:t>《海南省建设国际旅游消费中心的实施方案》</w:t>
            </w:r>
          </w:p>
        </w:tc>
        <w:tc>
          <w:tcPr>
            <w:tcW w:w="5398"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firstLine="480" w:firstLineChars="200"/>
              <w:textAlignment w:val="auto"/>
              <w:rPr>
                <w:rFonts w:hint="eastAsia" w:ascii="楷体" w:hAnsi="楷体" w:eastAsia="楷体" w:cs="楷体"/>
                <w:sz w:val="24"/>
                <w:szCs w:val="24"/>
                <w:vertAlign w:val="baseline"/>
                <w:lang w:val="en-US" w:eastAsia="zh-CN" w:bidi="ar"/>
              </w:rPr>
            </w:pPr>
            <w:r>
              <w:rPr>
                <w:rFonts w:hint="eastAsia" w:ascii="楷体" w:hAnsi="楷体" w:eastAsia="楷体" w:cs="楷体"/>
                <w:sz w:val="24"/>
                <w:szCs w:val="24"/>
                <w:vertAlign w:val="baseline"/>
                <w:lang w:val="en-US" w:eastAsia="zh-CN" w:bidi="ar"/>
              </w:rPr>
              <w:t>鼓励在海南开展主题丰富、形式多样的研学旅行。</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firstLine="480" w:firstLineChars="200"/>
              <w:textAlignment w:val="auto"/>
              <w:rPr>
                <w:rFonts w:hint="eastAsia" w:ascii="楷体" w:hAnsi="楷体" w:eastAsia="楷体" w:cs="楷体"/>
                <w:sz w:val="24"/>
                <w:szCs w:val="24"/>
                <w:vertAlign w:val="baseline"/>
                <w:lang w:val="en-US" w:eastAsia="zh-CN" w:bidi="ar"/>
              </w:rPr>
            </w:pPr>
            <w:r>
              <w:rPr>
                <w:rFonts w:hint="eastAsia" w:ascii="楷体" w:hAnsi="楷体" w:eastAsia="楷体" w:cs="楷体"/>
                <w:sz w:val="24"/>
                <w:szCs w:val="24"/>
                <w:vertAlign w:val="baseline"/>
                <w:lang w:val="en-US" w:eastAsia="zh-CN" w:bidi="ar"/>
              </w:rPr>
              <w:t>有序发展“共享农庄”和主题民宿客栈。</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firstLine="480" w:firstLineChars="200"/>
              <w:textAlignment w:val="auto"/>
              <w:rPr>
                <w:rFonts w:hint="eastAsia" w:ascii="楷体" w:hAnsi="楷体" w:eastAsia="楷体" w:cs="楷体"/>
                <w:sz w:val="24"/>
                <w:szCs w:val="24"/>
                <w:vertAlign w:val="baseline"/>
                <w:lang w:val="en-US" w:eastAsia="zh-CN" w:bidi="ar"/>
              </w:rPr>
            </w:pPr>
            <w:r>
              <w:rPr>
                <w:rFonts w:hint="eastAsia" w:ascii="楷体" w:hAnsi="楷体" w:eastAsia="楷体" w:cs="楷体"/>
                <w:sz w:val="24"/>
                <w:szCs w:val="24"/>
                <w:vertAlign w:val="baseline"/>
                <w:lang w:val="en-US" w:eastAsia="zh-CN" w:bidi="ar"/>
              </w:rPr>
              <w:t>加快旅游服务中心建设。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firstLine="480" w:firstLineChars="200"/>
              <w:textAlignment w:val="auto"/>
              <w:rPr>
                <w:rFonts w:hint="eastAsia" w:ascii="楷体" w:hAnsi="楷体" w:eastAsia="楷体" w:cs="楷体"/>
                <w:sz w:val="24"/>
                <w:szCs w:val="24"/>
                <w:vertAlign w:val="baseline"/>
                <w:lang w:val="en-US" w:eastAsia="zh-CN" w:bidi="ar"/>
              </w:rPr>
            </w:pPr>
            <w:r>
              <w:rPr>
                <w:rFonts w:hint="eastAsia" w:ascii="楷体" w:hAnsi="楷体" w:eastAsia="楷体" w:cs="楷体"/>
                <w:sz w:val="24"/>
                <w:szCs w:val="24"/>
                <w:vertAlign w:val="baseline"/>
                <w:lang w:val="en-US" w:eastAsia="zh-CN" w:bidi="ar"/>
              </w:rPr>
              <w:t>支持景区标准化房车露营基地建设。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firstLine="480" w:firstLineChars="200"/>
              <w:textAlignment w:val="auto"/>
              <w:rPr>
                <w:rFonts w:hint="eastAsia" w:ascii="楷体" w:hAnsi="楷体" w:eastAsia="楷体" w:cs="楷体"/>
                <w:sz w:val="24"/>
                <w:szCs w:val="24"/>
                <w:vertAlign w:val="baseline"/>
                <w:lang w:val="en-US" w:eastAsia="zh-CN" w:bidi="ar"/>
              </w:rPr>
            </w:pPr>
            <w:r>
              <w:rPr>
                <w:rFonts w:hint="eastAsia" w:ascii="楷体" w:hAnsi="楷体" w:eastAsia="楷体" w:cs="楷体"/>
                <w:sz w:val="24"/>
                <w:szCs w:val="24"/>
                <w:vertAlign w:val="baseline"/>
                <w:lang w:val="en-US" w:eastAsia="zh-CN" w:bidi="ar"/>
              </w:rPr>
              <w:t>探索在适宜的景点景区、特色城镇开展翼装、滑翔、跳伞等航空运动。</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firstLine="480" w:firstLineChars="200"/>
              <w:textAlignment w:val="auto"/>
              <w:rPr>
                <w:rFonts w:hint="eastAsia" w:ascii="楷体" w:hAnsi="楷体" w:eastAsia="楷体" w:cs="楷体"/>
                <w:sz w:val="24"/>
                <w:szCs w:val="24"/>
                <w:vertAlign w:val="baseline"/>
                <w:lang w:val="en-US" w:eastAsia="zh-CN" w:bidi="ar"/>
              </w:rPr>
            </w:pPr>
            <w:r>
              <w:rPr>
                <w:rFonts w:hint="eastAsia" w:ascii="楷体" w:hAnsi="楷体" w:eastAsia="楷体" w:cs="楷体"/>
                <w:sz w:val="24"/>
                <w:szCs w:val="24"/>
                <w:vertAlign w:val="baseline"/>
                <w:lang w:val="en-US" w:eastAsia="zh-CN" w:bidi="ar"/>
              </w:rPr>
              <w:t>打造一批国际一流的运动训练和赛事基地。</w:t>
            </w:r>
          </w:p>
        </w:tc>
      </w:tr>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397" w:hRule="atLeast"/>
          <w:jc w:val="center"/>
        </w:trPr>
        <w:tc>
          <w:tcPr>
            <w:tcW w:w="426"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楷体" w:hAnsi="楷体" w:eastAsia="楷体" w:cs="楷体"/>
                <w:kern w:val="2"/>
                <w:sz w:val="24"/>
                <w:szCs w:val="24"/>
                <w:vertAlign w:val="baseline"/>
                <w:lang w:val="en-US" w:eastAsia="zh-CN" w:bidi="ar-SA"/>
              </w:rPr>
            </w:pPr>
            <w:r>
              <w:rPr>
                <w:rFonts w:hint="eastAsia" w:ascii="楷体" w:hAnsi="楷体" w:eastAsia="楷体" w:cs="楷体"/>
                <w:sz w:val="24"/>
                <w:szCs w:val="24"/>
                <w:vertAlign w:val="baseline"/>
                <w:lang w:val="en-US" w:eastAsia="zh-CN"/>
              </w:rPr>
              <w:t>4</w:t>
            </w:r>
          </w:p>
        </w:tc>
        <w:tc>
          <w:tcPr>
            <w:tcW w:w="2698"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楷体" w:hAnsi="楷体" w:eastAsia="楷体" w:cs="楷体"/>
                <w:kern w:val="2"/>
                <w:sz w:val="24"/>
                <w:szCs w:val="24"/>
                <w:vertAlign w:val="baseline"/>
                <w:lang w:val="en-US" w:eastAsia="zh-CN" w:bidi="ar-SA"/>
              </w:rPr>
            </w:pPr>
            <w:r>
              <w:rPr>
                <w:rFonts w:hint="default" w:ascii="楷体" w:hAnsi="楷体" w:eastAsia="楷体" w:cs="楷体"/>
                <w:kern w:val="2"/>
                <w:sz w:val="24"/>
                <w:szCs w:val="24"/>
                <w:vertAlign w:val="baseline"/>
                <w:lang w:val="en-US" w:eastAsia="zh-CN" w:bidi="ar-SA"/>
              </w:rPr>
              <w:t>《国家生态文明试验区（海南）实施方案》</w:t>
            </w:r>
          </w:p>
        </w:tc>
        <w:tc>
          <w:tcPr>
            <w:tcW w:w="5398"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firstLine="480" w:firstLineChars="200"/>
              <w:textAlignment w:val="auto"/>
              <w:rPr>
                <w:rFonts w:hint="eastAsia" w:ascii="楷体" w:hAnsi="楷体" w:eastAsia="楷体" w:cs="楷体"/>
                <w:sz w:val="24"/>
                <w:szCs w:val="24"/>
                <w:vertAlign w:val="baseline"/>
                <w:lang w:val="en-US" w:eastAsia="zh-CN" w:bidi="ar"/>
              </w:rPr>
            </w:pPr>
            <w:r>
              <w:rPr>
                <w:rFonts w:hint="eastAsia" w:ascii="楷体" w:hAnsi="楷体" w:eastAsia="楷体" w:cs="楷体"/>
                <w:sz w:val="24"/>
                <w:szCs w:val="24"/>
                <w:vertAlign w:val="baseline"/>
                <w:lang w:val="en-US" w:eastAsia="zh-CN" w:bidi="ar"/>
              </w:rPr>
              <w:t>鼓励对农村宅基地、闲置房屋进行改造利用，发展度假民宿等新型住宿业态。</w:t>
            </w:r>
          </w:p>
        </w:tc>
      </w:tr>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397" w:hRule="atLeast"/>
          <w:jc w:val="center"/>
        </w:trPr>
        <w:tc>
          <w:tcPr>
            <w:tcW w:w="426"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楷体" w:hAnsi="楷体" w:eastAsia="楷体" w:cs="楷体"/>
                <w:kern w:val="2"/>
                <w:sz w:val="24"/>
                <w:szCs w:val="24"/>
                <w:vertAlign w:val="baseline"/>
                <w:lang w:val="en-US" w:eastAsia="zh-CN" w:bidi="ar-SA"/>
              </w:rPr>
            </w:pPr>
            <w:r>
              <w:rPr>
                <w:rFonts w:hint="eastAsia" w:ascii="楷体" w:hAnsi="楷体" w:eastAsia="楷体" w:cs="楷体"/>
                <w:sz w:val="24"/>
                <w:szCs w:val="24"/>
                <w:vertAlign w:val="baseline"/>
                <w:lang w:val="en-US" w:eastAsia="zh-CN"/>
              </w:rPr>
              <w:t>5</w:t>
            </w:r>
          </w:p>
        </w:tc>
        <w:tc>
          <w:tcPr>
            <w:tcW w:w="2698"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楷体" w:hAnsi="楷体" w:eastAsia="楷体" w:cs="楷体"/>
                <w:kern w:val="2"/>
                <w:sz w:val="24"/>
                <w:szCs w:val="24"/>
                <w:vertAlign w:val="baseline"/>
                <w:lang w:val="en-US" w:eastAsia="zh-CN" w:bidi="ar-SA"/>
              </w:rPr>
            </w:pPr>
            <w:r>
              <w:rPr>
                <w:rFonts w:hint="default" w:ascii="楷体" w:hAnsi="楷体" w:eastAsia="楷体" w:cs="楷体"/>
                <w:kern w:val="2"/>
                <w:sz w:val="24"/>
                <w:szCs w:val="24"/>
                <w:vertAlign w:val="baseline"/>
                <w:lang w:val="en-US" w:eastAsia="zh-CN" w:bidi="ar-SA"/>
              </w:rPr>
              <w:t>《国家体育总局关于支持海南自由贸易区（港）建设有关事项的复函》</w:t>
            </w:r>
          </w:p>
        </w:tc>
        <w:tc>
          <w:tcPr>
            <w:tcW w:w="5398"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480" w:firstLineChars="200"/>
              <w:textAlignment w:val="auto"/>
              <w:rPr>
                <w:rFonts w:hint="eastAsia" w:ascii="楷体" w:hAnsi="楷体" w:eastAsia="楷体" w:cs="楷体"/>
                <w:sz w:val="24"/>
                <w:szCs w:val="24"/>
                <w:vertAlign w:val="baseline"/>
                <w:lang w:val="en-US" w:eastAsia="zh-CN" w:bidi="ar"/>
              </w:rPr>
            </w:pPr>
            <w:r>
              <w:rPr>
                <w:rFonts w:hint="eastAsia" w:ascii="楷体" w:hAnsi="楷体" w:eastAsia="楷体" w:cs="楷体"/>
                <w:sz w:val="24"/>
                <w:szCs w:val="24"/>
                <w:vertAlign w:val="baseline"/>
                <w:lang w:val="en-US" w:eastAsia="zh-CN" w:bidi="ar"/>
              </w:rPr>
              <w:t>鼓励和支持海南承办国际国内体育赛事，形成海南作为自贸区和国际旅游岛富有特色的赛事体系，以体育赛事资源吸引资金和人员，带动相关产业发展。</w:t>
            </w:r>
          </w:p>
        </w:tc>
      </w:tr>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397" w:hRule="atLeast"/>
          <w:jc w:val="center"/>
        </w:trPr>
        <w:tc>
          <w:tcPr>
            <w:tcW w:w="426"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楷体" w:hAnsi="楷体" w:eastAsia="楷体" w:cs="楷体"/>
                <w:sz w:val="24"/>
                <w:szCs w:val="24"/>
                <w:vertAlign w:val="baseline"/>
                <w:lang w:val="en-US" w:eastAsia="zh-CN"/>
              </w:rPr>
            </w:pPr>
            <w:r>
              <w:rPr>
                <w:rFonts w:hint="eastAsia" w:ascii="楷体" w:hAnsi="楷体" w:eastAsia="楷体" w:cs="楷体"/>
                <w:sz w:val="24"/>
                <w:szCs w:val="24"/>
                <w:vertAlign w:val="baseline"/>
                <w:lang w:val="en-US" w:eastAsia="zh-CN"/>
              </w:rPr>
              <w:t>6</w:t>
            </w:r>
          </w:p>
        </w:tc>
        <w:tc>
          <w:tcPr>
            <w:tcW w:w="2698"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楷体" w:hAnsi="楷体" w:eastAsia="楷体" w:cs="楷体"/>
                <w:kern w:val="2"/>
                <w:sz w:val="24"/>
                <w:szCs w:val="24"/>
                <w:vertAlign w:val="baseline"/>
                <w:lang w:val="en-US" w:eastAsia="zh-CN" w:bidi="ar-SA"/>
              </w:rPr>
            </w:pPr>
            <w:r>
              <w:rPr>
                <w:rFonts w:hint="default" w:ascii="楷体" w:hAnsi="楷体" w:eastAsia="楷体" w:cs="楷体"/>
                <w:kern w:val="2"/>
                <w:sz w:val="24"/>
                <w:szCs w:val="24"/>
                <w:vertAlign w:val="baseline"/>
                <w:lang w:val="en-US" w:eastAsia="zh-CN" w:bidi="ar-SA"/>
              </w:rPr>
              <w:t>《海南省国家体育旅游示范区发展规划（2020-2025）》</w:t>
            </w:r>
          </w:p>
        </w:tc>
        <w:tc>
          <w:tcPr>
            <w:tcW w:w="5398"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firstLine="480" w:firstLineChars="200"/>
              <w:textAlignment w:val="auto"/>
              <w:rPr>
                <w:rFonts w:hint="eastAsia" w:ascii="楷体" w:hAnsi="楷体" w:eastAsia="楷体" w:cs="楷体"/>
                <w:sz w:val="24"/>
                <w:szCs w:val="24"/>
                <w:vertAlign w:val="baseline"/>
                <w:lang w:val="en-US" w:eastAsia="zh-CN" w:bidi="ar"/>
              </w:rPr>
            </w:pPr>
            <w:r>
              <w:rPr>
                <w:rFonts w:hint="eastAsia" w:ascii="楷体" w:hAnsi="楷体" w:eastAsia="楷体" w:cs="楷体"/>
                <w:sz w:val="24"/>
                <w:szCs w:val="24"/>
                <w:vertAlign w:val="baseline"/>
                <w:lang w:val="en-US" w:eastAsia="zh-CN" w:bidi="ar"/>
              </w:rPr>
              <w:t>三亚市。围绕建设国际化热带滨海体育旅游精品城市的目标，以举办2020年亚洲沙滩运动会为契机，三亚市要积极打造体育旅游精品项目，大力发展海洋旅游、低空旅游等体育旅游新业态，建设成为世界一流的精品体育旅游目的地。</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firstLine="480" w:firstLineChars="200"/>
              <w:textAlignment w:val="auto"/>
              <w:rPr>
                <w:rFonts w:hint="eastAsia" w:ascii="楷体" w:hAnsi="楷体" w:eastAsia="楷体" w:cs="楷体"/>
                <w:sz w:val="24"/>
                <w:szCs w:val="24"/>
                <w:vertAlign w:val="baseline"/>
                <w:lang w:val="en-US" w:eastAsia="zh-CN" w:bidi="ar"/>
              </w:rPr>
            </w:pPr>
            <w:r>
              <w:rPr>
                <w:rFonts w:hint="eastAsia" w:ascii="楷体" w:hAnsi="楷体" w:eastAsia="楷体" w:cs="楷体"/>
                <w:sz w:val="24"/>
                <w:szCs w:val="24"/>
                <w:vertAlign w:val="baseline"/>
                <w:lang w:val="en-US" w:eastAsia="zh-CN" w:bidi="ar"/>
              </w:rPr>
              <w:t>形成三亚体育旅游产业集聚区，将三亚打造成为国际赛事名城。</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480" w:firstLineChars="200"/>
              <w:textAlignment w:val="auto"/>
              <w:rPr>
                <w:rFonts w:hint="eastAsia" w:ascii="楷体" w:hAnsi="楷体" w:eastAsia="楷体" w:cs="楷体"/>
                <w:sz w:val="24"/>
                <w:szCs w:val="24"/>
                <w:vertAlign w:val="baseline"/>
                <w:lang w:val="en-US" w:eastAsia="zh-CN" w:bidi="ar"/>
              </w:rPr>
            </w:pPr>
            <w:r>
              <w:rPr>
                <w:rFonts w:hint="eastAsia" w:ascii="楷体" w:hAnsi="楷体" w:eastAsia="楷体" w:cs="楷体"/>
                <w:sz w:val="24"/>
                <w:szCs w:val="24"/>
                <w:vertAlign w:val="baseline"/>
                <w:lang w:val="en-US" w:eastAsia="zh-CN" w:bidi="ar"/>
              </w:rPr>
              <w:t>南部沙滩运动中心重点发展三亚等地区，打造以沙滩足球、沙滩马拉松运动等休闲与竞技兼顾的沙滩运动。</w:t>
            </w:r>
          </w:p>
        </w:tc>
      </w:tr>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397" w:hRule="atLeast"/>
          <w:jc w:val="center"/>
        </w:trPr>
        <w:tc>
          <w:tcPr>
            <w:tcW w:w="426" w:type="dxa"/>
            <w:tcBorders>
              <w:bottom w:val="thickThinSmallGap" w:color="A4A4A4" w:sz="12" w:space="0"/>
            </w:tcBorders>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楷体" w:hAnsi="楷体" w:eastAsia="楷体" w:cs="楷体"/>
                <w:sz w:val="24"/>
                <w:szCs w:val="24"/>
                <w:vertAlign w:val="baseline"/>
                <w:lang w:val="en-US" w:eastAsia="zh-CN"/>
              </w:rPr>
            </w:pPr>
            <w:r>
              <w:rPr>
                <w:rFonts w:hint="eastAsia" w:ascii="楷体" w:hAnsi="楷体" w:eastAsia="楷体" w:cs="楷体"/>
                <w:sz w:val="24"/>
                <w:szCs w:val="24"/>
                <w:vertAlign w:val="baseline"/>
                <w:lang w:val="en-US" w:eastAsia="zh-CN"/>
              </w:rPr>
              <w:t>7</w:t>
            </w:r>
          </w:p>
        </w:tc>
        <w:tc>
          <w:tcPr>
            <w:tcW w:w="2698" w:type="dxa"/>
            <w:tcBorders>
              <w:bottom w:val="thickThinSmallGap" w:color="A4A4A4" w:sz="12" w:space="0"/>
            </w:tcBorders>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楷体" w:hAnsi="楷体" w:eastAsia="楷体" w:cs="楷体"/>
                <w:kern w:val="2"/>
                <w:sz w:val="24"/>
                <w:szCs w:val="24"/>
                <w:vertAlign w:val="baseline"/>
                <w:lang w:val="en-US" w:eastAsia="zh-CN" w:bidi="ar-SA"/>
              </w:rPr>
            </w:pPr>
            <w:r>
              <w:rPr>
                <w:rFonts w:hint="eastAsia" w:ascii="楷体" w:hAnsi="楷体" w:eastAsia="楷体" w:cs="楷体"/>
                <w:kern w:val="2"/>
                <w:sz w:val="24"/>
                <w:szCs w:val="24"/>
                <w:vertAlign w:val="baseline"/>
                <w:lang w:val="en-US" w:eastAsia="zh-CN" w:bidi="ar-SA"/>
              </w:rPr>
              <w:t>《海南省休闲渔业发展规划（2019-2025年）》</w:t>
            </w:r>
          </w:p>
        </w:tc>
        <w:tc>
          <w:tcPr>
            <w:tcW w:w="5398" w:type="dxa"/>
            <w:tcBorders>
              <w:bottom w:val="thickThinSmallGap" w:color="A4A4A4" w:sz="12" w:space="0"/>
            </w:tcBorders>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firstLine="480" w:firstLineChars="200"/>
              <w:textAlignment w:val="auto"/>
              <w:rPr>
                <w:rFonts w:hint="eastAsia" w:ascii="楷体" w:hAnsi="楷体" w:eastAsia="楷体" w:cs="楷体"/>
                <w:sz w:val="24"/>
                <w:szCs w:val="24"/>
                <w:vertAlign w:val="baseline"/>
                <w:lang w:val="en-US" w:eastAsia="zh-CN" w:bidi="ar"/>
              </w:rPr>
            </w:pPr>
            <w:r>
              <w:rPr>
                <w:rFonts w:hint="eastAsia" w:ascii="楷体" w:hAnsi="楷体" w:eastAsia="楷体" w:cs="楷体"/>
                <w:sz w:val="24"/>
                <w:szCs w:val="24"/>
                <w:vertAlign w:val="baseline"/>
                <w:lang w:val="en-US" w:eastAsia="zh-CN" w:bidi="ar"/>
              </w:rPr>
              <w:t>打造三亚崖州休闲渔业产业聚集示范区，升级崖州中心渔港，建设休闲渔业船舶服务设施。依托南繁基地优势，加大热带观赏鱼的繁育，带动水族观赏鱼产业发展。发展海上牧场休闲垂钓、渔事观光体验、水上运动等活动。</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firstLine="480" w:firstLineChars="200"/>
              <w:textAlignment w:val="auto"/>
              <w:rPr>
                <w:rFonts w:hint="eastAsia" w:ascii="楷体" w:hAnsi="楷体" w:eastAsia="楷体" w:cs="楷体"/>
                <w:sz w:val="24"/>
                <w:szCs w:val="24"/>
                <w:vertAlign w:val="baseline"/>
                <w:lang w:val="en-US" w:eastAsia="zh-CN" w:bidi="ar"/>
              </w:rPr>
            </w:pPr>
            <w:r>
              <w:rPr>
                <w:rFonts w:hint="eastAsia" w:ascii="楷体" w:hAnsi="楷体" w:eastAsia="楷体" w:cs="楷体"/>
                <w:sz w:val="24"/>
                <w:szCs w:val="24"/>
                <w:vertAlign w:val="baseline"/>
                <w:lang w:val="en-US" w:eastAsia="zh-CN" w:bidi="ar"/>
              </w:rPr>
              <w:t>坚持全产业链培育，将休闲娱乐、休闲旅游、餐饮美食、生态建设、文化传承、科普宣传等活动与渔业有机结合，打造完整的休闲渔业产业链和价值链，创新“休闲渔业+”行业发展模式。</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firstLine="480" w:firstLineChars="200"/>
              <w:textAlignment w:val="auto"/>
              <w:rPr>
                <w:rFonts w:hint="eastAsia" w:ascii="楷体" w:hAnsi="楷体" w:eastAsia="楷体" w:cs="楷体"/>
                <w:sz w:val="24"/>
                <w:szCs w:val="24"/>
                <w:vertAlign w:val="baseline"/>
                <w:lang w:val="en-US" w:eastAsia="zh-CN" w:bidi="ar"/>
              </w:rPr>
            </w:pPr>
            <w:r>
              <w:rPr>
                <w:rFonts w:hint="eastAsia" w:ascii="楷体" w:hAnsi="楷体" w:eastAsia="楷体" w:cs="楷体"/>
                <w:sz w:val="24"/>
                <w:szCs w:val="24"/>
                <w:vertAlign w:val="baseline"/>
                <w:lang w:val="en-US" w:eastAsia="zh-CN" w:bidi="ar"/>
              </w:rPr>
              <w:t>在三亚等市县先行先试，确定一批试点赛事基地、一批试点钓场，加快崖州港等海钓赛事基地改建。</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firstLine="480" w:firstLineChars="200"/>
              <w:textAlignment w:val="auto"/>
              <w:rPr>
                <w:rFonts w:hint="eastAsia" w:ascii="楷体" w:hAnsi="楷体" w:eastAsia="楷体" w:cs="楷体"/>
                <w:sz w:val="24"/>
                <w:szCs w:val="24"/>
                <w:vertAlign w:val="baseline"/>
                <w:lang w:val="en-US" w:eastAsia="zh-CN" w:bidi="ar"/>
              </w:rPr>
            </w:pPr>
            <w:r>
              <w:rPr>
                <w:rFonts w:hint="eastAsia" w:ascii="楷体" w:hAnsi="楷体" w:eastAsia="楷体" w:cs="楷体"/>
                <w:sz w:val="24"/>
                <w:szCs w:val="24"/>
                <w:vertAlign w:val="baseline"/>
                <w:lang w:val="en-US" w:eastAsia="zh-CN" w:bidi="ar"/>
              </w:rPr>
              <w:t>开展休闲渔业船舶（游钓船艇）租赁业务试点。</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firstLine="480" w:firstLineChars="200"/>
              <w:textAlignment w:val="auto"/>
              <w:rPr>
                <w:rFonts w:hint="eastAsia" w:ascii="楷体" w:hAnsi="楷体" w:eastAsia="楷体" w:cs="楷体"/>
                <w:sz w:val="24"/>
                <w:szCs w:val="24"/>
                <w:vertAlign w:val="baseline"/>
                <w:lang w:val="en-US" w:eastAsia="zh-CN" w:bidi="ar"/>
              </w:rPr>
            </w:pPr>
            <w:r>
              <w:rPr>
                <w:rFonts w:hint="eastAsia" w:ascii="楷体" w:hAnsi="楷体" w:eastAsia="楷体" w:cs="楷体"/>
                <w:sz w:val="24"/>
                <w:szCs w:val="24"/>
                <w:vertAlign w:val="baseline"/>
                <w:lang w:val="en-US" w:eastAsia="zh-CN" w:bidi="ar"/>
              </w:rPr>
              <w:t>积极对接行业协会、国际钓鱼协会、中国休闲垂钓协会资源，健全海钓运动（赛事）体系，打造一批国际一流的培训和赛事基地。组织举办国际国内海钓赛事。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480" w:firstLineChars="200"/>
              <w:textAlignment w:val="auto"/>
              <w:rPr>
                <w:rFonts w:hint="eastAsia" w:ascii="楷体" w:hAnsi="楷体" w:eastAsia="楷体" w:cs="楷体"/>
                <w:kern w:val="2"/>
                <w:sz w:val="24"/>
                <w:szCs w:val="24"/>
                <w:vertAlign w:val="baseline"/>
                <w:lang w:val="en-US" w:eastAsia="zh-CN" w:bidi="ar"/>
              </w:rPr>
            </w:pPr>
            <w:r>
              <w:rPr>
                <w:rFonts w:hint="eastAsia" w:ascii="楷体" w:hAnsi="楷体" w:eastAsia="楷体" w:cs="楷体"/>
                <w:sz w:val="24"/>
                <w:szCs w:val="24"/>
                <w:vertAlign w:val="baseline"/>
                <w:lang w:val="en-US" w:eastAsia="zh-CN" w:bidi="ar"/>
              </w:rPr>
              <w:t>到2025年，创建三亚崖州国家、省级精品休闲渔业示范基地（休闲渔业主题公园），创建三亚崖州国际（国家）海钓赛事基地，建设三亚崖州具有国际水平的休闲渔业综合示范区。</w:t>
            </w:r>
          </w:p>
        </w:tc>
      </w:tr>
    </w:tbl>
    <w:p>
      <w:pPr>
        <w:pStyle w:val="4"/>
        <w:bidi w:val="0"/>
        <w:rPr>
          <w:rFonts w:hint="eastAsia"/>
          <w:lang w:val="en-US" w:eastAsia="zh-CN"/>
        </w:rPr>
      </w:pPr>
      <w:bookmarkStart w:id="395" w:name="_Toc31138"/>
      <w:bookmarkStart w:id="396" w:name="_Toc11039"/>
      <w:bookmarkStart w:id="397" w:name="_Toc1734"/>
      <w:r>
        <w:rPr>
          <w:rFonts w:hint="eastAsia"/>
          <w:lang w:val="en-US" w:eastAsia="zh-CN"/>
        </w:rPr>
        <w:t>三、商贸物流业政策解读</w:t>
      </w:r>
      <w:bookmarkEnd w:id="395"/>
      <w:bookmarkEnd w:id="396"/>
      <w:bookmarkEnd w:id="397"/>
    </w:p>
    <w:p>
      <w:pPr>
        <w:pStyle w:val="5"/>
        <w:numPr>
          <w:ilvl w:val="0"/>
          <w:numId w:val="37"/>
        </w:numPr>
        <w:bidi w:val="0"/>
        <w:rPr>
          <w:rFonts w:hint="default"/>
          <w:lang w:val="en-US" w:eastAsia="zh-CN"/>
        </w:rPr>
      </w:pPr>
      <w:bookmarkStart w:id="398" w:name="_Toc17719"/>
      <w:bookmarkStart w:id="399" w:name="_Toc526"/>
      <w:bookmarkStart w:id="400" w:name="_Toc20693"/>
      <w:r>
        <w:rPr>
          <w:rFonts w:hint="eastAsia"/>
          <w:lang w:val="en-US" w:eastAsia="zh-CN"/>
        </w:rPr>
        <w:t>打造全球性商贸物流节点</w:t>
      </w:r>
      <w:bookmarkEnd w:id="398"/>
      <w:bookmarkEnd w:id="399"/>
      <w:bookmarkEnd w:id="400"/>
    </w:p>
    <w:p>
      <w:pPr>
        <w:rPr>
          <w:rFonts w:hint="eastAsia"/>
          <w:lang w:val="en-US" w:eastAsia="zh-CN"/>
        </w:rPr>
      </w:pPr>
      <w:r>
        <w:rPr>
          <w:rFonts w:hint="eastAsia" w:ascii="仿宋_GB2312" w:eastAsia="仿宋_GB2312"/>
          <w:lang w:val="en-US" w:eastAsia="zh-CN"/>
        </w:rPr>
        <w:t>打造联通国际国内的</w:t>
      </w:r>
      <w:r>
        <w:rPr>
          <w:rFonts w:hint="eastAsia" w:ascii="仿宋_GB2312" w:eastAsia="仿宋_GB2312"/>
          <w:b/>
          <w:bCs/>
          <w:lang w:val="en-US" w:eastAsia="zh-CN"/>
        </w:rPr>
        <w:t>全球性商贸物流节点</w:t>
      </w:r>
      <w:r>
        <w:rPr>
          <w:rFonts w:hint="eastAsia" w:ascii="仿宋_GB2312" w:eastAsia="仿宋_GB2312"/>
          <w:lang w:val="en-US" w:eastAsia="zh-CN"/>
        </w:rPr>
        <w:t>。</w:t>
      </w:r>
    </w:p>
    <w:p>
      <w:pPr>
        <w:pStyle w:val="5"/>
        <w:numPr>
          <w:ilvl w:val="0"/>
          <w:numId w:val="37"/>
        </w:numPr>
        <w:bidi w:val="0"/>
        <w:rPr>
          <w:rFonts w:hint="eastAsia"/>
          <w:lang w:val="en-US" w:eastAsia="zh-CN"/>
        </w:rPr>
      </w:pPr>
      <w:bookmarkStart w:id="401" w:name="_Toc7806"/>
      <w:bookmarkStart w:id="402" w:name="_Toc29136"/>
      <w:bookmarkStart w:id="403" w:name="_Toc6724"/>
      <w:r>
        <w:rPr>
          <w:rFonts w:hint="eastAsia"/>
          <w:lang w:val="en-US" w:eastAsia="zh-CN"/>
        </w:rPr>
        <w:t>发展（跨境）电子商务</w:t>
      </w:r>
      <w:bookmarkEnd w:id="401"/>
      <w:bookmarkEnd w:id="402"/>
      <w:bookmarkEnd w:id="403"/>
    </w:p>
    <w:p>
      <w:pPr>
        <w:rPr>
          <w:rFonts w:hint="eastAsia"/>
          <w:lang w:val="en-US" w:eastAsia="zh-CN"/>
        </w:rPr>
      </w:pPr>
      <w:r>
        <w:rPr>
          <w:rFonts w:hint="eastAsia" w:ascii="仿宋_GB2312" w:eastAsia="仿宋_GB2312"/>
          <w:lang w:val="en-US" w:eastAsia="zh-CN"/>
        </w:rPr>
        <w:t>在三亚市设立</w:t>
      </w:r>
      <w:r>
        <w:rPr>
          <w:rFonts w:hint="eastAsia" w:ascii="仿宋_GB2312" w:eastAsia="仿宋_GB2312"/>
          <w:b/>
          <w:bCs/>
          <w:lang w:val="en-US" w:eastAsia="zh-CN"/>
        </w:rPr>
        <w:t>跨境电子商务综合试验区</w:t>
      </w:r>
      <w:r>
        <w:rPr>
          <w:rFonts w:hint="eastAsia" w:ascii="仿宋_GB2312" w:eastAsia="仿宋_GB2312"/>
          <w:lang w:val="en-US" w:eastAsia="zh-CN"/>
        </w:rPr>
        <w:t>。建设</w:t>
      </w:r>
      <w:r>
        <w:rPr>
          <w:rFonts w:hint="eastAsia" w:ascii="仿宋_GB2312" w:eastAsia="仿宋_GB2312"/>
          <w:b/>
          <w:bCs/>
          <w:lang w:val="en-US" w:eastAsia="zh-CN"/>
        </w:rPr>
        <w:t>保税渔港</w:t>
      </w:r>
      <w:r>
        <w:rPr>
          <w:rFonts w:hint="eastAsia" w:ascii="仿宋_GB2312" w:eastAsia="仿宋_GB2312"/>
          <w:lang w:val="en-US" w:eastAsia="zh-CN"/>
        </w:rPr>
        <w:t>。促进现代种养业与加工、仓储物流等深度融合，支持农村一二三产业融合发展先导区建设。积极发展农村物流。</w:t>
      </w:r>
    </w:p>
    <w:p>
      <w:pPr>
        <w:pStyle w:val="5"/>
        <w:numPr>
          <w:ilvl w:val="0"/>
          <w:numId w:val="37"/>
        </w:numPr>
        <w:bidi w:val="0"/>
        <w:rPr>
          <w:rFonts w:hint="default"/>
          <w:lang w:val="en-US" w:eastAsia="zh-CN"/>
        </w:rPr>
      </w:pPr>
      <w:bookmarkStart w:id="404" w:name="_Toc17708"/>
      <w:bookmarkStart w:id="405" w:name="_Toc25990"/>
      <w:bookmarkStart w:id="406" w:name="_Toc10034"/>
      <w:r>
        <w:rPr>
          <w:rFonts w:hint="eastAsia"/>
          <w:lang w:val="en-US" w:eastAsia="zh-CN"/>
        </w:rPr>
        <w:t>建设冷链基础设施网络</w:t>
      </w:r>
      <w:bookmarkEnd w:id="404"/>
      <w:bookmarkEnd w:id="405"/>
      <w:bookmarkEnd w:id="406"/>
    </w:p>
    <w:p>
      <w:pPr>
        <w:rPr>
          <w:rFonts w:hint="eastAsia"/>
          <w:lang w:val="en-US" w:eastAsia="zh-CN"/>
        </w:rPr>
      </w:pPr>
      <w:r>
        <w:rPr>
          <w:rFonts w:hint="eastAsia" w:ascii="仿宋_GB2312" w:eastAsia="仿宋_GB2312"/>
          <w:lang w:val="en-US" w:eastAsia="zh-CN"/>
        </w:rPr>
        <w:t>建设</w:t>
      </w:r>
      <w:r>
        <w:rPr>
          <w:rFonts w:hint="eastAsia" w:ascii="仿宋_GB2312" w:eastAsia="仿宋_GB2312"/>
          <w:b/>
          <w:bCs/>
          <w:lang w:val="en-US" w:eastAsia="zh-CN"/>
        </w:rPr>
        <w:t>冷链基础设施网络</w:t>
      </w:r>
      <w:r>
        <w:rPr>
          <w:rFonts w:hint="eastAsia" w:ascii="仿宋_GB2312" w:eastAsia="仿宋_GB2312"/>
          <w:lang w:val="en-US" w:eastAsia="zh-CN"/>
        </w:rPr>
        <w:t>，打造出岛快速冷链通道，围绕水果、蔬菜等鲜活农产品开展仓储保鲜冷链设施建设。完善渔港配套设施和基本服务功能，发展水产品加工、</w:t>
      </w:r>
      <w:r>
        <w:rPr>
          <w:rFonts w:hint="eastAsia" w:ascii="仿宋_GB2312" w:eastAsia="仿宋_GB2312"/>
          <w:b/>
          <w:bCs/>
          <w:lang w:val="en-US" w:eastAsia="zh-CN"/>
        </w:rPr>
        <w:t>冷链物流</w:t>
      </w:r>
      <w:r>
        <w:rPr>
          <w:rFonts w:hint="eastAsia" w:ascii="仿宋_GB2312" w:eastAsia="仿宋_GB2312"/>
          <w:lang w:val="en-US" w:eastAsia="zh-CN"/>
        </w:rPr>
        <w:t>、市场交易等渔区二、三产业。</w:t>
      </w:r>
    </w:p>
    <w:tbl>
      <w:tblPr>
        <w:tblStyle w:val="18"/>
        <w:tblW w:w="5000" w:type="pct"/>
        <w:jc w:val="center"/>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Layout w:type="fixed"/>
        <w:tblCellMar>
          <w:top w:w="0" w:type="dxa"/>
          <w:left w:w="108" w:type="dxa"/>
          <w:bottom w:w="0" w:type="dxa"/>
          <w:right w:w="108" w:type="dxa"/>
        </w:tblCellMar>
      </w:tblPr>
      <w:tblGrid>
        <w:gridCol w:w="426"/>
        <w:gridCol w:w="2698"/>
        <w:gridCol w:w="5398"/>
      </w:tblGrid>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397" w:hRule="atLeast"/>
          <w:jc w:val="center"/>
        </w:trPr>
        <w:tc>
          <w:tcPr>
            <w:tcW w:w="8522" w:type="dxa"/>
            <w:gridSpan w:val="3"/>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楷体" w:hAnsi="楷体" w:eastAsia="楷体" w:cs="楷体"/>
                <w:b/>
                <w:bCs/>
                <w:sz w:val="24"/>
                <w:szCs w:val="24"/>
                <w:vertAlign w:val="baseline"/>
                <w:lang w:val="en-US"/>
              </w:rPr>
            </w:pPr>
            <w:r>
              <w:rPr>
                <w:rFonts w:hint="eastAsia" w:ascii="楷体" w:hAnsi="楷体" w:eastAsia="楷体" w:cs="楷体"/>
                <w:b/>
                <w:bCs/>
                <w:sz w:val="24"/>
                <w:szCs w:val="24"/>
                <w:lang w:val="en-US" w:eastAsia="zh-CN"/>
              </w:rPr>
              <w:t>专栏17  崖州发展商贸物流业上位政策规划出处和原文</w:t>
            </w:r>
          </w:p>
        </w:tc>
      </w:tr>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397" w:hRule="atLeast"/>
          <w:jc w:val="center"/>
        </w:trPr>
        <w:tc>
          <w:tcPr>
            <w:tcW w:w="426"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楷体" w:hAnsi="楷体" w:eastAsia="楷体" w:cs="楷体"/>
                <w:b w:val="0"/>
                <w:bCs w:val="0"/>
                <w:kern w:val="2"/>
                <w:sz w:val="24"/>
                <w:szCs w:val="24"/>
                <w:vertAlign w:val="baseline"/>
                <w:lang w:val="en-US" w:eastAsia="zh-CN" w:bidi="ar-SA"/>
              </w:rPr>
            </w:pPr>
          </w:p>
        </w:tc>
        <w:tc>
          <w:tcPr>
            <w:tcW w:w="2698"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楷体" w:hAnsi="楷体" w:eastAsia="楷体" w:cs="楷体"/>
                <w:b w:val="0"/>
                <w:bCs w:val="0"/>
                <w:kern w:val="2"/>
                <w:sz w:val="24"/>
                <w:szCs w:val="24"/>
                <w:vertAlign w:val="baseline"/>
                <w:lang w:val="en-US" w:eastAsia="zh-CN" w:bidi="ar-SA"/>
              </w:rPr>
            </w:pPr>
            <w:r>
              <w:rPr>
                <w:rFonts w:hint="eastAsia" w:ascii="楷体" w:hAnsi="楷体" w:eastAsia="楷体" w:cs="楷体"/>
                <w:b w:val="0"/>
                <w:bCs w:val="0"/>
                <w:kern w:val="2"/>
                <w:sz w:val="24"/>
                <w:szCs w:val="24"/>
                <w:vertAlign w:val="baseline"/>
                <w:lang w:val="en-US" w:eastAsia="zh-CN" w:bidi="ar-SA"/>
              </w:rPr>
              <w:t>出处</w:t>
            </w:r>
          </w:p>
        </w:tc>
        <w:tc>
          <w:tcPr>
            <w:tcW w:w="5398"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楷体" w:hAnsi="楷体" w:eastAsia="楷体" w:cs="楷体"/>
                <w:b w:val="0"/>
                <w:bCs w:val="0"/>
                <w:kern w:val="2"/>
                <w:sz w:val="24"/>
                <w:szCs w:val="24"/>
                <w:vertAlign w:val="baseline"/>
                <w:lang w:val="en-US" w:eastAsia="zh-CN" w:bidi="ar-SA"/>
              </w:rPr>
            </w:pPr>
            <w:r>
              <w:rPr>
                <w:rFonts w:hint="eastAsia" w:ascii="楷体" w:hAnsi="楷体" w:eastAsia="楷体" w:cs="楷体"/>
                <w:b w:val="0"/>
                <w:bCs w:val="0"/>
                <w:kern w:val="2"/>
                <w:sz w:val="24"/>
                <w:szCs w:val="24"/>
                <w:vertAlign w:val="baseline"/>
                <w:lang w:val="en-US" w:eastAsia="zh-CN" w:bidi="ar-SA"/>
              </w:rPr>
              <w:t>原文</w:t>
            </w:r>
          </w:p>
        </w:tc>
      </w:tr>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397" w:hRule="atLeast"/>
          <w:jc w:val="center"/>
        </w:trPr>
        <w:tc>
          <w:tcPr>
            <w:tcW w:w="426"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楷体" w:hAnsi="楷体" w:eastAsia="楷体" w:cs="楷体"/>
                <w:sz w:val="24"/>
                <w:szCs w:val="24"/>
                <w:vertAlign w:val="baseline"/>
                <w:lang w:val="en-US" w:eastAsia="zh-CN"/>
              </w:rPr>
            </w:pPr>
            <w:r>
              <w:rPr>
                <w:rFonts w:hint="eastAsia" w:ascii="楷体" w:hAnsi="楷体" w:eastAsia="楷体" w:cs="楷体"/>
                <w:sz w:val="24"/>
                <w:szCs w:val="24"/>
                <w:vertAlign w:val="baseline"/>
                <w:lang w:val="en-US" w:eastAsia="zh-CN"/>
              </w:rPr>
              <w:t>1</w:t>
            </w:r>
          </w:p>
        </w:tc>
        <w:tc>
          <w:tcPr>
            <w:tcW w:w="2698"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楷体" w:hAnsi="楷体" w:eastAsia="楷体" w:cs="楷体"/>
                <w:kern w:val="2"/>
                <w:sz w:val="24"/>
                <w:szCs w:val="24"/>
                <w:vertAlign w:val="baseline"/>
                <w:lang w:val="en-US" w:eastAsia="zh-CN" w:bidi="ar-SA"/>
              </w:rPr>
            </w:pPr>
            <w:r>
              <w:rPr>
                <w:rFonts w:hint="default" w:ascii="楷体" w:hAnsi="楷体" w:eastAsia="楷体" w:cs="楷体"/>
                <w:kern w:val="2"/>
                <w:sz w:val="24"/>
                <w:szCs w:val="24"/>
                <w:vertAlign w:val="baseline"/>
                <w:lang w:val="en-US" w:eastAsia="zh-CN" w:bidi="ar-SA"/>
              </w:rPr>
              <w:t>《中国（海南）自由贸易试验区总体方案》</w:t>
            </w:r>
          </w:p>
        </w:tc>
        <w:tc>
          <w:tcPr>
            <w:tcW w:w="5398"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firstLine="480" w:firstLineChars="200"/>
              <w:textAlignment w:val="auto"/>
              <w:rPr>
                <w:rFonts w:hint="eastAsia" w:ascii="楷体" w:hAnsi="楷体" w:eastAsia="楷体" w:cs="楷体"/>
                <w:sz w:val="24"/>
                <w:szCs w:val="24"/>
                <w:vertAlign w:val="baseline"/>
                <w:lang w:val="en-US" w:eastAsia="zh-CN" w:bidi="ar"/>
              </w:rPr>
            </w:pPr>
            <w:r>
              <w:rPr>
                <w:rFonts w:hint="eastAsia" w:ascii="楷体" w:hAnsi="楷体" w:eastAsia="楷体" w:cs="楷体"/>
                <w:sz w:val="24"/>
                <w:szCs w:val="24"/>
                <w:vertAlign w:val="baseline"/>
                <w:lang w:val="en-US" w:eastAsia="zh-CN" w:bidi="ar"/>
              </w:rPr>
              <w:t>打造联通国际国内的全球性商贸物流节点。加强冷链基础设施网络建设，打造出岛快速冷链通道，提供高质量的冷链快递物流服务。</w:t>
            </w:r>
          </w:p>
        </w:tc>
      </w:tr>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397" w:hRule="atLeast"/>
          <w:jc w:val="center"/>
        </w:trPr>
        <w:tc>
          <w:tcPr>
            <w:tcW w:w="426"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楷体" w:hAnsi="楷体" w:eastAsia="楷体" w:cs="楷体"/>
                <w:sz w:val="24"/>
                <w:szCs w:val="24"/>
                <w:vertAlign w:val="baseline"/>
                <w:lang w:val="en-US" w:eastAsia="zh-CN"/>
              </w:rPr>
            </w:pPr>
            <w:r>
              <w:rPr>
                <w:rFonts w:hint="eastAsia" w:ascii="楷体" w:hAnsi="楷体" w:eastAsia="楷体" w:cs="楷体"/>
                <w:sz w:val="24"/>
                <w:szCs w:val="24"/>
                <w:vertAlign w:val="baseline"/>
                <w:lang w:val="en-US" w:eastAsia="zh-CN"/>
              </w:rPr>
              <w:t>2</w:t>
            </w:r>
          </w:p>
        </w:tc>
        <w:tc>
          <w:tcPr>
            <w:tcW w:w="2698"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楷体" w:hAnsi="楷体" w:eastAsia="楷体" w:cs="楷体"/>
                <w:kern w:val="2"/>
                <w:sz w:val="24"/>
                <w:szCs w:val="24"/>
                <w:vertAlign w:val="baseline"/>
                <w:lang w:val="en-US" w:eastAsia="zh-CN" w:bidi="ar-SA"/>
              </w:rPr>
            </w:pPr>
            <w:r>
              <w:rPr>
                <w:rFonts w:hint="default" w:ascii="楷体" w:hAnsi="楷体" w:eastAsia="楷体" w:cs="楷体"/>
                <w:kern w:val="2"/>
                <w:sz w:val="24"/>
                <w:szCs w:val="24"/>
                <w:vertAlign w:val="baseline"/>
                <w:lang w:val="en-US" w:eastAsia="zh-CN" w:bidi="ar-SA"/>
              </w:rPr>
              <w:t>《国家生态文明试验区（海南）实施方案》</w:t>
            </w:r>
          </w:p>
        </w:tc>
        <w:tc>
          <w:tcPr>
            <w:tcW w:w="5398"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firstLine="480" w:firstLineChars="200"/>
              <w:textAlignment w:val="auto"/>
              <w:rPr>
                <w:rFonts w:hint="eastAsia" w:ascii="楷体" w:hAnsi="楷体" w:eastAsia="楷体" w:cs="楷体"/>
                <w:sz w:val="24"/>
                <w:szCs w:val="24"/>
                <w:vertAlign w:val="baseline"/>
                <w:lang w:val="en-US" w:eastAsia="zh-CN" w:bidi="ar"/>
              </w:rPr>
            </w:pPr>
            <w:r>
              <w:rPr>
                <w:rFonts w:hint="eastAsia" w:ascii="楷体" w:hAnsi="楷体" w:eastAsia="楷体" w:cs="楷体"/>
                <w:sz w:val="24"/>
                <w:szCs w:val="24"/>
                <w:vertAlign w:val="baseline"/>
                <w:lang w:val="en-US" w:eastAsia="zh-CN" w:bidi="ar"/>
              </w:rPr>
              <w:t>实施农产品加工业提升行动，完善现代化仓储、物流、电子商务服务体系。</w:t>
            </w:r>
          </w:p>
        </w:tc>
      </w:tr>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397" w:hRule="atLeast"/>
          <w:jc w:val="center"/>
        </w:trPr>
        <w:tc>
          <w:tcPr>
            <w:tcW w:w="426"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楷体" w:hAnsi="楷体" w:eastAsia="楷体" w:cs="楷体"/>
                <w:sz w:val="24"/>
                <w:szCs w:val="24"/>
                <w:vertAlign w:val="baseline"/>
                <w:lang w:val="en-US" w:eastAsia="zh-CN"/>
              </w:rPr>
            </w:pPr>
            <w:r>
              <w:rPr>
                <w:rFonts w:hint="eastAsia" w:ascii="楷体" w:hAnsi="楷体" w:eastAsia="楷体" w:cs="楷体"/>
                <w:sz w:val="24"/>
                <w:szCs w:val="24"/>
                <w:vertAlign w:val="baseline"/>
                <w:lang w:val="en-US" w:eastAsia="zh-CN"/>
              </w:rPr>
              <w:t>3</w:t>
            </w:r>
          </w:p>
        </w:tc>
        <w:tc>
          <w:tcPr>
            <w:tcW w:w="2698"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楷体" w:hAnsi="楷体" w:eastAsia="楷体" w:cs="楷体"/>
                <w:kern w:val="2"/>
                <w:sz w:val="24"/>
                <w:szCs w:val="24"/>
                <w:vertAlign w:val="baseline"/>
                <w:lang w:val="en-US" w:eastAsia="zh-CN" w:bidi="ar-SA"/>
              </w:rPr>
            </w:pPr>
            <w:r>
              <w:rPr>
                <w:rFonts w:hint="default" w:ascii="楷体" w:hAnsi="楷体" w:eastAsia="楷体" w:cs="楷体"/>
                <w:kern w:val="2"/>
                <w:sz w:val="24"/>
                <w:szCs w:val="24"/>
                <w:vertAlign w:val="baseline"/>
                <w:lang w:val="en-US" w:eastAsia="zh-CN" w:bidi="ar-SA"/>
              </w:rPr>
              <w:t>交通运输部贯彻落实《中共中央国务院关于支持海南全面深化改革开放的指导意见》实施方案</w:t>
            </w:r>
          </w:p>
        </w:tc>
        <w:tc>
          <w:tcPr>
            <w:tcW w:w="5398"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firstLine="480" w:firstLineChars="200"/>
              <w:textAlignment w:val="auto"/>
              <w:rPr>
                <w:rFonts w:hint="eastAsia" w:ascii="楷体" w:hAnsi="楷体" w:eastAsia="楷体" w:cs="楷体"/>
                <w:sz w:val="24"/>
                <w:szCs w:val="24"/>
                <w:vertAlign w:val="baseline"/>
                <w:lang w:val="en-US" w:eastAsia="zh-CN" w:bidi="ar"/>
              </w:rPr>
            </w:pPr>
            <w:r>
              <w:rPr>
                <w:rFonts w:hint="eastAsia" w:ascii="楷体" w:hAnsi="楷体" w:eastAsia="楷体" w:cs="楷体"/>
                <w:sz w:val="24"/>
                <w:szCs w:val="24"/>
                <w:vertAlign w:val="baseline"/>
                <w:lang w:val="en-US" w:eastAsia="zh-CN" w:bidi="ar"/>
              </w:rPr>
              <w:t>因地制宜整合交通、电商、邮政、快递等资源，积极发展农村物流。</w:t>
            </w:r>
          </w:p>
        </w:tc>
      </w:tr>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397" w:hRule="atLeast"/>
          <w:jc w:val="center"/>
        </w:trPr>
        <w:tc>
          <w:tcPr>
            <w:tcW w:w="426"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楷体" w:hAnsi="楷体" w:eastAsia="楷体" w:cs="楷体"/>
                <w:sz w:val="24"/>
                <w:szCs w:val="24"/>
                <w:vertAlign w:val="baseline"/>
                <w:lang w:val="en-US" w:eastAsia="zh-CN"/>
              </w:rPr>
            </w:pPr>
            <w:r>
              <w:rPr>
                <w:rFonts w:hint="eastAsia" w:ascii="楷体" w:hAnsi="楷体" w:eastAsia="楷体" w:cs="楷体"/>
                <w:sz w:val="24"/>
                <w:szCs w:val="24"/>
                <w:vertAlign w:val="baseline"/>
                <w:lang w:val="en-US" w:eastAsia="zh-CN"/>
              </w:rPr>
              <w:t>4</w:t>
            </w:r>
          </w:p>
        </w:tc>
        <w:tc>
          <w:tcPr>
            <w:tcW w:w="2698"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楷体" w:hAnsi="楷体" w:eastAsia="楷体" w:cs="楷体"/>
                <w:kern w:val="2"/>
                <w:sz w:val="24"/>
                <w:szCs w:val="24"/>
                <w:vertAlign w:val="baseline"/>
                <w:lang w:val="en-US" w:eastAsia="zh-CN" w:bidi="ar-SA"/>
              </w:rPr>
            </w:pPr>
            <w:r>
              <w:rPr>
                <w:rFonts w:hint="default" w:ascii="楷体" w:hAnsi="楷体" w:eastAsia="楷体" w:cs="楷体"/>
                <w:kern w:val="2"/>
                <w:sz w:val="24"/>
                <w:szCs w:val="24"/>
                <w:vertAlign w:val="baseline"/>
                <w:lang w:val="en-US" w:eastAsia="zh-CN" w:bidi="ar-SA"/>
              </w:rPr>
              <w:t>农业农村部贯彻落实《中共中央国务院关于支持海南全面深化改革开放的指导意见》实施方案</w:t>
            </w:r>
          </w:p>
        </w:tc>
        <w:tc>
          <w:tcPr>
            <w:tcW w:w="5398"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firstLine="480" w:firstLineChars="200"/>
              <w:textAlignment w:val="auto"/>
              <w:rPr>
                <w:rFonts w:hint="eastAsia" w:ascii="楷体" w:hAnsi="楷体" w:eastAsia="楷体" w:cs="楷体"/>
                <w:sz w:val="24"/>
                <w:szCs w:val="24"/>
                <w:vertAlign w:val="baseline"/>
                <w:lang w:val="en-US" w:eastAsia="zh-CN" w:bidi="ar"/>
              </w:rPr>
            </w:pPr>
            <w:r>
              <w:rPr>
                <w:rFonts w:hint="eastAsia" w:ascii="楷体" w:hAnsi="楷体" w:eastAsia="楷体" w:cs="楷体"/>
                <w:sz w:val="24"/>
                <w:szCs w:val="24"/>
                <w:vertAlign w:val="baseline"/>
                <w:lang w:val="en-US" w:eastAsia="zh-CN" w:bidi="ar"/>
              </w:rPr>
              <w:t>推动农村一二三产业融合发展。支持海南大力发展农村新产业新业态新模式，促进现代种养业与加工、仓储物流、电子文化、文化旅游、科技教育、卫生康养等深度融合，支持农村一二三产业融合发展先导区建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firstLine="480" w:firstLineChars="200"/>
              <w:textAlignment w:val="auto"/>
              <w:rPr>
                <w:rFonts w:hint="eastAsia" w:ascii="楷体" w:hAnsi="楷体" w:eastAsia="楷体" w:cs="楷体"/>
                <w:sz w:val="24"/>
                <w:szCs w:val="24"/>
                <w:vertAlign w:val="baseline"/>
                <w:lang w:val="en-US" w:eastAsia="zh-CN" w:bidi="ar"/>
              </w:rPr>
            </w:pPr>
            <w:r>
              <w:rPr>
                <w:rFonts w:hint="eastAsia" w:ascii="楷体" w:hAnsi="楷体" w:eastAsia="楷体" w:cs="楷体"/>
                <w:sz w:val="24"/>
                <w:szCs w:val="24"/>
                <w:vertAlign w:val="baseline"/>
                <w:lang w:val="en-US" w:eastAsia="zh-CN" w:bidi="ar"/>
              </w:rPr>
              <w:t>指导加强农产品产后分级、包装、营销，建设现代化冷链物流体系，促进产销一体化。</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firstLine="480" w:firstLineChars="200"/>
              <w:textAlignment w:val="auto"/>
              <w:rPr>
                <w:rFonts w:hint="eastAsia" w:ascii="楷体" w:hAnsi="楷体" w:eastAsia="楷体" w:cs="楷体"/>
                <w:sz w:val="24"/>
                <w:szCs w:val="24"/>
                <w:vertAlign w:val="baseline"/>
                <w:lang w:val="en-US" w:eastAsia="zh-CN" w:bidi="ar"/>
              </w:rPr>
            </w:pPr>
            <w:r>
              <w:rPr>
                <w:rFonts w:hint="eastAsia" w:ascii="楷体" w:hAnsi="楷体" w:eastAsia="楷体" w:cs="楷体"/>
                <w:sz w:val="24"/>
                <w:szCs w:val="24"/>
                <w:vertAlign w:val="baseline"/>
                <w:lang w:val="en-US" w:eastAsia="zh-CN" w:bidi="ar"/>
              </w:rPr>
              <w:t>推动琼海农业对外开放合作试验区建设。在试验区开展政策先行先试，借助博鳌品牌打造农业多边交流对话平台。</w:t>
            </w:r>
          </w:p>
        </w:tc>
      </w:tr>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397" w:hRule="atLeast"/>
          <w:jc w:val="center"/>
        </w:trPr>
        <w:tc>
          <w:tcPr>
            <w:tcW w:w="426"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楷体" w:hAnsi="楷体" w:eastAsia="楷体" w:cs="楷体"/>
                <w:sz w:val="24"/>
                <w:szCs w:val="24"/>
                <w:vertAlign w:val="baseline"/>
                <w:lang w:val="en-US" w:eastAsia="zh-CN"/>
              </w:rPr>
            </w:pPr>
            <w:r>
              <w:rPr>
                <w:rFonts w:hint="eastAsia" w:ascii="楷体" w:hAnsi="楷体" w:eastAsia="楷体" w:cs="楷体"/>
                <w:sz w:val="24"/>
                <w:szCs w:val="24"/>
                <w:vertAlign w:val="baseline"/>
                <w:lang w:val="en-US" w:eastAsia="zh-CN"/>
              </w:rPr>
              <w:t>5</w:t>
            </w:r>
          </w:p>
        </w:tc>
        <w:tc>
          <w:tcPr>
            <w:tcW w:w="2698"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楷体" w:hAnsi="楷体" w:eastAsia="楷体" w:cs="楷体"/>
                <w:kern w:val="2"/>
                <w:sz w:val="24"/>
                <w:szCs w:val="24"/>
                <w:vertAlign w:val="baseline"/>
                <w:lang w:val="en-US" w:eastAsia="zh-CN" w:bidi="ar-SA"/>
              </w:rPr>
            </w:pPr>
            <w:r>
              <w:rPr>
                <w:rFonts w:hint="default" w:ascii="楷体" w:hAnsi="楷体" w:eastAsia="楷体" w:cs="楷体"/>
                <w:kern w:val="2"/>
                <w:sz w:val="24"/>
                <w:szCs w:val="24"/>
                <w:vertAlign w:val="baseline"/>
                <w:lang w:val="en-US" w:eastAsia="zh-CN" w:bidi="ar-SA"/>
              </w:rPr>
              <w:t>《农业农村部关于加快农产品仓储保鲜冷链设施建设的实施意见》</w:t>
            </w:r>
          </w:p>
        </w:tc>
        <w:tc>
          <w:tcPr>
            <w:tcW w:w="5398"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firstLine="480" w:firstLineChars="200"/>
              <w:textAlignment w:val="auto"/>
              <w:rPr>
                <w:rFonts w:hint="default" w:ascii="楷体" w:hAnsi="楷体" w:eastAsia="楷体" w:cs="楷体"/>
                <w:sz w:val="24"/>
                <w:szCs w:val="24"/>
                <w:vertAlign w:val="baseline"/>
                <w:lang w:val="en-US" w:eastAsia="zh-CN" w:bidi="ar"/>
              </w:rPr>
            </w:pPr>
            <w:r>
              <w:rPr>
                <w:rFonts w:hint="eastAsia" w:ascii="楷体" w:hAnsi="楷体" w:eastAsia="楷体" w:cs="楷体"/>
                <w:sz w:val="24"/>
                <w:szCs w:val="24"/>
                <w:vertAlign w:val="baseline"/>
                <w:lang w:val="en-US" w:eastAsia="zh-CN" w:bidi="ar"/>
              </w:rPr>
              <w:t>重点在海南等16个省(区、市)，聚焦鲜活农产品主产区、特色农产品优势区，选择产业重点县（市），主要围绕水果、蔬菜等鲜活农产品开展仓储保鲜冷链设施建设。</w:t>
            </w:r>
          </w:p>
        </w:tc>
      </w:tr>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397" w:hRule="atLeast"/>
          <w:jc w:val="center"/>
        </w:trPr>
        <w:tc>
          <w:tcPr>
            <w:tcW w:w="426"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楷体" w:hAnsi="楷体" w:eastAsia="楷体" w:cs="楷体"/>
                <w:sz w:val="24"/>
                <w:szCs w:val="24"/>
                <w:vertAlign w:val="baseline"/>
                <w:lang w:val="en-US" w:eastAsia="zh-CN"/>
              </w:rPr>
            </w:pPr>
            <w:r>
              <w:rPr>
                <w:rFonts w:hint="eastAsia" w:ascii="楷体" w:hAnsi="楷体" w:eastAsia="楷体" w:cs="楷体"/>
                <w:sz w:val="24"/>
                <w:szCs w:val="24"/>
                <w:vertAlign w:val="baseline"/>
                <w:lang w:val="en-US" w:eastAsia="zh-CN"/>
              </w:rPr>
              <w:t>6</w:t>
            </w:r>
          </w:p>
        </w:tc>
        <w:tc>
          <w:tcPr>
            <w:tcW w:w="2698"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楷体" w:hAnsi="楷体" w:eastAsia="楷体" w:cs="楷体"/>
                <w:kern w:val="2"/>
                <w:sz w:val="24"/>
                <w:szCs w:val="24"/>
                <w:vertAlign w:val="baseline"/>
                <w:lang w:val="en-US" w:eastAsia="zh-CN" w:bidi="ar-SA"/>
              </w:rPr>
            </w:pPr>
            <w:r>
              <w:rPr>
                <w:rFonts w:hint="default" w:ascii="楷体" w:hAnsi="楷体" w:eastAsia="楷体" w:cs="楷体"/>
                <w:kern w:val="2"/>
                <w:sz w:val="24"/>
                <w:szCs w:val="24"/>
                <w:vertAlign w:val="baseline"/>
                <w:lang w:val="en-US" w:eastAsia="zh-CN" w:bidi="ar-SA"/>
              </w:rPr>
              <w:t>《国务院关于同意在雄安新区等46个城市和地区设立跨境电子商务综合试验区的批复》</w:t>
            </w:r>
          </w:p>
        </w:tc>
        <w:tc>
          <w:tcPr>
            <w:tcW w:w="5398"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firstLine="480" w:firstLineChars="200"/>
              <w:textAlignment w:val="auto"/>
              <w:rPr>
                <w:rFonts w:hint="eastAsia" w:ascii="楷体" w:hAnsi="楷体" w:eastAsia="楷体" w:cs="楷体"/>
                <w:sz w:val="24"/>
                <w:szCs w:val="24"/>
                <w:vertAlign w:val="baseline"/>
                <w:lang w:val="en-US" w:eastAsia="zh-CN" w:bidi="ar"/>
              </w:rPr>
            </w:pPr>
            <w:r>
              <w:rPr>
                <w:rFonts w:hint="eastAsia" w:ascii="楷体" w:hAnsi="楷体" w:eastAsia="楷体" w:cs="楷体"/>
                <w:sz w:val="24"/>
                <w:szCs w:val="24"/>
                <w:vertAlign w:val="baseline"/>
                <w:lang w:val="en-US" w:eastAsia="zh-CN" w:bidi="ar"/>
              </w:rPr>
              <w:t>同意在三亚市设立跨境电子商务综合试验区。</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firstLine="480" w:firstLineChars="200"/>
              <w:textAlignment w:val="auto"/>
              <w:rPr>
                <w:rFonts w:hint="eastAsia" w:ascii="楷体" w:hAnsi="楷体" w:eastAsia="楷体" w:cs="楷体"/>
                <w:sz w:val="24"/>
                <w:szCs w:val="24"/>
                <w:vertAlign w:val="baseline"/>
                <w:lang w:val="en-US" w:eastAsia="zh-CN" w:bidi="ar"/>
              </w:rPr>
            </w:pPr>
            <w:r>
              <w:rPr>
                <w:rFonts w:hint="eastAsia" w:ascii="楷体" w:hAnsi="楷体" w:eastAsia="楷体" w:cs="楷体"/>
                <w:sz w:val="24"/>
                <w:szCs w:val="24"/>
                <w:vertAlign w:val="baseline"/>
                <w:lang w:val="en-US" w:eastAsia="zh-CN" w:bidi="ar"/>
              </w:rPr>
              <w:t>综合试验区要推动产业转型升级，开展品牌建设，引导跨境电子商务全面发展。</w:t>
            </w:r>
          </w:p>
        </w:tc>
      </w:tr>
    </w:tbl>
    <w:p>
      <w:pPr>
        <w:pStyle w:val="3"/>
        <w:bidi w:val="0"/>
        <w:rPr>
          <w:rFonts w:hint="default"/>
          <w:lang w:val="en-US" w:eastAsia="zh-CN"/>
        </w:rPr>
      </w:pPr>
      <w:bookmarkStart w:id="407" w:name="_Toc9687"/>
      <w:bookmarkStart w:id="408" w:name="_Toc14821"/>
      <w:bookmarkStart w:id="409" w:name="_Toc27151"/>
      <w:r>
        <w:rPr>
          <w:rFonts w:hint="eastAsia"/>
          <w:lang w:val="en-US" w:eastAsia="zh-CN"/>
        </w:rPr>
        <w:t>第二节  发展条件分析</w:t>
      </w:r>
      <w:bookmarkEnd w:id="407"/>
      <w:bookmarkEnd w:id="408"/>
      <w:bookmarkEnd w:id="409"/>
    </w:p>
    <w:p>
      <w:pPr>
        <w:pStyle w:val="4"/>
        <w:bidi w:val="0"/>
        <w:rPr>
          <w:rFonts w:hint="eastAsia"/>
          <w:lang w:val="en-US" w:eastAsia="zh-CN"/>
        </w:rPr>
      </w:pPr>
      <w:bookmarkStart w:id="410" w:name="_Toc9561"/>
      <w:bookmarkStart w:id="411" w:name="_Toc24366"/>
      <w:bookmarkStart w:id="412" w:name="_Toc13764"/>
      <w:r>
        <w:rPr>
          <w:rFonts w:hint="eastAsia"/>
          <w:lang w:val="en-US" w:eastAsia="zh-CN"/>
        </w:rPr>
        <w:t>一、总体分析</w:t>
      </w:r>
      <w:bookmarkEnd w:id="410"/>
      <w:bookmarkEnd w:id="411"/>
      <w:bookmarkEnd w:id="412"/>
    </w:p>
    <w:p>
      <w:pPr>
        <w:pStyle w:val="5"/>
        <w:numPr>
          <w:ilvl w:val="0"/>
          <w:numId w:val="38"/>
        </w:numPr>
        <w:bidi w:val="0"/>
        <w:rPr>
          <w:rFonts w:hint="eastAsia"/>
          <w:lang w:val="en-US" w:eastAsia="zh-CN"/>
        </w:rPr>
      </w:pPr>
      <w:bookmarkStart w:id="413" w:name="_Toc17647"/>
      <w:bookmarkStart w:id="414" w:name="_Toc9057"/>
      <w:bookmarkStart w:id="415" w:name="_Toc21100"/>
      <w:r>
        <w:rPr>
          <w:rFonts w:hint="eastAsia"/>
          <w:lang w:val="en-US" w:eastAsia="zh-CN"/>
        </w:rPr>
        <w:t>第三产业比重高、但绝对值不大，做大体量是首要任务</w:t>
      </w:r>
      <w:bookmarkEnd w:id="413"/>
      <w:bookmarkEnd w:id="414"/>
      <w:bookmarkEnd w:id="415"/>
    </w:p>
    <w:p>
      <w:pPr>
        <w:rPr>
          <w:rFonts w:hint="eastAsia" w:ascii="仿宋_GB2312" w:eastAsia="仿宋_GB2312"/>
          <w:lang w:val="en-US" w:eastAsia="zh-CN"/>
        </w:rPr>
      </w:pPr>
      <w:r>
        <w:rPr>
          <w:rFonts w:hint="eastAsia" w:ascii="仿宋_GB2312" w:eastAsia="仿宋_GB2312"/>
          <w:lang w:val="en-US" w:eastAsia="zh-CN"/>
        </w:rPr>
        <w:t>崖州建区以来，第三产业GDP占比由2015年的35.7%</w:t>
      </w:r>
      <w:r>
        <w:rPr>
          <w:rFonts w:hint="eastAsia"/>
          <w:lang w:val="en-US" w:eastAsia="zh-CN"/>
        </w:rPr>
        <w:t>提高</w:t>
      </w:r>
      <w:r>
        <w:rPr>
          <w:rFonts w:hint="eastAsia" w:ascii="仿宋_GB2312" w:eastAsia="仿宋_GB2312"/>
          <w:lang w:val="en-US" w:eastAsia="zh-CN"/>
        </w:rPr>
        <w:t>到20</w:t>
      </w:r>
      <w:r>
        <w:rPr>
          <w:rFonts w:hint="eastAsia"/>
          <w:lang w:val="en-US" w:eastAsia="zh-CN"/>
        </w:rPr>
        <w:t>20</w:t>
      </w:r>
      <w:r>
        <w:rPr>
          <w:rFonts w:hint="eastAsia" w:ascii="仿宋_GB2312" w:eastAsia="仿宋_GB2312"/>
          <w:lang w:val="en-US" w:eastAsia="zh-CN"/>
        </w:rPr>
        <w:t>年的5</w:t>
      </w:r>
      <w:r>
        <w:rPr>
          <w:rFonts w:hint="eastAsia"/>
          <w:lang w:val="en-US" w:eastAsia="zh-CN"/>
        </w:rPr>
        <w:t>2</w:t>
      </w:r>
      <w:r>
        <w:rPr>
          <w:rFonts w:hint="eastAsia" w:ascii="仿宋_GB2312" w:eastAsia="仿宋_GB2312"/>
          <w:lang w:val="en-US" w:eastAsia="zh-CN"/>
        </w:rPr>
        <w:t>.</w:t>
      </w:r>
      <w:r>
        <w:rPr>
          <w:rFonts w:hint="eastAsia"/>
          <w:lang w:val="en-US" w:eastAsia="zh-CN"/>
        </w:rPr>
        <w:t>0</w:t>
      </w:r>
      <w:r>
        <w:rPr>
          <w:rFonts w:hint="eastAsia" w:ascii="仿宋_GB2312" w:eastAsia="仿宋_GB2312"/>
          <w:lang w:val="en-US" w:eastAsia="zh-CN"/>
        </w:rPr>
        <w:t>%，绝对值由16.2亿元增长到3</w:t>
      </w:r>
      <w:r>
        <w:rPr>
          <w:rFonts w:hint="eastAsia"/>
          <w:lang w:val="en-US" w:eastAsia="zh-CN"/>
        </w:rPr>
        <w:t>4.5</w:t>
      </w:r>
      <w:r>
        <w:rPr>
          <w:rFonts w:hint="eastAsia" w:ascii="仿宋_GB2312" w:eastAsia="仿宋_GB2312"/>
          <w:lang w:val="en-US" w:eastAsia="zh-CN"/>
        </w:rPr>
        <w:t>亿元，年均增速高达</w:t>
      </w:r>
      <w:r>
        <w:rPr>
          <w:rFonts w:hint="eastAsia"/>
          <w:lang w:val="en-US" w:eastAsia="zh-CN"/>
        </w:rPr>
        <w:t>16</w:t>
      </w:r>
      <w:r>
        <w:rPr>
          <w:rFonts w:hint="eastAsia" w:ascii="仿宋_GB2312" w:eastAsia="仿宋_GB2312"/>
          <w:lang w:val="en-US" w:eastAsia="zh-CN"/>
        </w:rPr>
        <w:t>.3%，显著高于</w:t>
      </w:r>
      <w:r>
        <w:rPr>
          <w:rFonts w:hint="eastAsia"/>
          <w:lang w:val="en-US" w:eastAsia="zh-CN"/>
        </w:rPr>
        <w:t>7.9</w:t>
      </w:r>
      <w:r>
        <w:rPr>
          <w:rFonts w:hint="eastAsia" w:ascii="仿宋_GB2312" w:eastAsia="仿宋_GB2312"/>
          <w:lang w:val="en-US" w:eastAsia="zh-CN"/>
        </w:rPr>
        <w:t>%的同期全区GDP增速，贡献了全区一半多的产值。三次产业结构由2015年39.0∶25.3∶35.7调整至</w:t>
      </w:r>
      <w:r>
        <w:rPr>
          <w:rFonts w:hint="eastAsia"/>
          <w:lang w:val="en-US" w:eastAsia="zh-CN"/>
        </w:rPr>
        <w:t>2020</w:t>
      </w:r>
      <w:r>
        <w:rPr>
          <w:rFonts w:hint="eastAsia" w:ascii="仿宋_GB2312" w:eastAsia="仿宋_GB2312"/>
          <w:lang w:val="en-US" w:eastAsia="zh-CN"/>
        </w:rPr>
        <w:t>年32∶16∶5</w:t>
      </w:r>
      <w:r>
        <w:rPr>
          <w:rFonts w:hint="eastAsia"/>
          <w:lang w:val="en-US" w:eastAsia="zh-CN"/>
        </w:rPr>
        <w:t>2</w:t>
      </w:r>
      <w:r>
        <w:rPr>
          <w:rFonts w:hint="eastAsia" w:ascii="仿宋_GB2312" w:eastAsia="仿宋_GB2312"/>
          <w:lang w:val="en-US" w:eastAsia="zh-CN"/>
        </w:rPr>
        <w:t>，服务业超过农业成为崖州产业“一哥”。</w:t>
      </w:r>
    </w:p>
    <w:p>
      <w:pPr>
        <w:rPr>
          <w:rFonts w:hint="eastAsia"/>
          <w:lang w:val="en-US" w:eastAsia="zh-CN"/>
        </w:rPr>
      </w:pPr>
      <w:r>
        <w:rPr>
          <w:rFonts w:hint="eastAsia" w:ascii="仿宋_GB2312" w:eastAsia="仿宋_GB2312"/>
          <w:lang w:val="en-US" w:eastAsia="zh-CN"/>
        </w:rPr>
        <w:t>从三产占比看，在大三亚地区中，崖州三产比重低于吉阳、天涯等传统主城区，</w:t>
      </w:r>
      <w:r>
        <w:rPr>
          <w:rFonts w:hint="eastAsia"/>
          <w:lang w:val="en-US" w:eastAsia="zh-CN"/>
        </w:rPr>
        <w:t>与</w:t>
      </w:r>
      <w:r>
        <w:rPr>
          <w:rFonts w:hint="eastAsia" w:ascii="仿宋_GB2312" w:eastAsia="仿宋_GB2312"/>
          <w:lang w:val="en-US" w:eastAsia="zh-CN"/>
        </w:rPr>
        <w:t>海棠、陵水、保亭</w:t>
      </w:r>
      <w:r>
        <w:rPr>
          <w:rFonts w:hint="eastAsia"/>
          <w:lang w:val="en-US" w:eastAsia="zh-CN"/>
        </w:rPr>
        <w:t>相当，高于</w:t>
      </w:r>
      <w:r>
        <w:rPr>
          <w:rFonts w:hint="eastAsia" w:ascii="仿宋_GB2312" w:eastAsia="仿宋_GB2312"/>
          <w:lang w:val="en-US" w:eastAsia="zh-CN"/>
        </w:rPr>
        <w:t>乐东。从三产绝对值看，崖州三产体量大于</w:t>
      </w:r>
      <w:r>
        <w:rPr>
          <w:rFonts w:hint="eastAsia"/>
          <w:lang w:val="en-US" w:eastAsia="zh-CN"/>
        </w:rPr>
        <w:t>保亭，小于其他地区，产业规模较小</w:t>
      </w:r>
      <w:r>
        <w:rPr>
          <w:rFonts w:hint="eastAsia" w:ascii="仿宋_GB2312" w:eastAsia="仿宋_GB2312"/>
          <w:lang w:val="en-US" w:eastAsia="zh-CN"/>
        </w:rPr>
        <w:t>。</w:t>
      </w:r>
    </w:p>
    <w:p>
      <w:pPr>
        <w:rPr>
          <w:rFonts w:hint="eastAsia" w:ascii="仿宋_GB2312" w:eastAsia="仿宋_GB2312"/>
          <w:lang w:val="en-US" w:eastAsia="zh-CN"/>
        </w:rPr>
      </w:pPr>
      <w:r>
        <w:rPr>
          <w:rFonts w:hint="eastAsia" w:ascii="仿宋_GB2312" w:eastAsia="仿宋_GB2312"/>
          <w:lang w:val="en-US" w:eastAsia="zh-CN"/>
        </w:rPr>
        <w:t>崖州第三产业处于起步阶段，做大体量</w:t>
      </w:r>
      <w:r>
        <w:rPr>
          <w:rFonts w:hint="eastAsia"/>
          <w:lang w:val="en-US" w:eastAsia="zh-CN"/>
        </w:rPr>
        <w:t>是发展的前提</w:t>
      </w:r>
      <w:r>
        <w:rPr>
          <w:rFonts w:hint="eastAsia" w:ascii="仿宋_GB2312" w:eastAsia="仿宋_GB2312"/>
          <w:lang w:val="en-US" w:eastAsia="zh-CN"/>
        </w:rPr>
        <w:t>，</w:t>
      </w:r>
      <w:r>
        <w:rPr>
          <w:rFonts w:hint="eastAsia" w:ascii="仿宋_GB2312" w:eastAsia="仿宋_GB2312"/>
          <w:b/>
          <w:bCs/>
          <w:lang w:val="en-US" w:eastAsia="zh-CN"/>
        </w:rPr>
        <w:t>一是</w:t>
      </w:r>
      <w:r>
        <w:rPr>
          <w:rFonts w:hint="eastAsia"/>
          <w:b w:val="0"/>
          <w:bCs w:val="0"/>
          <w:lang w:val="en-US" w:eastAsia="zh-CN"/>
        </w:rPr>
        <w:t>加快</w:t>
      </w:r>
      <w:r>
        <w:rPr>
          <w:rFonts w:hint="eastAsia" w:ascii="仿宋_GB2312" w:eastAsia="仿宋_GB2312"/>
          <w:lang w:val="en-US" w:eastAsia="zh-CN"/>
        </w:rPr>
        <w:t>崖州湾科技城研发、科教</w:t>
      </w:r>
      <w:r>
        <w:rPr>
          <w:rFonts w:hint="eastAsia"/>
          <w:lang w:val="en-US" w:eastAsia="zh-CN"/>
        </w:rPr>
        <w:t>产业项目进入，</w:t>
      </w:r>
      <w:r>
        <w:rPr>
          <w:rFonts w:hint="eastAsia" w:ascii="仿宋_GB2312" w:eastAsia="仿宋_GB2312"/>
          <w:b/>
          <w:bCs/>
          <w:lang w:val="en-US" w:eastAsia="zh-CN"/>
        </w:rPr>
        <w:t>二是</w:t>
      </w:r>
      <w:r>
        <w:rPr>
          <w:rFonts w:hint="eastAsia"/>
          <w:b w:val="0"/>
          <w:bCs w:val="0"/>
          <w:lang w:val="en-US" w:eastAsia="zh-CN"/>
        </w:rPr>
        <w:t>培育新的业态，如现代</w:t>
      </w:r>
      <w:r>
        <w:rPr>
          <w:rFonts w:hint="eastAsia" w:ascii="仿宋_GB2312" w:eastAsia="仿宋_GB2312"/>
          <w:lang w:val="en-US" w:eastAsia="zh-CN"/>
        </w:rPr>
        <w:t>商贸</w:t>
      </w:r>
      <w:r>
        <w:rPr>
          <w:rFonts w:hint="eastAsia"/>
          <w:lang w:val="en-US" w:eastAsia="zh-CN"/>
        </w:rPr>
        <w:t>、冷链</w:t>
      </w:r>
      <w:r>
        <w:rPr>
          <w:rFonts w:hint="eastAsia" w:ascii="仿宋_GB2312" w:eastAsia="仿宋_GB2312"/>
          <w:lang w:val="en-US" w:eastAsia="zh-CN"/>
        </w:rPr>
        <w:t>物流、主题乐园</w:t>
      </w:r>
      <w:r>
        <w:rPr>
          <w:rFonts w:hint="eastAsia"/>
          <w:lang w:val="en-US" w:eastAsia="zh-CN"/>
        </w:rPr>
        <w:t>游、文化旅游、农业休闲游等</w:t>
      </w:r>
      <w:r>
        <w:rPr>
          <w:rFonts w:hint="eastAsia" w:ascii="仿宋_GB2312" w:eastAsia="仿宋_GB2312"/>
          <w:lang w:val="en-US" w:eastAsia="zh-CN"/>
        </w:rPr>
        <w:t>，</w:t>
      </w:r>
      <w:r>
        <w:rPr>
          <w:rFonts w:hint="eastAsia" w:ascii="仿宋_GB2312" w:eastAsia="仿宋_GB2312"/>
          <w:b/>
          <w:bCs/>
          <w:lang w:val="en-US" w:eastAsia="zh-CN"/>
        </w:rPr>
        <w:t>三是</w:t>
      </w:r>
      <w:r>
        <w:rPr>
          <w:rFonts w:hint="eastAsia"/>
          <w:b w:val="0"/>
          <w:bCs w:val="0"/>
          <w:lang w:val="en-US" w:eastAsia="zh-CN"/>
        </w:rPr>
        <w:t>升级</w:t>
      </w:r>
      <w:r>
        <w:rPr>
          <w:rFonts w:hint="eastAsia" w:ascii="仿宋_GB2312" w:eastAsia="仿宋_GB2312"/>
          <w:lang w:val="en-US" w:eastAsia="zh-CN"/>
        </w:rPr>
        <w:t>传统生活服务业。</w:t>
      </w:r>
    </w:p>
    <w:p>
      <w:pPr>
        <w:bidi w:val="0"/>
        <w:spacing w:line="240" w:lineRule="auto"/>
        <w:ind w:firstLine="0" w:firstLineChars="0"/>
        <w:jc w:val="center"/>
        <w:rPr>
          <w:rFonts w:hint="eastAsia" w:ascii="楷体" w:hAnsi="楷体" w:eastAsia="楷体" w:cs="楷体"/>
          <w:b w:val="0"/>
          <w:bCs w:val="0"/>
          <w:sz w:val="28"/>
          <w:szCs w:val="28"/>
          <w:lang w:val="en-US" w:eastAsia="zh-CN"/>
        </w:rPr>
      </w:pPr>
      <w:r>
        <w:rPr>
          <w:rFonts w:hint="eastAsia" w:ascii="楷体" w:hAnsi="楷体" w:eastAsia="楷体" w:cs="楷体"/>
          <w:b w:val="0"/>
          <w:bCs w:val="0"/>
          <w:sz w:val="28"/>
          <w:szCs w:val="28"/>
          <w:lang w:val="en-US" w:eastAsia="zh-CN"/>
        </w:rPr>
        <w:t>表25  大三亚一体化区域各市县区三次产业结构（%）（2019年）</w:t>
      </w:r>
    </w:p>
    <w:tbl>
      <w:tblPr>
        <w:tblStyle w:val="18"/>
        <w:tblW w:w="5000" w:type="pct"/>
        <w:jc w:val="center"/>
        <w:tblBorders>
          <w:top w:val="thinThickSmallGap" w:color="A4A4A4" w:sz="12"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56"/>
        <w:gridCol w:w="1656"/>
        <w:gridCol w:w="1656"/>
        <w:gridCol w:w="1658"/>
        <w:gridCol w:w="1896"/>
      </w:tblGrid>
      <w:tr>
        <w:tblPrEx>
          <w:tblBorders>
            <w:top w:val="thinThickSmallGap" w:color="A4A4A4" w:sz="12"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 w:hRule="atLeast"/>
          <w:tblHeader/>
          <w:jc w:val="center"/>
        </w:trPr>
        <w:tc>
          <w:tcPr>
            <w:tcW w:w="1656"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color w:val="000000"/>
                <w:kern w:val="2"/>
                <w:sz w:val="24"/>
                <w:szCs w:val="24"/>
                <w:u w:val="none"/>
                <w:lang w:val="en-US" w:eastAsia="zh-CN" w:bidi="ar"/>
              </w:rPr>
            </w:pPr>
            <w:r>
              <w:rPr>
                <w:rFonts w:hint="eastAsia" w:ascii="楷体" w:hAnsi="楷体" w:eastAsia="楷体" w:cs="楷体"/>
                <w:b/>
                <w:bCs/>
                <w:i w:val="0"/>
                <w:color w:val="000000"/>
                <w:kern w:val="2"/>
                <w:sz w:val="24"/>
                <w:szCs w:val="24"/>
                <w:u w:val="none"/>
                <w:lang w:val="en-US" w:eastAsia="zh-CN" w:bidi="ar"/>
              </w:rPr>
              <w:t>地区</w:t>
            </w:r>
          </w:p>
        </w:tc>
        <w:tc>
          <w:tcPr>
            <w:tcW w:w="1656"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color w:val="000000"/>
                <w:kern w:val="2"/>
                <w:sz w:val="24"/>
                <w:szCs w:val="24"/>
                <w:u w:val="none"/>
                <w:lang w:val="en-US" w:eastAsia="zh-CN" w:bidi="ar"/>
              </w:rPr>
            </w:pPr>
            <w:r>
              <w:rPr>
                <w:rFonts w:hint="eastAsia" w:ascii="楷体" w:hAnsi="楷体" w:eastAsia="楷体" w:cs="楷体"/>
                <w:b/>
                <w:bCs/>
                <w:i w:val="0"/>
                <w:color w:val="000000"/>
                <w:kern w:val="2"/>
                <w:sz w:val="24"/>
                <w:szCs w:val="24"/>
                <w:u w:val="none"/>
                <w:lang w:val="en-US" w:eastAsia="zh-CN" w:bidi="ar"/>
              </w:rPr>
              <w:t>第一产业</w:t>
            </w:r>
          </w:p>
        </w:tc>
        <w:tc>
          <w:tcPr>
            <w:tcW w:w="1656"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color w:val="000000"/>
                <w:kern w:val="2"/>
                <w:sz w:val="24"/>
                <w:szCs w:val="24"/>
                <w:u w:val="none"/>
                <w:lang w:val="en-US" w:eastAsia="zh-CN" w:bidi="ar"/>
              </w:rPr>
            </w:pPr>
            <w:r>
              <w:rPr>
                <w:rFonts w:hint="eastAsia" w:ascii="楷体" w:hAnsi="楷体" w:eastAsia="楷体" w:cs="楷体"/>
                <w:b/>
                <w:bCs/>
                <w:i w:val="0"/>
                <w:color w:val="000000"/>
                <w:kern w:val="2"/>
                <w:sz w:val="24"/>
                <w:szCs w:val="24"/>
                <w:u w:val="none"/>
                <w:lang w:val="en-US" w:eastAsia="zh-CN" w:bidi="ar"/>
              </w:rPr>
              <w:t>第二产业</w:t>
            </w:r>
          </w:p>
        </w:tc>
        <w:tc>
          <w:tcPr>
            <w:tcW w:w="1658"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color w:val="000000"/>
                <w:kern w:val="2"/>
                <w:sz w:val="24"/>
                <w:szCs w:val="24"/>
                <w:u w:val="none"/>
                <w:lang w:val="en-US" w:eastAsia="zh-CN" w:bidi="ar"/>
              </w:rPr>
            </w:pPr>
            <w:r>
              <w:rPr>
                <w:rFonts w:hint="eastAsia" w:ascii="楷体" w:hAnsi="楷体" w:eastAsia="楷体" w:cs="楷体"/>
                <w:b/>
                <w:bCs/>
                <w:i w:val="0"/>
                <w:color w:val="000000"/>
                <w:kern w:val="2"/>
                <w:sz w:val="24"/>
                <w:szCs w:val="24"/>
                <w:u w:val="none"/>
                <w:lang w:val="en-US" w:eastAsia="zh-CN" w:bidi="ar"/>
              </w:rPr>
              <w:t>第三产业</w:t>
            </w:r>
          </w:p>
        </w:tc>
        <w:tc>
          <w:tcPr>
            <w:tcW w:w="1896"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bCs/>
                <w:i w:val="0"/>
                <w:color w:val="000000"/>
                <w:kern w:val="2"/>
                <w:sz w:val="24"/>
                <w:szCs w:val="24"/>
                <w:u w:val="none"/>
                <w:lang w:val="en-US" w:eastAsia="zh-CN" w:bidi="ar"/>
              </w:rPr>
            </w:pPr>
            <w:r>
              <w:rPr>
                <w:rFonts w:hint="eastAsia" w:ascii="楷体" w:hAnsi="楷体" w:eastAsia="楷体" w:cs="楷体"/>
                <w:b/>
                <w:bCs/>
                <w:i w:val="0"/>
                <w:color w:val="000000"/>
                <w:kern w:val="2"/>
                <w:sz w:val="24"/>
                <w:szCs w:val="24"/>
                <w:u w:val="none"/>
                <w:lang w:val="en-US" w:eastAsia="zh-CN" w:bidi="ar"/>
              </w:rPr>
              <w:t>三产GDP（亿元）</w:t>
            </w:r>
          </w:p>
        </w:tc>
      </w:tr>
      <w:tr>
        <w:tblPrEx>
          <w:tblBorders>
            <w:top w:val="thinThickSmallGap" w:color="A4A4A4" w:sz="12"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 w:hRule="atLeast"/>
          <w:jc w:val="center"/>
        </w:trPr>
        <w:tc>
          <w:tcPr>
            <w:tcW w:w="1656"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color w:val="000000"/>
                <w:kern w:val="2"/>
                <w:sz w:val="24"/>
                <w:szCs w:val="24"/>
                <w:u w:val="none"/>
                <w:lang w:val="en-US" w:eastAsia="zh-CN" w:bidi="ar"/>
              </w:rPr>
            </w:pPr>
            <w:r>
              <w:rPr>
                <w:rFonts w:hint="eastAsia" w:ascii="楷体" w:hAnsi="楷体" w:eastAsia="楷体" w:cs="楷体"/>
                <w:b/>
                <w:bCs/>
                <w:i w:val="0"/>
                <w:color w:val="000000"/>
                <w:kern w:val="2"/>
                <w:sz w:val="24"/>
                <w:szCs w:val="24"/>
                <w:u w:val="none"/>
                <w:lang w:val="en-US" w:eastAsia="zh-CN" w:bidi="ar"/>
              </w:rPr>
              <w:t>崖州区</w:t>
            </w:r>
          </w:p>
        </w:tc>
        <w:tc>
          <w:tcPr>
            <w:tcW w:w="1656"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bCs/>
                <w:i w:val="0"/>
                <w:color w:val="000000"/>
                <w:kern w:val="2"/>
                <w:sz w:val="24"/>
                <w:szCs w:val="24"/>
                <w:u w:val="none"/>
                <w:lang w:val="en-US" w:eastAsia="zh-CN" w:bidi="ar"/>
              </w:rPr>
            </w:pPr>
            <w:r>
              <w:rPr>
                <w:rFonts w:hint="eastAsia" w:ascii="楷体" w:hAnsi="楷体" w:eastAsia="楷体" w:cs="楷体"/>
                <w:b/>
                <w:bCs/>
                <w:i w:val="0"/>
                <w:color w:val="000000"/>
                <w:kern w:val="2"/>
                <w:sz w:val="24"/>
                <w:szCs w:val="24"/>
                <w:u w:val="none"/>
                <w:lang w:val="en-US" w:eastAsia="zh-CN" w:bidi="ar"/>
              </w:rPr>
              <w:t>32</w:t>
            </w:r>
          </w:p>
        </w:tc>
        <w:tc>
          <w:tcPr>
            <w:tcW w:w="1656"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default" w:ascii="楷体" w:hAnsi="楷体" w:eastAsia="楷体" w:cs="楷体"/>
                <w:b/>
                <w:bCs/>
                <w:i w:val="0"/>
                <w:color w:val="000000"/>
                <w:kern w:val="2"/>
                <w:sz w:val="24"/>
                <w:szCs w:val="24"/>
                <w:u w:val="none"/>
                <w:lang w:val="en-US" w:eastAsia="zh-CN" w:bidi="ar"/>
              </w:rPr>
            </w:pPr>
            <w:r>
              <w:rPr>
                <w:rFonts w:hint="eastAsia" w:ascii="楷体" w:hAnsi="楷体" w:eastAsia="楷体" w:cs="楷体"/>
                <w:b/>
                <w:bCs/>
                <w:i w:val="0"/>
                <w:color w:val="000000"/>
                <w:kern w:val="2"/>
                <w:sz w:val="24"/>
                <w:szCs w:val="24"/>
                <w:u w:val="none"/>
                <w:lang w:val="en-US" w:eastAsia="zh-CN" w:bidi="ar"/>
              </w:rPr>
              <w:t>16</w:t>
            </w:r>
          </w:p>
        </w:tc>
        <w:tc>
          <w:tcPr>
            <w:tcW w:w="1658"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default" w:ascii="楷体" w:hAnsi="楷体" w:eastAsia="楷体" w:cs="楷体"/>
                <w:b/>
                <w:bCs/>
                <w:i w:val="0"/>
                <w:color w:val="000000"/>
                <w:kern w:val="2"/>
                <w:sz w:val="24"/>
                <w:szCs w:val="24"/>
                <w:u w:val="none"/>
                <w:lang w:val="en-US" w:eastAsia="zh-CN" w:bidi="ar"/>
              </w:rPr>
            </w:pPr>
            <w:r>
              <w:rPr>
                <w:rFonts w:hint="eastAsia" w:ascii="楷体" w:hAnsi="楷体" w:eastAsia="楷体" w:cs="楷体"/>
                <w:b/>
                <w:bCs/>
                <w:i w:val="0"/>
                <w:color w:val="000000"/>
                <w:kern w:val="2"/>
                <w:sz w:val="24"/>
                <w:szCs w:val="24"/>
                <w:u w:val="none"/>
                <w:lang w:val="en-US" w:eastAsia="zh-CN" w:bidi="ar"/>
              </w:rPr>
              <w:t>52</w:t>
            </w:r>
          </w:p>
        </w:tc>
        <w:tc>
          <w:tcPr>
            <w:tcW w:w="1896"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default" w:ascii="楷体" w:hAnsi="楷体" w:eastAsia="楷体" w:cs="楷体"/>
                <w:b/>
                <w:bCs/>
                <w:i w:val="0"/>
                <w:color w:val="000000"/>
                <w:kern w:val="2"/>
                <w:sz w:val="24"/>
                <w:szCs w:val="24"/>
                <w:u w:val="none"/>
                <w:lang w:val="en-US" w:eastAsia="zh-CN" w:bidi="ar"/>
              </w:rPr>
            </w:pPr>
            <w:r>
              <w:rPr>
                <w:rFonts w:hint="eastAsia" w:ascii="楷体" w:hAnsi="楷体" w:eastAsia="楷体" w:cs="楷体"/>
                <w:b/>
                <w:bCs/>
                <w:i w:val="0"/>
                <w:color w:val="000000"/>
                <w:kern w:val="2"/>
                <w:sz w:val="24"/>
                <w:szCs w:val="24"/>
                <w:u w:val="none"/>
                <w:lang w:val="en-US" w:eastAsia="zh-CN" w:bidi="ar"/>
              </w:rPr>
              <w:t>34.5</w:t>
            </w:r>
          </w:p>
        </w:tc>
      </w:tr>
      <w:tr>
        <w:tblPrEx>
          <w:tblBorders>
            <w:top w:val="thinThickSmallGap" w:color="A4A4A4" w:sz="12"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 w:hRule="atLeast"/>
          <w:jc w:val="center"/>
        </w:trPr>
        <w:tc>
          <w:tcPr>
            <w:tcW w:w="1656"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i w:val="0"/>
                <w:color w:val="000000"/>
                <w:kern w:val="2"/>
                <w:sz w:val="24"/>
                <w:szCs w:val="24"/>
                <w:u w:val="none"/>
                <w:lang w:val="en-US" w:eastAsia="zh-CN" w:bidi="ar"/>
              </w:rPr>
            </w:pPr>
            <w:r>
              <w:rPr>
                <w:rFonts w:hint="eastAsia" w:ascii="楷体" w:hAnsi="楷体" w:eastAsia="楷体" w:cs="楷体"/>
                <w:i w:val="0"/>
                <w:color w:val="000000"/>
                <w:kern w:val="2"/>
                <w:sz w:val="24"/>
                <w:szCs w:val="24"/>
                <w:u w:val="none"/>
                <w:lang w:val="en-US" w:eastAsia="zh-CN" w:bidi="ar"/>
              </w:rPr>
              <w:t>吉阳区</w:t>
            </w:r>
          </w:p>
        </w:tc>
        <w:tc>
          <w:tcPr>
            <w:tcW w:w="1656"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i w:val="0"/>
                <w:color w:val="000000"/>
                <w:kern w:val="2"/>
                <w:sz w:val="24"/>
                <w:szCs w:val="24"/>
                <w:u w:val="none"/>
                <w:lang w:val="en-US" w:eastAsia="zh-CN" w:bidi="ar"/>
              </w:rPr>
            </w:pPr>
            <w:r>
              <w:rPr>
                <w:rFonts w:hint="eastAsia" w:ascii="楷体" w:hAnsi="楷体" w:eastAsia="楷体" w:cs="楷体"/>
                <w:i w:val="0"/>
                <w:color w:val="000000"/>
                <w:kern w:val="2"/>
                <w:sz w:val="24"/>
                <w:szCs w:val="24"/>
                <w:u w:val="none"/>
                <w:lang w:val="en-US" w:eastAsia="zh-CN" w:bidi="ar"/>
              </w:rPr>
              <w:t>3</w:t>
            </w:r>
          </w:p>
        </w:tc>
        <w:tc>
          <w:tcPr>
            <w:tcW w:w="1656"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default" w:ascii="楷体" w:hAnsi="楷体" w:eastAsia="楷体" w:cs="楷体"/>
                <w:i w:val="0"/>
                <w:color w:val="000000"/>
                <w:kern w:val="2"/>
                <w:sz w:val="24"/>
                <w:szCs w:val="24"/>
                <w:u w:val="none"/>
                <w:lang w:val="en-US" w:eastAsia="zh-CN" w:bidi="ar"/>
              </w:rPr>
            </w:pPr>
            <w:r>
              <w:rPr>
                <w:rFonts w:hint="eastAsia" w:ascii="楷体" w:hAnsi="楷体" w:eastAsia="楷体" w:cs="楷体"/>
                <w:i w:val="0"/>
                <w:color w:val="000000"/>
                <w:kern w:val="2"/>
                <w:sz w:val="24"/>
                <w:szCs w:val="24"/>
                <w:u w:val="none"/>
                <w:lang w:val="en-US" w:eastAsia="zh-CN" w:bidi="ar"/>
              </w:rPr>
              <w:t>22</w:t>
            </w:r>
          </w:p>
        </w:tc>
        <w:tc>
          <w:tcPr>
            <w:tcW w:w="1658"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default" w:ascii="楷体" w:hAnsi="楷体" w:eastAsia="楷体" w:cs="楷体"/>
                <w:i w:val="0"/>
                <w:color w:val="000000"/>
                <w:kern w:val="2"/>
                <w:sz w:val="24"/>
                <w:szCs w:val="24"/>
                <w:u w:val="none"/>
                <w:lang w:val="en-US" w:eastAsia="zh-CN" w:bidi="ar"/>
              </w:rPr>
            </w:pPr>
            <w:r>
              <w:rPr>
                <w:rFonts w:hint="eastAsia" w:ascii="楷体" w:hAnsi="楷体" w:eastAsia="楷体" w:cs="楷体"/>
                <w:i w:val="0"/>
                <w:color w:val="000000"/>
                <w:kern w:val="2"/>
                <w:sz w:val="24"/>
                <w:szCs w:val="24"/>
                <w:u w:val="none"/>
                <w:lang w:val="en-US" w:eastAsia="zh-CN" w:bidi="ar"/>
              </w:rPr>
              <w:t>75</w:t>
            </w:r>
          </w:p>
        </w:tc>
        <w:tc>
          <w:tcPr>
            <w:tcW w:w="1896"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default" w:ascii="楷体" w:hAnsi="楷体" w:eastAsia="楷体" w:cs="楷体"/>
                <w:i w:val="0"/>
                <w:color w:val="000000"/>
                <w:kern w:val="2"/>
                <w:sz w:val="24"/>
                <w:szCs w:val="24"/>
                <w:u w:val="none"/>
                <w:lang w:val="en-US" w:eastAsia="zh-CN" w:bidi="ar"/>
              </w:rPr>
            </w:pPr>
            <w:r>
              <w:rPr>
                <w:rFonts w:hint="eastAsia" w:ascii="楷体" w:hAnsi="楷体" w:eastAsia="楷体" w:cs="楷体"/>
                <w:i w:val="0"/>
                <w:color w:val="000000"/>
                <w:kern w:val="2"/>
                <w:sz w:val="24"/>
                <w:szCs w:val="24"/>
                <w:u w:val="none"/>
                <w:lang w:val="en-US" w:eastAsia="zh-CN" w:bidi="ar"/>
              </w:rPr>
              <w:t>174.7</w:t>
            </w:r>
          </w:p>
        </w:tc>
      </w:tr>
      <w:tr>
        <w:tblPrEx>
          <w:tblBorders>
            <w:top w:val="thinThickSmallGap" w:color="A4A4A4" w:sz="12"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 w:hRule="atLeast"/>
          <w:jc w:val="center"/>
        </w:trPr>
        <w:tc>
          <w:tcPr>
            <w:tcW w:w="1656"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i w:val="0"/>
                <w:color w:val="000000"/>
                <w:kern w:val="2"/>
                <w:sz w:val="24"/>
                <w:szCs w:val="24"/>
                <w:u w:val="none"/>
                <w:lang w:val="en-US" w:eastAsia="zh-CN" w:bidi="ar"/>
              </w:rPr>
            </w:pPr>
            <w:r>
              <w:rPr>
                <w:rFonts w:hint="eastAsia" w:ascii="楷体" w:hAnsi="楷体" w:eastAsia="楷体" w:cs="楷体"/>
                <w:i w:val="0"/>
                <w:color w:val="000000"/>
                <w:kern w:val="2"/>
                <w:sz w:val="24"/>
                <w:szCs w:val="24"/>
                <w:u w:val="none"/>
                <w:lang w:val="en-US" w:eastAsia="zh-CN" w:bidi="ar"/>
              </w:rPr>
              <w:t>海棠区</w:t>
            </w:r>
          </w:p>
        </w:tc>
        <w:tc>
          <w:tcPr>
            <w:tcW w:w="1656"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i w:val="0"/>
                <w:color w:val="000000"/>
                <w:kern w:val="2"/>
                <w:sz w:val="24"/>
                <w:szCs w:val="24"/>
                <w:u w:val="none"/>
                <w:lang w:val="en-US" w:eastAsia="zh-CN" w:bidi="ar"/>
              </w:rPr>
            </w:pPr>
            <w:r>
              <w:rPr>
                <w:rFonts w:hint="eastAsia" w:ascii="楷体" w:hAnsi="楷体" w:eastAsia="楷体" w:cs="楷体"/>
                <w:i w:val="0"/>
                <w:color w:val="000000"/>
                <w:kern w:val="2"/>
                <w:sz w:val="24"/>
                <w:szCs w:val="24"/>
                <w:u w:val="none"/>
                <w:lang w:val="en-US" w:eastAsia="zh-CN" w:bidi="ar"/>
              </w:rPr>
              <w:t>14</w:t>
            </w:r>
          </w:p>
        </w:tc>
        <w:tc>
          <w:tcPr>
            <w:tcW w:w="1656"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default" w:ascii="楷体" w:hAnsi="楷体" w:eastAsia="楷体" w:cs="楷体"/>
                <w:i w:val="0"/>
                <w:color w:val="000000"/>
                <w:kern w:val="2"/>
                <w:sz w:val="24"/>
                <w:szCs w:val="24"/>
                <w:u w:val="none"/>
                <w:lang w:val="en-US" w:eastAsia="zh-CN" w:bidi="ar"/>
              </w:rPr>
            </w:pPr>
            <w:r>
              <w:rPr>
                <w:rFonts w:hint="eastAsia" w:ascii="楷体" w:hAnsi="楷体" w:eastAsia="楷体" w:cs="楷体"/>
                <w:i w:val="0"/>
                <w:color w:val="000000"/>
                <w:kern w:val="2"/>
                <w:sz w:val="24"/>
                <w:szCs w:val="24"/>
                <w:u w:val="none"/>
                <w:lang w:val="en-US" w:eastAsia="zh-CN" w:bidi="ar"/>
              </w:rPr>
              <w:t>32</w:t>
            </w:r>
          </w:p>
        </w:tc>
        <w:tc>
          <w:tcPr>
            <w:tcW w:w="1658"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default" w:ascii="楷体" w:hAnsi="楷体" w:eastAsia="楷体" w:cs="楷体"/>
                <w:i w:val="0"/>
                <w:color w:val="000000"/>
                <w:kern w:val="2"/>
                <w:sz w:val="24"/>
                <w:szCs w:val="24"/>
                <w:u w:val="none"/>
                <w:lang w:val="en-US" w:eastAsia="zh-CN" w:bidi="ar"/>
              </w:rPr>
            </w:pPr>
            <w:r>
              <w:rPr>
                <w:rFonts w:hint="eastAsia" w:ascii="楷体" w:hAnsi="楷体" w:eastAsia="楷体" w:cs="楷体"/>
                <w:i w:val="0"/>
                <w:color w:val="000000"/>
                <w:kern w:val="2"/>
                <w:sz w:val="24"/>
                <w:szCs w:val="24"/>
                <w:u w:val="none"/>
                <w:lang w:val="en-US" w:eastAsia="zh-CN" w:bidi="ar"/>
              </w:rPr>
              <w:t>54</w:t>
            </w:r>
          </w:p>
        </w:tc>
        <w:tc>
          <w:tcPr>
            <w:tcW w:w="1896"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default" w:ascii="楷体" w:hAnsi="楷体" w:eastAsia="楷体" w:cs="楷体"/>
                <w:i w:val="0"/>
                <w:color w:val="000000"/>
                <w:kern w:val="2"/>
                <w:sz w:val="24"/>
                <w:szCs w:val="24"/>
                <w:u w:val="none"/>
                <w:lang w:val="en-US" w:eastAsia="zh-CN" w:bidi="ar"/>
              </w:rPr>
            </w:pPr>
            <w:r>
              <w:rPr>
                <w:rFonts w:hint="eastAsia" w:ascii="楷体" w:hAnsi="楷体" w:eastAsia="楷体" w:cs="楷体"/>
                <w:i w:val="0"/>
                <w:color w:val="000000"/>
                <w:kern w:val="2"/>
                <w:sz w:val="24"/>
                <w:szCs w:val="24"/>
                <w:u w:val="none"/>
                <w:lang w:val="en-US" w:eastAsia="zh-CN" w:bidi="ar"/>
              </w:rPr>
              <w:t>50.8</w:t>
            </w:r>
          </w:p>
        </w:tc>
      </w:tr>
      <w:tr>
        <w:tblPrEx>
          <w:tblBorders>
            <w:top w:val="thinThickSmallGap" w:color="A4A4A4" w:sz="12"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 w:hRule="atLeast"/>
          <w:jc w:val="center"/>
        </w:trPr>
        <w:tc>
          <w:tcPr>
            <w:tcW w:w="1656"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i w:val="0"/>
                <w:color w:val="000000"/>
                <w:kern w:val="2"/>
                <w:sz w:val="24"/>
                <w:szCs w:val="24"/>
                <w:u w:val="none"/>
                <w:lang w:val="en-US" w:eastAsia="zh-CN" w:bidi="ar"/>
              </w:rPr>
            </w:pPr>
            <w:r>
              <w:rPr>
                <w:rFonts w:hint="eastAsia" w:ascii="楷体" w:hAnsi="楷体" w:eastAsia="楷体" w:cs="楷体"/>
                <w:i w:val="0"/>
                <w:color w:val="000000"/>
                <w:kern w:val="2"/>
                <w:sz w:val="24"/>
                <w:szCs w:val="24"/>
                <w:u w:val="none"/>
                <w:lang w:val="en-US" w:eastAsia="zh-CN" w:bidi="ar"/>
              </w:rPr>
              <w:t>天涯区</w:t>
            </w:r>
          </w:p>
        </w:tc>
        <w:tc>
          <w:tcPr>
            <w:tcW w:w="1656"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default" w:ascii="楷体" w:hAnsi="楷体" w:eastAsia="楷体" w:cs="楷体"/>
                <w:i w:val="0"/>
                <w:color w:val="000000"/>
                <w:kern w:val="2"/>
                <w:sz w:val="24"/>
                <w:szCs w:val="24"/>
                <w:u w:val="none"/>
                <w:lang w:val="en-US" w:eastAsia="zh-CN" w:bidi="ar"/>
              </w:rPr>
            </w:pPr>
            <w:r>
              <w:rPr>
                <w:rFonts w:hint="eastAsia" w:ascii="楷体" w:hAnsi="楷体" w:eastAsia="楷体" w:cs="楷体"/>
                <w:i w:val="0"/>
                <w:color w:val="000000"/>
                <w:kern w:val="2"/>
                <w:sz w:val="24"/>
                <w:szCs w:val="24"/>
                <w:u w:val="none"/>
                <w:lang w:val="en-US" w:eastAsia="zh-CN" w:bidi="ar"/>
              </w:rPr>
              <w:t>11</w:t>
            </w:r>
          </w:p>
        </w:tc>
        <w:tc>
          <w:tcPr>
            <w:tcW w:w="1656"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default" w:ascii="楷体" w:hAnsi="楷体" w:eastAsia="楷体" w:cs="楷体"/>
                <w:i w:val="0"/>
                <w:color w:val="000000"/>
                <w:kern w:val="2"/>
                <w:sz w:val="24"/>
                <w:szCs w:val="24"/>
                <w:u w:val="none"/>
                <w:lang w:val="en-US" w:eastAsia="zh-CN" w:bidi="ar"/>
              </w:rPr>
            </w:pPr>
            <w:r>
              <w:rPr>
                <w:rFonts w:hint="eastAsia" w:ascii="楷体" w:hAnsi="楷体" w:eastAsia="楷体" w:cs="楷体"/>
                <w:i w:val="0"/>
                <w:color w:val="000000"/>
                <w:kern w:val="2"/>
                <w:sz w:val="24"/>
                <w:szCs w:val="24"/>
                <w:u w:val="none"/>
                <w:lang w:val="en-US" w:eastAsia="zh-CN" w:bidi="ar"/>
              </w:rPr>
              <w:t>15</w:t>
            </w:r>
          </w:p>
        </w:tc>
        <w:tc>
          <w:tcPr>
            <w:tcW w:w="1658"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default" w:ascii="楷体" w:hAnsi="楷体" w:eastAsia="楷体" w:cs="楷体"/>
                <w:i w:val="0"/>
                <w:color w:val="000000"/>
                <w:kern w:val="2"/>
                <w:sz w:val="24"/>
                <w:szCs w:val="24"/>
                <w:u w:val="none"/>
                <w:lang w:val="en-US" w:eastAsia="zh-CN" w:bidi="ar"/>
              </w:rPr>
            </w:pPr>
            <w:r>
              <w:rPr>
                <w:rFonts w:hint="eastAsia" w:ascii="楷体" w:hAnsi="楷体" w:eastAsia="楷体" w:cs="楷体"/>
                <w:i w:val="0"/>
                <w:color w:val="000000"/>
                <w:kern w:val="2"/>
                <w:sz w:val="24"/>
                <w:szCs w:val="24"/>
                <w:u w:val="none"/>
                <w:lang w:val="en-US" w:eastAsia="zh-CN" w:bidi="ar"/>
              </w:rPr>
              <w:t>74</w:t>
            </w:r>
          </w:p>
        </w:tc>
        <w:tc>
          <w:tcPr>
            <w:tcW w:w="1896"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default" w:ascii="楷体" w:hAnsi="楷体" w:eastAsia="楷体" w:cs="楷体"/>
                <w:i w:val="0"/>
                <w:color w:val="000000"/>
                <w:kern w:val="2"/>
                <w:sz w:val="24"/>
                <w:szCs w:val="24"/>
                <w:u w:val="none"/>
                <w:lang w:val="en-US" w:eastAsia="zh-CN" w:bidi="ar"/>
              </w:rPr>
            </w:pPr>
            <w:r>
              <w:rPr>
                <w:rFonts w:hint="eastAsia" w:ascii="楷体" w:hAnsi="楷体" w:eastAsia="楷体" w:cs="楷体"/>
                <w:i w:val="0"/>
                <w:color w:val="000000"/>
                <w:kern w:val="2"/>
                <w:sz w:val="24"/>
                <w:szCs w:val="24"/>
                <w:u w:val="none"/>
                <w:lang w:val="en-US" w:eastAsia="zh-CN" w:bidi="ar"/>
              </w:rPr>
              <w:t>158.3</w:t>
            </w:r>
          </w:p>
        </w:tc>
      </w:tr>
      <w:tr>
        <w:tblPrEx>
          <w:tblBorders>
            <w:top w:val="thinThickSmallGap" w:color="A4A4A4" w:sz="12"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 w:hRule="atLeast"/>
          <w:jc w:val="center"/>
        </w:trPr>
        <w:tc>
          <w:tcPr>
            <w:tcW w:w="1656"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i w:val="0"/>
                <w:color w:val="000000"/>
                <w:kern w:val="2"/>
                <w:sz w:val="24"/>
                <w:szCs w:val="24"/>
                <w:u w:val="none"/>
                <w:lang w:val="en-US" w:eastAsia="zh-CN" w:bidi="ar"/>
              </w:rPr>
            </w:pPr>
            <w:r>
              <w:rPr>
                <w:rFonts w:hint="eastAsia" w:ascii="楷体" w:hAnsi="楷体" w:eastAsia="楷体" w:cs="楷体"/>
                <w:i w:val="0"/>
                <w:color w:val="000000"/>
                <w:kern w:val="2"/>
                <w:sz w:val="24"/>
                <w:szCs w:val="24"/>
                <w:u w:val="none"/>
                <w:lang w:val="en-US" w:eastAsia="zh-CN" w:bidi="ar"/>
              </w:rPr>
              <w:t>陵水县</w:t>
            </w:r>
          </w:p>
        </w:tc>
        <w:tc>
          <w:tcPr>
            <w:tcW w:w="1656"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default" w:ascii="楷体" w:hAnsi="楷体" w:eastAsia="楷体" w:cs="楷体"/>
                <w:i w:val="0"/>
                <w:color w:val="000000"/>
                <w:kern w:val="2"/>
                <w:sz w:val="24"/>
                <w:szCs w:val="24"/>
                <w:u w:val="none"/>
                <w:lang w:val="en-US" w:eastAsia="zh-CN" w:bidi="ar"/>
              </w:rPr>
            </w:pPr>
            <w:r>
              <w:rPr>
                <w:rFonts w:hint="eastAsia" w:ascii="楷体" w:hAnsi="楷体" w:eastAsia="楷体" w:cs="楷体"/>
                <w:i w:val="0"/>
                <w:color w:val="000000"/>
                <w:kern w:val="2"/>
                <w:sz w:val="24"/>
                <w:szCs w:val="24"/>
                <w:u w:val="none"/>
                <w:lang w:val="en-US" w:eastAsia="zh-CN" w:bidi="ar"/>
              </w:rPr>
              <w:t>27</w:t>
            </w:r>
          </w:p>
        </w:tc>
        <w:tc>
          <w:tcPr>
            <w:tcW w:w="1656"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default" w:ascii="楷体" w:hAnsi="楷体" w:eastAsia="楷体" w:cs="楷体"/>
                <w:i w:val="0"/>
                <w:color w:val="000000"/>
                <w:kern w:val="2"/>
                <w:sz w:val="24"/>
                <w:szCs w:val="24"/>
                <w:u w:val="none"/>
                <w:lang w:val="en-US" w:eastAsia="zh-CN" w:bidi="ar"/>
              </w:rPr>
            </w:pPr>
            <w:r>
              <w:rPr>
                <w:rFonts w:hint="eastAsia" w:ascii="楷体" w:hAnsi="楷体" w:eastAsia="楷体" w:cs="楷体"/>
                <w:i w:val="0"/>
                <w:color w:val="000000"/>
                <w:kern w:val="2"/>
                <w:sz w:val="24"/>
                <w:szCs w:val="24"/>
                <w:u w:val="none"/>
                <w:lang w:val="en-US" w:eastAsia="zh-CN" w:bidi="ar"/>
              </w:rPr>
              <w:t>18</w:t>
            </w:r>
          </w:p>
        </w:tc>
        <w:tc>
          <w:tcPr>
            <w:tcW w:w="1658"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default" w:ascii="楷体" w:hAnsi="楷体" w:eastAsia="楷体" w:cs="楷体"/>
                <w:i w:val="0"/>
                <w:color w:val="000000"/>
                <w:kern w:val="2"/>
                <w:sz w:val="24"/>
                <w:szCs w:val="24"/>
                <w:u w:val="none"/>
                <w:lang w:val="en-US" w:eastAsia="zh-CN" w:bidi="ar"/>
              </w:rPr>
            </w:pPr>
            <w:r>
              <w:rPr>
                <w:rFonts w:hint="eastAsia" w:ascii="楷体" w:hAnsi="楷体" w:eastAsia="楷体" w:cs="楷体"/>
                <w:i w:val="0"/>
                <w:color w:val="000000"/>
                <w:kern w:val="2"/>
                <w:sz w:val="24"/>
                <w:szCs w:val="24"/>
                <w:u w:val="none"/>
                <w:lang w:val="en-US" w:eastAsia="zh-CN" w:bidi="ar"/>
              </w:rPr>
              <w:t>55</w:t>
            </w:r>
          </w:p>
        </w:tc>
        <w:tc>
          <w:tcPr>
            <w:tcW w:w="1896"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default" w:ascii="楷体" w:hAnsi="楷体" w:eastAsia="楷体" w:cs="楷体"/>
                <w:i w:val="0"/>
                <w:color w:val="000000"/>
                <w:kern w:val="2"/>
                <w:sz w:val="24"/>
                <w:szCs w:val="24"/>
                <w:u w:val="none"/>
                <w:lang w:val="en-US" w:eastAsia="zh-CN" w:bidi="ar"/>
              </w:rPr>
            </w:pPr>
            <w:r>
              <w:rPr>
                <w:rFonts w:hint="eastAsia" w:ascii="楷体" w:hAnsi="楷体" w:eastAsia="楷体" w:cs="楷体"/>
                <w:i w:val="0"/>
                <w:color w:val="000000"/>
                <w:kern w:val="2"/>
                <w:sz w:val="24"/>
                <w:szCs w:val="24"/>
                <w:u w:val="none"/>
                <w:lang w:val="en-US" w:eastAsia="zh-CN" w:bidi="ar"/>
              </w:rPr>
              <w:t>100.7</w:t>
            </w:r>
          </w:p>
        </w:tc>
      </w:tr>
      <w:tr>
        <w:tblPrEx>
          <w:tblBorders>
            <w:top w:val="thinThickSmallGap" w:color="A4A4A4" w:sz="12"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 w:hRule="atLeast"/>
          <w:jc w:val="center"/>
        </w:trPr>
        <w:tc>
          <w:tcPr>
            <w:tcW w:w="1656"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i w:val="0"/>
                <w:color w:val="000000"/>
                <w:kern w:val="2"/>
                <w:sz w:val="24"/>
                <w:szCs w:val="24"/>
                <w:u w:val="none"/>
                <w:lang w:val="en-US" w:eastAsia="zh-CN" w:bidi="ar"/>
              </w:rPr>
            </w:pPr>
            <w:r>
              <w:rPr>
                <w:rFonts w:hint="eastAsia" w:ascii="楷体" w:hAnsi="楷体" w:eastAsia="楷体" w:cs="楷体"/>
                <w:i w:val="0"/>
                <w:color w:val="000000"/>
                <w:kern w:val="2"/>
                <w:sz w:val="24"/>
                <w:szCs w:val="24"/>
                <w:u w:val="none"/>
                <w:lang w:val="en-US" w:eastAsia="zh-CN" w:bidi="ar"/>
              </w:rPr>
              <w:t>保亭县</w:t>
            </w:r>
          </w:p>
        </w:tc>
        <w:tc>
          <w:tcPr>
            <w:tcW w:w="1656"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default" w:ascii="楷体" w:hAnsi="楷体" w:eastAsia="楷体" w:cs="楷体"/>
                <w:i w:val="0"/>
                <w:color w:val="000000"/>
                <w:kern w:val="2"/>
                <w:sz w:val="24"/>
                <w:szCs w:val="24"/>
                <w:u w:val="none"/>
                <w:lang w:val="en-US" w:eastAsia="zh-CN" w:bidi="ar"/>
              </w:rPr>
            </w:pPr>
            <w:r>
              <w:rPr>
                <w:rFonts w:hint="eastAsia" w:ascii="楷体" w:hAnsi="楷体" w:eastAsia="楷体" w:cs="楷体"/>
                <w:i w:val="0"/>
                <w:color w:val="000000"/>
                <w:kern w:val="2"/>
                <w:sz w:val="24"/>
                <w:szCs w:val="24"/>
                <w:u w:val="none"/>
                <w:lang w:val="en-US" w:eastAsia="zh-CN" w:bidi="ar"/>
              </w:rPr>
              <w:t>35</w:t>
            </w:r>
          </w:p>
        </w:tc>
        <w:tc>
          <w:tcPr>
            <w:tcW w:w="1656"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default" w:ascii="楷体" w:hAnsi="楷体" w:eastAsia="楷体" w:cs="楷体"/>
                <w:i w:val="0"/>
                <w:color w:val="000000"/>
                <w:kern w:val="2"/>
                <w:sz w:val="24"/>
                <w:szCs w:val="24"/>
                <w:u w:val="none"/>
                <w:lang w:val="en-US" w:eastAsia="zh-CN" w:bidi="ar"/>
              </w:rPr>
            </w:pPr>
            <w:r>
              <w:rPr>
                <w:rFonts w:hint="eastAsia" w:ascii="楷体" w:hAnsi="楷体" w:eastAsia="楷体" w:cs="楷体"/>
                <w:i w:val="0"/>
                <w:color w:val="000000"/>
                <w:kern w:val="2"/>
                <w:sz w:val="24"/>
                <w:szCs w:val="24"/>
                <w:u w:val="none"/>
                <w:lang w:val="en-US" w:eastAsia="zh-CN" w:bidi="ar"/>
              </w:rPr>
              <w:t>11</w:t>
            </w:r>
          </w:p>
        </w:tc>
        <w:tc>
          <w:tcPr>
            <w:tcW w:w="1658"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default" w:ascii="楷体" w:hAnsi="楷体" w:eastAsia="楷体" w:cs="楷体"/>
                <w:i w:val="0"/>
                <w:color w:val="000000"/>
                <w:kern w:val="2"/>
                <w:sz w:val="24"/>
                <w:szCs w:val="24"/>
                <w:u w:val="none"/>
                <w:lang w:val="en-US" w:eastAsia="zh-CN" w:bidi="ar"/>
              </w:rPr>
            </w:pPr>
            <w:r>
              <w:rPr>
                <w:rFonts w:hint="eastAsia" w:ascii="楷体" w:hAnsi="楷体" w:eastAsia="楷体" w:cs="楷体"/>
                <w:i w:val="0"/>
                <w:color w:val="000000"/>
                <w:kern w:val="2"/>
                <w:sz w:val="24"/>
                <w:szCs w:val="24"/>
                <w:u w:val="none"/>
                <w:lang w:val="en-US" w:eastAsia="zh-CN" w:bidi="ar"/>
              </w:rPr>
              <w:t>54</w:t>
            </w:r>
          </w:p>
        </w:tc>
        <w:tc>
          <w:tcPr>
            <w:tcW w:w="1896"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default" w:ascii="楷体" w:hAnsi="楷体" w:eastAsia="楷体" w:cs="楷体"/>
                <w:i w:val="0"/>
                <w:color w:val="000000"/>
                <w:kern w:val="2"/>
                <w:sz w:val="24"/>
                <w:szCs w:val="24"/>
                <w:u w:val="none"/>
                <w:lang w:val="en-US" w:eastAsia="zh-CN" w:bidi="ar"/>
              </w:rPr>
            </w:pPr>
            <w:r>
              <w:rPr>
                <w:rFonts w:hint="eastAsia" w:ascii="楷体" w:hAnsi="楷体" w:eastAsia="楷体" w:cs="楷体"/>
                <w:i w:val="0"/>
                <w:color w:val="000000"/>
                <w:kern w:val="2"/>
                <w:sz w:val="24"/>
                <w:szCs w:val="24"/>
                <w:u w:val="none"/>
                <w:lang w:val="en-US" w:eastAsia="zh-CN" w:bidi="ar"/>
              </w:rPr>
              <w:t>30.1</w:t>
            </w:r>
          </w:p>
        </w:tc>
      </w:tr>
      <w:tr>
        <w:tblPrEx>
          <w:tblBorders>
            <w:top w:val="thinThickSmallGap" w:color="A4A4A4" w:sz="12"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 w:hRule="atLeast"/>
          <w:jc w:val="center"/>
        </w:trPr>
        <w:tc>
          <w:tcPr>
            <w:tcW w:w="1656"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i w:val="0"/>
                <w:color w:val="000000"/>
                <w:kern w:val="2"/>
                <w:sz w:val="24"/>
                <w:szCs w:val="24"/>
                <w:u w:val="none"/>
                <w:lang w:val="en-US" w:eastAsia="zh-CN" w:bidi="ar"/>
              </w:rPr>
            </w:pPr>
            <w:r>
              <w:rPr>
                <w:rFonts w:hint="eastAsia" w:ascii="楷体" w:hAnsi="楷体" w:eastAsia="楷体" w:cs="楷体"/>
                <w:i w:val="0"/>
                <w:color w:val="000000"/>
                <w:kern w:val="2"/>
                <w:sz w:val="24"/>
                <w:szCs w:val="24"/>
                <w:u w:val="none"/>
                <w:lang w:val="en-US" w:eastAsia="zh-CN" w:bidi="ar"/>
              </w:rPr>
              <w:t>乐东县</w:t>
            </w:r>
          </w:p>
        </w:tc>
        <w:tc>
          <w:tcPr>
            <w:tcW w:w="1656"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default" w:ascii="楷体" w:hAnsi="楷体" w:eastAsia="楷体" w:cs="楷体"/>
                <w:i w:val="0"/>
                <w:color w:val="000000"/>
                <w:kern w:val="2"/>
                <w:sz w:val="24"/>
                <w:szCs w:val="24"/>
                <w:u w:val="none"/>
                <w:lang w:val="en-US" w:eastAsia="zh-CN" w:bidi="ar"/>
              </w:rPr>
            </w:pPr>
            <w:r>
              <w:rPr>
                <w:rFonts w:hint="eastAsia" w:ascii="楷体" w:hAnsi="楷体" w:eastAsia="楷体" w:cs="楷体"/>
                <w:i w:val="0"/>
                <w:color w:val="000000"/>
                <w:kern w:val="2"/>
                <w:sz w:val="24"/>
                <w:szCs w:val="24"/>
                <w:u w:val="none"/>
                <w:lang w:val="en-US" w:eastAsia="zh-CN" w:bidi="ar"/>
              </w:rPr>
              <w:t>54</w:t>
            </w:r>
          </w:p>
        </w:tc>
        <w:tc>
          <w:tcPr>
            <w:tcW w:w="1656"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default" w:ascii="楷体" w:hAnsi="楷体" w:eastAsia="楷体" w:cs="楷体"/>
                <w:i w:val="0"/>
                <w:color w:val="000000"/>
                <w:kern w:val="2"/>
                <w:sz w:val="24"/>
                <w:szCs w:val="24"/>
                <w:u w:val="none"/>
                <w:lang w:val="en-US" w:eastAsia="zh-CN" w:bidi="ar"/>
              </w:rPr>
            </w:pPr>
            <w:r>
              <w:rPr>
                <w:rFonts w:hint="eastAsia" w:ascii="楷体" w:hAnsi="楷体" w:eastAsia="楷体" w:cs="楷体"/>
                <w:i w:val="0"/>
                <w:color w:val="000000"/>
                <w:kern w:val="2"/>
                <w:sz w:val="24"/>
                <w:szCs w:val="24"/>
                <w:u w:val="none"/>
                <w:lang w:val="en-US" w:eastAsia="zh-CN" w:bidi="ar"/>
              </w:rPr>
              <w:t>12</w:t>
            </w:r>
          </w:p>
        </w:tc>
        <w:tc>
          <w:tcPr>
            <w:tcW w:w="1658"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default" w:ascii="楷体" w:hAnsi="楷体" w:eastAsia="楷体" w:cs="楷体"/>
                <w:i w:val="0"/>
                <w:color w:val="000000"/>
                <w:kern w:val="2"/>
                <w:sz w:val="24"/>
                <w:szCs w:val="24"/>
                <w:u w:val="none"/>
                <w:lang w:val="en-US" w:eastAsia="zh-CN" w:bidi="ar"/>
              </w:rPr>
            </w:pPr>
            <w:r>
              <w:rPr>
                <w:rFonts w:hint="eastAsia" w:ascii="楷体" w:hAnsi="楷体" w:eastAsia="楷体" w:cs="楷体"/>
                <w:i w:val="0"/>
                <w:color w:val="000000"/>
                <w:kern w:val="2"/>
                <w:sz w:val="24"/>
                <w:szCs w:val="24"/>
                <w:u w:val="none"/>
                <w:lang w:val="en-US" w:eastAsia="zh-CN" w:bidi="ar"/>
              </w:rPr>
              <w:t>34</w:t>
            </w:r>
          </w:p>
        </w:tc>
        <w:tc>
          <w:tcPr>
            <w:tcW w:w="1896"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default" w:ascii="楷体" w:hAnsi="楷体" w:eastAsia="楷体" w:cs="楷体"/>
                <w:i w:val="0"/>
                <w:color w:val="000000"/>
                <w:kern w:val="2"/>
                <w:sz w:val="24"/>
                <w:szCs w:val="24"/>
                <w:u w:val="none"/>
                <w:lang w:val="en-US" w:eastAsia="zh-CN" w:bidi="ar"/>
              </w:rPr>
            </w:pPr>
            <w:r>
              <w:rPr>
                <w:rFonts w:hint="eastAsia" w:ascii="楷体" w:hAnsi="楷体" w:eastAsia="楷体" w:cs="楷体"/>
                <w:i w:val="0"/>
                <w:color w:val="000000"/>
                <w:kern w:val="2"/>
                <w:sz w:val="24"/>
                <w:szCs w:val="24"/>
                <w:u w:val="none"/>
                <w:lang w:val="en-US" w:eastAsia="zh-CN" w:bidi="ar"/>
              </w:rPr>
              <w:t>49.1</w:t>
            </w:r>
          </w:p>
        </w:tc>
      </w:tr>
      <w:tr>
        <w:tblPrEx>
          <w:tblBorders>
            <w:top w:val="thinThickSmallGap" w:color="A4A4A4" w:sz="12"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 w:hRule="atLeast"/>
          <w:jc w:val="center"/>
        </w:trPr>
        <w:tc>
          <w:tcPr>
            <w:tcW w:w="1656" w:type="dxa"/>
            <w:tcBorders>
              <w:bottom w:val="thickThinSmallGap" w:color="A4A4A4" w:sz="12"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i w:val="0"/>
                <w:iCs w:val="0"/>
                <w:color w:val="000000"/>
                <w:kern w:val="2"/>
                <w:sz w:val="24"/>
                <w:szCs w:val="24"/>
                <w:u w:val="none"/>
                <w:lang w:val="en-US" w:eastAsia="zh-CN" w:bidi="ar"/>
              </w:rPr>
            </w:pPr>
            <w:r>
              <w:rPr>
                <w:rFonts w:hint="eastAsia" w:ascii="楷体" w:hAnsi="楷体" w:eastAsia="楷体" w:cs="楷体"/>
                <w:i w:val="0"/>
                <w:iCs w:val="0"/>
                <w:color w:val="000000"/>
                <w:kern w:val="2"/>
                <w:sz w:val="24"/>
                <w:szCs w:val="24"/>
                <w:u w:val="none"/>
                <w:lang w:val="en-US" w:eastAsia="zh-CN" w:bidi="ar"/>
              </w:rPr>
              <w:t>三亚市</w:t>
            </w:r>
          </w:p>
        </w:tc>
        <w:tc>
          <w:tcPr>
            <w:tcW w:w="1656" w:type="dxa"/>
            <w:tcBorders>
              <w:bottom w:val="thickThinSmallGap" w:color="A4A4A4" w:sz="12"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i w:val="0"/>
                <w:iCs w:val="0"/>
                <w:color w:val="000000"/>
                <w:kern w:val="2"/>
                <w:sz w:val="24"/>
                <w:szCs w:val="24"/>
                <w:u w:val="none"/>
                <w:lang w:val="en-US" w:eastAsia="zh-CN" w:bidi="ar"/>
              </w:rPr>
            </w:pPr>
            <w:r>
              <w:rPr>
                <w:rFonts w:hint="eastAsia" w:ascii="楷体" w:hAnsi="楷体" w:eastAsia="楷体" w:cs="楷体"/>
                <w:i w:val="0"/>
                <w:iCs w:val="0"/>
                <w:color w:val="000000"/>
                <w:kern w:val="2"/>
                <w:sz w:val="24"/>
                <w:szCs w:val="24"/>
                <w:u w:val="none"/>
                <w:lang w:val="en-US" w:eastAsia="zh-CN" w:bidi="ar"/>
              </w:rPr>
              <w:t>10.5</w:t>
            </w:r>
          </w:p>
        </w:tc>
        <w:tc>
          <w:tcPr>
            <w:tcW w:w="1656" w:type="dxa"/>
            <w:tcBorders>
              <w:bottom w:val="thickThinSmallGap" w:color="A4A4A4" w:sz="12"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i w:val="0"/>
                <w:iCs w:val="0"/>
                <w:color w:val="000000"/>
                <w:kern w:val="2"/>
                <w:sz w:val="24"/>
                <w:szCs w:val="24"/>
                <w:u w:val="none"/>
                <w:lang w:val="en-US" w:eastAsia="zh-CN" w:bidi="ar"/>
              </w:rPr>
            </w:pPr>
            <w:r>
              <w:rPr>
                <w:rFonts w:hint="eastAsia" w:ascii="楷体" w:hAnsi="楷体" w:eastAsia="楷体" w:cs="楷体"/>
                <w:i w:val="0"/>
                <w:iCs w:val="0"/>
                <w:color w:val="000000"/>
                <w:kern w:val="2"/>
                <w:sz w:val="24"/>
                <w:szCs w:val="24"/>
                <w:u w:val="none"/>
                <w:lang w:val="en-US" w:eastAsia="zh-CN" w:bidi="ar"/>
              </w:rPr>
              <w:t>16.6</w:t>
            </w:r>
          </w:p>
        </w:tc>
        <w:tc>
          <w:tcPr>
            <w:tcW w:w="1658" w:type="dxa"/>
            <w:tcBorders>
              <w:bottom w:val="thickThinSmallGap" w:color="A4A4A4" w:sz="12"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i w:val="0"/>
                <w:iCs w:val="0"/>
                <w:color w:val="000000"/>
                <w:kern w:val="2"/>
                <w:sz w:val="24"/>
                <w:szCs w:val="24"/>
                <w:u w:val="none"/>
                <w:lang w:val="en-US" w:eastAsia="zh-CN" w:bidi="ar"/>
              </w:rPr>
            </w:pPr>
            <w:r>
              <w:rPr>
                <w:rFonts w:hint="eastAsia" w:ascii="楷体" w:hAnsi="楷体" w:eastAsia="楷体" w:cs="楷体"/>
                <w:i w:val="0"/>
                <w:iCs w:val="0"/>
                <w:color w:val="000000"/>
                <w:kern w:val="2"/>
                <w:sz w:val="24"/>
                <w:szCs w:val="24"/>
                <w:u w:val="none"/>
                <w:lang w:val="en-US" w:eastAsia="zh-CN" w:bidi="ar"/>
              </w:rPr>
              <w:t>72.9</w:t>
            </w:r>
          </w:p>
        </w:tc>
        <w:tc>
          <w:tcPr>
            <w:tcW w:w="1896" w:type="dxa"/>
            <w:tcBorders>
              <w:bottom w:val="thickThinSmallGap" w:color="A4A4A4" w:sz="12"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default" w:ascii="楷体" w:hAnsi="楷体" w:eastAsia="楷体" w:cs="楷体"/>
                <w:i w:val="0"/>
                <w:iCs w:val="0"/>
                <w:color w:val="000000"/>
                <w:kern w:val="2"/>
                <w:sz w:val="24"/>
                <w:szCs w:val="24"/>
                <w:u w:val="none"/>
                <w:lang w:val="en-US" w:eastAsia="zh-CN" w:bidi="ar"/>
              </w:rPr>
            </w:pPr>
            <w:r>
              <w:rPr>
                <w:rFonts w:hint="eastAsia" w:ascii="楷体" w:hAnsi="楷体" w:eastAsia="楷体" w:cs="楷体"/>
                <w:i w:val="0"/>
                <w:iCs w:val="0"/>
                <w:color w:val="000000"/>
                <w:kern w:val="2"/>
                <w:sz w:val="24"/>
                <w:szCs w:val="24"/>
                <w:u w:val="none"/>
                <w:lang w:val="en-US" w:eastAsia="zh-CN" w:bidi="ar"/>
              </w:rPr>
              <w:t>494.2</w:t>
            </w:r>
          </w:p>
        </w:tc>
      </w:tr>
    </w:tbl>
    <w:p>
      <w:pPr>
        <w:pStyle w:val="4"/>
        <w:bidi w:val="0"/>
        <w:rPr>
          <w:rFonts w:hint="default"/>
          <w:lang w:val="en-US" w:eastAsia="zh-CN"/>
        </w:rPr>
      </w:pPr>
      <w:bookmarkStart w:id="416" w:name="_Toc29447"/>
      <w:bookmarkStart w:id="417" w:name="_Toc18192"/>
      <w:bookmarkStart w:id="418" w:name="_Toc14805"/>
      <w:r>
        <w:rPr>
          <w:rFonts w:hint="eastAsia"/>
          <w:lang w:val="en-US" w:eastAsia="zh-CN"/>
        </w:rPr>
        <w:t>二、旅游业分析</w:t>
      </w:r>
      <w:bookmarkEnd w:id="416"/>
      <w:bookmarkEnd w:id="417"/>
      <w:bookmarkEnd w:id="418"/>
    </w:p>
    <w:p>
      <w:pPr>
        <w:pStyle w:val="5"/>
        <w:numPr>
          <w:ilvl w:val="0"/>
          <w:numId w:val="38"/>
        </w:numPr>
        <w:bidi w:val="0"/>
        <w:rPr>
          <w:rFonts w:hint="default"/>
          <w:lang w:val="en-US" w:eastAsia="zh-CN"/>
        </w:rPr>
      </w:pPr>
      <w:bookmarkStart w:id="419" w:name="_Toc29251"/>
      <w:bookmarkStart w:id="420" w:name="_Toc27517"/>
      <w:bookmarkStart w:id="421" w:name="_Toc27178"/>
      <w:r>
        <w:rPr>
          <w:rFonts w:hint="eastAsia"/>
          <w:lang w:val="en-US" w:eastAsia="zh-CN"/>
        </w:rPr>
        <w:t>历史文化旅游资源丰富，集聚多个重量级文旅资源</w:t>
      </w:r>
      <w:bookmarkEnd w:id="419"/>
      <w:bookmarkEnd w:id="420"/>
      <w:bookmarkEnd w:id="421"/>
    </w:p>
    <w:p>
      <w:pPr>
        <w:rPr>
          <w:rFonts w:hint="eastAsia" w:ascii="仿宋_GB2312" w:eastAsia="仿宋_GB2312"/>
          <w:lang w:val="en-US" w:eastAsia="zh-CN"/>
        </w:rPr>
      </w:pPr>
      <w:r>
        <w:rPr>
          <w:rFonts w:hint="eastAsia" w:ascii="仿宋_GB2312" w:eastAsia="仿宋_GB2312"/>
          <w:lang w:val="en-US" w:eastAsia="zh-CN"/>
        </w:rPr>
        <w:t>崖州区是</w:t>
      </w:r>
      <w:r>
        <w:rPr>
          <w:rFonts w:hint="eastAsia" w:ascii="仿宋_GB2312" w:eastAsia="仿宋_GB2312"/>
          <w:b w:val="0"/>
          <w:bCs w:val="0"/>
          <w:lang w:val="en-US" w:eastAsia="zh-CN"/>
        </w:rPr>
        <w:t>三亚</w:t>
      </w:r>
      <w:r>
        <w:rPr>
          <w:rFonts w:hint="eastAsia" w:ascii="仿宋_GB2312" w:eastAsia="仿宋_GB2312"/>
          <w:b/>
          <w:bCs/>
          <w:lang w:val="en-US" w:eastAsia="zh-CN"/>
        </w:rPr>
        <w:t>历史文物遗迹最多最密集区域</w:t>
      </w:r>
      <w:r>
        <w:rPr>
          <w:rFonts w:hint="eastAsia" w:ascii="仿宋_GB2312" w:eastAsia="仿宋_GB2312"/>
          <w:lang w:val="en-US" w:eastAsia="zh-CN"/>
        </w:rPr>
        <w:t>，共有文物保护单位23处，包括全国重点文物保护单位1处、省级文物保护单位11处、市级文物保护单位11处，另有已列级非物质文化遗产22项，有着悠久的历史文脉与多民族特色。</w:t>
      </w:r>
    </w:p>
    <w:p>
      <w:pPr>
        <w:rPr>
          <w:rFonts w:hint="eastAsia"/>
          <w:lang w:val="en-US" w:eastAsia="zh-CN"/>
        </w:rPr>
      </w:pPr>
      <w:r>
        <w:rPr>
          <w:rFonts w:hint="eastAsia" w:ascii="仿宋_GB2312" w:eastAsia="仿宋_GB2312"/>
          <w:lang w:val="en-US" w:eastAsia="zh-CN"/>
        </w:rPr>
        <w:t>崖州古城是</w:t>
      </w:r>
      <w:r>
        <w:rPr>
          <w:rFonts w:hint="eastAsia" w:ascii="仿宋_GB2312" w:eastAsia="仿宋_GB2312"/>
          <w:b/>
          <w:bCs/>
          <w:lang w:val="en-US" w:eastAsia="zh-CN"/>
        </w:rPr>
        <w:t>“人文三亚”的原点</w:t>
      </w:r>
      <w:r>
        <w:rPr>
          <w:rFonts w:hint="eastAsia" w:ascii="仿宋_GB2312" w:eastAsia="仿宋_GB2312"/>
          <w:lang w:val="en-US" w:eastAsia="zh-CN"/>
        </w:rPr>
        <w:t>，是三亚唯一的国家级历史文化名镇，具有重要历史价值。在中原文化的浸润下，崖州的多民族民间文化艺术绚丽多彩，黄道婆文化、崖州黎苗本土文化、中原南洋移民文化、梅山红色革命文化等交织共舞，崖州民歌和黎族打柴舞已列为国家非物质文化遗产项目。水南村是“海南第一文化古村”，保平村是海南十大名村之一，是崖州民歌主要发源地。崖州还拥有深远的宗教文化传承，南山旅游文化区和大小洞天风景区是国内知名5A级景区，分别以佛教文化和道教文化为代表，是游客来三亚观光“打卡”之处。崖州具有典型的热带特色农业资源和中国最南的国家级中心渔港，为发展观光休闲农渔业和田园经济打下良好基础。崖州湾科技城为崖州旅游注入了时代的新鲜血液，为发展深海、植物等领域科技研学及亲子旅游创造了良好条件。</w:t>
      </w:r>
    </w:p>
    <w:tbl>
      <w:tblPr>
        <w:tblStyle w:val="18"/>
        <w:tblW w:w="5000" w:type="pct"/>
        <w:jc w:val="center"/>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Layout w:type="fixed"/>
        <w:tblCellMar>
          <w:top w:w="0" w:type="dxa"/>
          <w:left w:w="108" w:type="dxa"/>
          <w:bottom w:w="0" w:type="dxa"/>
          <w:right w:w="108" w:type="dxa"/>
        </w:tblCellMar>
      </w:tblPr>
      <w:tblGrid>
        <w:gridCol w:w="461"/>
        <w:gridCol w:w="1612"/>
        <w:gridCol w:w="4836"/>
        <w:gridCol w:w="1613"/>
      </w:tblGrid>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23" w:hRule="atLeast"/>
          <w:jc w:val="center"/>
        </w:trPr>
        <w:tc>
          <w:tcPr>
            <w:tcW w:w="8522" w:type="dxa"/>
            <w:gridSpan w:val="4"/>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楷体" w:hAnsi="楷体" w:eastAsia="楷体" w:cs="楷体"/>
                <w:b/>
                <w:bCs/>
                <w:sz w:val="24"/>
                <w:szCs w:val="24"/>
                <w:vertAlign w:val="baseline"/>
                <w:lang w:val="en-US"/>
              </w:rPr>
            </w:pPr>
            <w:r>
              <w:rPr>
                <w:rFonts w:hint="eastAsia" w:ascii="楷体" w:hAnsi="楷体" w:eastAsia="楷体" w:cs="楷体"/>
                <w:b/>
                <w:bCs/>
                <w:sz w:val="24"/>
                <w:szCs w:val="24"/>
                <w:lang w:val="en-US" w:eastAsia="zh-CN"/>
              </w:rPr>
              <w:t>专栏18  崖州区文化旅游的独特重要资源——23处文物保护单位</w:t>
            </w:r>
          </w:p>
        </w:tc>
      </w:tr>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23" w:hRule="atLeast"/>
          <w:jc w:val="center"/>
        </w:trPr>
        <w:tc>
          <w:tcPr>
            <w:tcW w:w="461"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楷体" w:hAnsi="楷体" w:eastAsia="楷体" w:cs="楷体"/>
                <w:b w:val="0"/>
                <w:bCs w:val="0"/>
                <w:kern w:val="2"/>
                <w:sz w:val="24"/>
                <w:szCs w:val="24"/>
                <w:vertAlign w:val="baseline"/>
                <w:lang w:val="en-US" w:eastAsia="zh-CN" w:bidi="ar-SA"/>
              </w:rPr>
            </w:pPr>
          </w:p>
        </w:tc>
        <w:tc>
          <w:tcPr>
            <w:tcW w:w="1612"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楷体" w:hAnsi="楷体" w:eastAsia="楷体" w:cs="楷体"/>
                <w:b w:val="0"/>
                <w:bCs w:val="0"/>
                <w:kern w:val="2"/>
                <w:sz w:val="24"/>
                <w:szCs w:val="24"/>
                <w:vertAlign w:val="baseline"/>
                <w:lang w:val="en-US" w:eastAsia="zh-CN" w:bidi="ar-SA"/>
              </w:rPr>
            </w:pPr>
            <w:r>
              <w:rPr>
                <w:rFonts w:hint="eastAsia" w:ascii="楷体" w:hAnsi="楷体" w:eastAsia="楷体" w:cs="楷体"/>
                <w:b w:val="0"/>
                <w:bCs w:val="0"/>
                <w:kern w:val="2"/>
                <w:sz w:val="24"/>
                <w:szCs w:val="24"/>
                <w:vertAlign w:val="baseline"/>
                <w:lang w:val="en-US" w:eastAsia="zh-CN" w:bidi="ar-SA"/>
              </w:rPr>
              <w:t>文物资源</w:t>
            </w:r>
          </w:p>
        </w:tc>
        <w:tc>
          <w:tcPr>
            <w:tcW w:w="4836"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楷体" w:hAnsi="楷体" w:eastAsia="楷体" w:cs="楷体"/>
                <w:b w:val="0"/>
                <w:bCs w:val="0"/>
                <w:kern w:val="2"/>
                <w:sz w:val="24"/>
                <w:szCs w:val="24"/>
                <w:vertAlign w:val="baseline"/>
                <w:lang w:val="en-US" w:eastAsia="zh-CN" w:bidi="ar-SA"/>
              </w:rPr>
            </w:pPr>
            <w:r>
              <w:rPr>
                <w:rFonts w:hint="eastAsia" w:ascii="楷体" w:hAnsi="楷体" w:eastAsia="楷体" w:cs="楷体"/>
                <w:b w:val="0"/>
                <w:bCs w:val="0"/>
                <w:kern w:val="2"/>
                <w:sz w:val="24"/>
                <w:szCs w:val="24"/>
                <w:vertAlign w:val="baseline"/>
                <w:lang w:val="en-US" w:eastAsia="zh-CN" w:bidi="ar-SA"/>
              </w:rPr>
              <w:t>基本情况</w:t>
            </w:r>
          </w:p>
        </w:tc>
        <w:tc>
          <w:tcPr>
            <w:tcW w:w="1613"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楷体" w:hAnsi="楷体" w:eastAsia="楷体" w:cs="楷体"/>
                <w:b w:val="0"/>
                <w:bCs w:val="0"/>
                <w:kern w:val="2"/>
                <w:sz w:val="24"/>
                <w:szCs w:val="24"/>
                <w:vertAlign w:val="baseline"/>
                <w:lang w:val="en-US" w:eastAsia="zh-CN" w:bidi="ar-SA"/>
              </w:rPr>
            </w:pPr>
            <w:r>
              <w:rPr>
                <w:rFonts w:hint="eastAsia" w:ascii="楷体" w:hAnsi="楷体" w:eastAsia="楷体" w:cs="楷体"/>
                <w:b w:val="0"/>
                <w:bCs w:val="0"/>
                <w:kern w:val="2"/>
                <w:sz w:val="24"/>
                <w:szCs w:val="24"/>
                <w:vertAlign w:val="baseline"/>
                <w:lang w:val="en-US" w:eastAsia="zh-CN" w:bidi="ar-SA"/>
              </w:rPr>
              <w:t>文物级别</w:t>
            </w:r>
          </w:p>
        </w:tc>
      </w:tr>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23" w:hRule="atLeast"/>
          <w:jc w:val="center"/>
        </w:trPr>
        <w:tc>
          <w:tcPr>
            <w:tcW w:w="461"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楷体" w:hAnsi="楷体" w:eastAsia="楷体" w:cs="楷体"/>
                <w:b w:val="0"/>
                <w:bCs w:val="0"/>
                <w:sz w:val="24"/>
                <w:szCs w:val="24"/>
                <w:vertAlign w:val="baseline"/>
                <w:lang w:val="en-US" w:eastAsia="zh-CN"/>
              </w:rPr>
            </w:pPr>
            <w:r>
              <w:rPr>
                <w:rFonts w:hint="eastAsia" w:ascii="楷体" w:hAnsi="楷体" w:eastAsia="楷体" w:cs="楷体"/>
                <w:b w:val="0"/>
                <w:bCs w:val="0"/>
                <w:sz w:val="24"/>
                <w:szCs w:val="24"/>
                <w:vertAlign w:val="baseline"/>
                <w:lang w:val="en-US" w:eastAsia="zh-CN"/>
              </w:rPr>
              <w:t>1</w:t>
            </w:r>
          </w:p>
        </w:tc>
        <w:tc>
          <w:tcPr>
            <w:tcW w:w="1612"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楷体" w:hAnsi="楷体" w:eastAsia="楷体" w:cs="楷体"/>
                <w:b w:val="0"/>
                <w:bCs w:val="0"/>
                <w:sz w:val="24"/>
                <w:szCs w:val="24"/>
                <w:vertAlign w:val="baseline"/>
                <w:lang w:val="en-US" w:eastAsia="zh-CN"/>
              </w:rPr>
            </w:pPr>
            <w:r>
              <w:rPr>
                <w:rFonts w:hint="eastAsia" w:ascii="楷体" w:hAnsi="楷体" w:eastAsia="楷体" w:cs="楷体"/>
                <w:b w:val="0"/>
                <w:bCs w:val="0"/>
                <w:sz w:val="24"/>
                <w:szCs w:val="24"/>
                <w:vertAlign w:val="baseline"/>
                <w:lang w:val="en-US" w:eastAsia="zh-CN"/>
              </w:rPr>
              <w:t>崖城学宫（圣庙、文庙）</w:t>
            </w:r>
          </w:p>
        </w:tc>
        <w:tc>
          <w:tcPr>
            <w:tcW w:w="4836"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textAlignment w:val="auto"/>
              <w:rPr>
                <w:rFonts w:hint="eastAsia" w:ascii="楷体" w:hAnsi="楷体" w:eastAsia="楷体" w:cs="楷体"/>
                <w:b w:val="0"/>
                <w:bCs w:val="0"/>
                <w:sz w:val="24"/>
                <w:szCs w:val="24"/>
                <w:vertAlign w:val="baseline"/>
              </w:rPr>
            </w:pPr>
            <w:r>
              <w:rPr>
                <w:rFonts w:hint="eastAsia" w:ascii="楷体" w:hAnsi="楷体" w:eastAsia="楷体" w:cs="楷体"/>
                <w:b w:val="0"/>
                <w:bCs w:val="0"/>
                <w:sz w:val="24"/>
                <w:szCs w:val="24"/>
                <w:vertAlign w:val="baseline"/>
                <w:lang w:val="en-US" w:eastAsia="zh-CN"/>
              </w:rPr>
              <w:t>始建于宋庆历四年（1044年）。</w:t>
            </w:r>
          </w:p>
        </w:tc>
        <w:tc>
          <w:tcPr>
            <w:tcW w:w="1613"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textAlignment w:val="auto"/>
              <w:rPr>
                <w:rFonts w:hint="eastAsia" w:ascii="楷体" w:hAnsi="楷体" w:eastAsia="楷体" w:cs="楷体"/>
                <w:b w:val="0"/>
                <w:bCs w:val="0"/>
                <w:sz w:val="24"/>
                <w:szCs w:val="24"/>
                <w:vertAlign w:val="baseline"/>
                <w:lang w:val="en-US" w:eastAsia="zh-CN"/>
              </w:rPr>
            </w:pPr>
            <w:r>
              <w:rPr>
                <w:rFonts w:hint="eastAsia" w:ascii="楷体" w:hAnsi="楷体" w:eastAsia="楷体" w:cs="楷体"/>
                <w:b w:val="0"/>
                <w:bCs w:val="0"/>
                <w:sz w:val="24"/>
                <w:szCs w:val="24"/>
                <w:vertAlign w:val="baseline"/>
                <w:lang w:val="en-US" w:eastAsia="zh-CN"/>
              </w:rPr>
              <w:t>全国重点文物保护单位</w:t>
            </w:r>
          </w:p>
        </w:tc>
      </w:tr>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23" w:hRule="atLeast"/>
          <w:jc w:val="center"/>
        </w:trPr>
        <w:tc>
          <w:tcPr>
            <w:tcW w:w="461"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楷体" w:hAnsi="楷体" w:eastAsia="楷体" w:cs="楷体"/>
                <w:b w:val="0"/>
                <w:bCs w:val="0"/>
                <w:sz w:val="24"/>
                <w:szCs w:val="24"/>
                <w:vertAlign w:val="baseline"/>
                <w:lang w:val="en-US" w:eastAsia="zh-CN"/>
              </w:rPr>
            </w:pPr>
            <w:r>
              <w:rPr>
                <w:rFonts w:hint="eastAsia" w:ascii="楷体" w:hAnsi="楷体" w:eastAsia="楷体" w:cs="楷体"/>
                <w:b w:val="0"/>
                <w:bCs w:val="0"/>
                <w:sz w:val="24"/>
                <w:szCs w:val="24"/>
                <w:vertAlign w:val="baseline"/>
                <w:lang w:val="en-US" w:eastAsia="zh-CN"/>
              </w:rPr>
              <w:t>2</w:t>
            </w:r>
          </w:p>
        </w:tc>
        <w:tc>
          <w:tcPr>
            <w:tcW w:w="1612"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楷体" w:hAnsi="楷体" w:eastAsia="楷体" w:cs="楷体"/>
                <w:b w:val="0"/>
                <w:bCs w:val="0"/>
                <w:sz w:val="24"/>
                <w:szCs w:val="24"/>
                <w:vertAlign w:val="baseline"/>
                <w:lang w:val="en-US" w:eastAsia="zh-CN"/>
              </w:rPr>
            </w:pPr>
            <w:r>
              <w:rPr>
                <w:rFonts w:hint="eastAsia" w:ascii="楷体" w:hAnsi="楷体" w:eastAsia="楷体" w:cs="楷体"/>
                <w:b w:val="0"/>
                <w:bCs w:val="0"/>
                <w:sz w:val="24"/>
                <w:szCs w:val="24"/>
                <w:vertAlign w:val="baseline"/>
                <w:lang w:val="en-US" w:eastAsia="zh-CN"/>
              </w:rPr>
              <w:t>崖州古城</w:t>
            </w:r>
          </w:p>
        </w:tc>
        <w:tc>
          <w:tcPr>
            <w:tcW w:w="4836"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textAlignment w:val="auto"/>
              <w:rPr>
                <w:rFonts w:hint="eastAsia" w:ascii="楷体" w:hAnsi="楷体" w:eastAsia="楷体" w:cs="楷体"/>
                <w:b w:val="0"/>
                <w:bCs w:val="0"/>
                <w:sz w:val="24"/>
                <w:szCs w:val="24"/>
                <w:vertAlign w:val="baseline"/>
                <w:lang w:eastAsia="zh-CN"/>
              </w:rPr>
            </w:pPr>
            <w:r>
              <w:rPr>
                <w:rFonts w:hint="eastAsia" w:ascii="楷体" w:hAnsi="楷体" w:eastAsia="楷体" w:cs="楷体"/>
                <w:b w:val="0"/>
                <w:bCs w:val="0"/>
                <w:sz w:val="24"/>
                <w:szCs w:val="24"/>
                <w:vertAlign w:val="baseline"/>
              </w:rPr>
              <w:t>宋以前系土城，南宋庆元四年（1198）始砌砖</w:t>
            </w:r>
            <w:r>
              <w:rPr>
                <w:rFonts w:hint="eastAsia" w:ascii="楷体" w:hAnsi="楷体" w:eastAsia="楷体" w:cs="楷体"/>
                <w:b w:val="0"/>
                <w:bCs w:val="0"/>
                <w:sz w:val="24"/>
                <w:szCs w:val="24"/>
                <w:vertAlign w:val="baseline"/>
                <w:lang w:eastAsia="zh-CN"/>
              </w:rPr>
              <w:t>，</w:t>
            </w:r>
            <w:r>
              <w:rPr>
                <w:rFonts w:hint="eastAsia" w:ascii="楷体" w:hAnsi="楷体" w:eastAsia="楷体" w:cs="楷体"/>
                <w:b w:val="0"/>
                <w:bCs w:val="0"/>
                <w:sz w:val="24"/>
                <w:szCs w:val="24"/>
                <w:vertAlign w:val="baseline"/>
              </w:rPr>
              <w:t>海南岛古代四大州城之一，中国古代最南具有军事防御能力的城池</w:t>
            </w:r>
            <w:r>
              <w:rPr>
                <w:rFonts w:hint="eastAsia" w:ascii="楷体" w:hAnsi="楷体" w:eastAsia="楷体" w:cs="楷体"/>
                <w:b w:val="0"/>
                <w:bCs w:val="0"/>
                <w:sz w:val="24"/>
                <w:szCs w:val="24"/>
                <w:vertAlign w:val="baseline"/>
                <w:lang w:eastAsia="zh-CN"/>
              </w:rPr>
              <w:t>。</w:t>
            </w:r>
          </w:p>
        </w:tc>
        <w:tc>
          <w:tcPr>
            <w:tcW w:w="1613"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textAlignment w:val="auto"/>
              <w:rPr>
                <w:rFonts w:hint="eastAsia" w:ascii="楷体" w:hAnsi="楷体" w:eastAsia="楷体" w:cs="楷体"/>
                <w:b w:val="0"/>
                <w:bCs w:val="0"/>
                <w:sz w:val="24"/>
                <w:szCs w:val="24"/>
                <w:vertAlign w:val="baseline"/>
              </w:rPr>
            </w:pPr>
            <w:r>
              <w:rPr>
                <w:rFonts w:hint="eastAsia" w:ascii="楷体" w:hAnsi="楷体" w:eastAsia="楷体" w:cs="楷体"/>
                <w:b w:val="0"/>
                <w:bCs w:val="0"/>
                <w:sz w:val="24"/>
                <w:szCs w:val="24"/>
                <w:vertAlign w:val="baseline"/>
              </w:rPr>
              <w:t>省级文物保护单位</w:t>
            </w:r>
          </w:p>
        </w:tc>
      </w:tr>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23" w:hRule="atLeast"/>
          <w:jc w:val="center"/>
        </w:trPr>
        <w:tc>
          <w:tcPr>
            <w:tcW w:w="461"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楷体" w:hAnsi="楷体" w:eastAsia="楷体" w:cs="楷体"/>
                <w:b w:val="0"/>
                <w:bCs w:val="0"/>
                <w:sz w:val="24"/>
                <w:szCs w:val="24"/>
                <w:vertAlign w:val="baseline"/>
                <w:lang w:val="en-US" w:eastAsia="zh-CN"/>
              </w:rPr>
            </w:pPr>
            <w:r>
              <w:rPr>
                <w:rFonts w:hint="eastAsia" w:ascii="楷体" w:hAnsi="楷体" w:eastAsia="楷体" w:cs="楷体"/>
                <w:b w:val="0"/>
                <w:bCs w:val="0"/>
                <w:sz w:val="24"/>
                <w:szCs w:val="24"/>
                <w:vertAlign w:val="baseline"/>
                <w:lang w:val="en-US" w:eastAsia="zh-CN"/>
              </w:rPr>
              <w:t>3</w:t>
            </w:r>
          </w:p>
        </w:tc>
        <w:tc>
          <w:tcPr>
            <w:tcW w:w="1612"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楷体" w:hAnsi="楷体" w:eastAsia="楷体" w:cs="楷体"/>
                <w:b w:val="0"/>
                <w:bCs w:val="0"/>
                <w:sz w:val="24"/>
                <w:szCs w:val="24"/>
                <w:vertAlign w:val="baseline"/>
                <w:lang w:val="en-US" w:eastAsia="zh-CN"/>
              </w:rPr>
            </w:pPr>
            <w:r>
              <w:rPr>
                <w:rFonts w:hint="eastAsia" w:ascii="楷体" w:hAnsi="楷体" w:eastAsia="楷体" w:cs="楷体"/>
                <w:b w:val="0"/>
                <w:bCs w:val="0"/>
                <w:sz w:val="24"/>
                <w:szCs w:val="24"/>
                <w:vertAlign w:val="baseline"/>
                <w:lang w:val="en-US" w:eastAsia="zh-CN"/>
              </w:rPr>
              <w:t>迎旺塔</w:t>
            </w:r>
          </w:p>
        </w:tc>
        <w:tc>
          <w:tcPr>
            <w:tcW w:w="4836"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textAlignment w:val="auto"/>
              <w:rPr>
                <w:rFonts w:hint="eastAsia" w:ascii="楷体" w:hAnsi="楷体" w:eastAsia="楷体" w:cs="楷体"/>
                <w:b w:val="0"/>
                <w:bCs w:val="0"/>
                <w:sz w:val="24"/>
                <w:szCs w:val="24"/>
                <w:vertAlign w:val="baseline"/>
                <w:lang w:eastAsia="zh-CN"/>
              </w:rPr>
            </w:pPr>
            <w:r>
              <w:rPr>
                <w:rFonts w:hint="eastAsia" w:ascii="楷体" w:hAnsi="楷体" w:eastAsia="楷体" w:cs="楷体"/>
                <w:b w:val="0"/>
                <w:bCs w:val="0"/>
                <w:sz w:val="24"/>
                <w:szCs w:val="24"/>
                <w:vertAlign w:val="baseline"/>
              </w:rPr>
              <w:t>清咸丰元年（1851）崖州知州徐咏韶同州人捐建</w:t>
            </w:r>
            <w:r>
              <w:rPr>
                <w:rFonts w:hint="eastAsia" w:ascii="楷体" w:hAnsi="楷体" w:eastAsia="楷体" w:cs="楷体"/>
                <w:b w:val="0"/>
                <w:bCs w:val="0"/>
                <w:sz w:val="24"/>
                <w:szCs w:val="24"/>
                <w:vertAlign w:val="baseline"/>
                <w:lang w:eastAsia="zh-CN"/>
              </w:rPr>
              <w:t>。</w:t>
            </w:r>
          </w:p>
        </w:tc>
        <w:tc>
          <w:tcPr>
            <w:tcW w:w="1613"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textAlignment w:val="auto"/>
              <w:rPr>
                <w:rFonts w:hint="eastAsia" w:ascii="楷体" w:hAnsi="楷体" w:eastAsia="楷体" w:cs="楷体"/>
                <w:b w:val="0"/>
                <w:bCs w:val="0"/>
                <w:sz w:val="24"/>
                <w:szCs w:val="24"/>
                <w:vertAlign w:val="baseline"/>
              </w:rPr>
            </w:pPr>
            <w:r>
              <w:rPr>
                <w:rFonts w:hint="eastAsia" w:ascii="楷体" w:hAnsi="楷体" w:eastAsia="楷体" w:cs="楷体"/>
                <w:b w:val="0"/>
                <w:bCs w:val="0"/>
                <w:sz w:val="24"/>
                <w:szCs w:val="24"/>
                <w:vertAlign w:val="baseline"/>
              </w:rPr>
              <w:t>省级文物保护单位</w:t>
            </w:r>
          </w:p>
        </w:tc>
      </w:tr>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23" w:hRule="atLeast"/>
          <w:jc w:val="center"/>
        </w:trPr>
        <w:tc>
          <w:tcPr>
            <w:tcW w:w="461"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楷体" w:hAnsi="楷体" w:eastAsia="楷体" w:cs="楷体"/>
                <w:b w:val="0"/>
                <w:bCs w:val="0"/>
                <w:sz w:val="24"/>
                <w:szCs w:val="24"/>
                <w:vertAlign w:val="baseline"/>
                <w:lang w:val="en-US" w:eastAsia="zh-CN"/>
              </w:rPr>
            </w:pPr>
            <w:r>
              <w:rPr>
                <w:rFonts w:hint="eastAsia" w:ascii="楷体" w:hAnsi="楷体" w:eastAsia="楷体" w:cs="楷体"/>
                <w:b w:val="0"/>
                <w:bCs w:val="0"/>
                <w:sz w:val="24"/>
                <w:szCs w:val="24"/>
                <w:vertAlign w:val="baseline"/>
                <w:lang w:val="en-US" w:eastAsia="zh-CN"/>
              </w:rPr>
              <w:t>4</w:t>
            </w:r>
          </w:p>
        </w:tc>
        <w:tc>
          <w:tcPr>
            <w:tcW w:w="1612"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楷体" w:hAnsi="楷体" w:eastAsia="楷体" w:cs="楷体"/>
                <w:b w:val="0"/>
                <w:bCs w:val="0"/>
                <w:sz w:val="24"/>
                <w:szCs w:val="24"/>
                <w:vertAlign w:val="baseline"/>
                <w:lang w:val="en-US" w:eastAsia="zh-CN"/>
              </w:rPr>
            </w:pPr>
            <w:r>
              <w:rPr>
                <w:rFonts w:hint="eastAsia" w:ascii="楷体" w:hAnsi="楷体" w:eastAsia="楷体" w:cs="楷体"/>
                <w:b w:val="0"/>
                <w:bCs w:val="0"/>
                <w:sz w:val="24"/>
                <w:szCs w:val="24"/>
                <w:vertAlign w:val="baseline"/>
                <w:lang w:val="en-US" w:eastAsia="zh-CN"/>
              </w:rPr>
              <w:t>官沟及广济桥</w:t>
            </w:r>
          </w:p>
        </w:tc>
        <w:tc>
          <w:tcPr>
            <w:tcW w:w="4836"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textAlignment w:val="auto"/>
              <w:rPr>
                <w:rFonts w:hint="eastAsia" w:ascii="楷体" w:hAnsi="楷体" w:eastAsia="楷体" w:cs="楷体"/>
                <w:b w:val="0"/>
                <w:bCs w:val="0"/>
                <w:sz w:val="24"/>
                <w:szCs w:val="24"/>
                <w:vertAlign w:val="baseline"/>
                <w:lang w:eastAsia="zh-CN"/>
              </w:rPr>
            </w:pPr>
            <w:r>
              <w:rPr>
                <w:rFonts w:hint="eastAsia" w:ascii="楷体" w:hAnsi="楷体" w:eastAsia="楷体" w:cs="楷体"/>
                <w:b w:val="0"/>
                <w:bCs w:val="0"/>
                <w:sz w:val="24"/>
                <w:szCs w:val="24"/>
                <w:vertAlign w:val="baseline"/>
              </w:rPr>
              <w:t>清康熙九年(1670年)广度寺性俊和尚筹募资金自行设计、建造</w:t>
            </w:r>
            <w:r>
              <w:rPr>
                <w:rFonts w:hint="eastAsia" w:ascii="楷体" w:hAnsi="楷体" w:eastAsia="楷体" w:cs="楷体"/>
                <w:b w:val="0"/>
                <w:bCs w:val="0"/>
                <w:sz w:val="24"/>
                <w:szCs w:val="24"/>
                <w:vertAlign w:val="baseline"/>
                <w:lang w:eastAsia="zh-CN"/>
              </w:rPr>
              <w:t>。</w:t>
            </w:r>
          </w:p>
        </w:tc>
        <w:tc>
          <w:tcPr>
            <w:tcW w:w="1613"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textAlignment w:val="auto"/>
              <w:rPr>
                <w:rFonts w:hint="eastAsia" w:ascii="楷体" w:hAnsi="楷体" w:eastAsia="楷体" w:cs="楷体"/>
                <w:b w:val="0"/>
                <w:bCs w:val="0"/>
                <w:sz w:val="24"/>
                <w:szCs w:val="24"/>
                <w:vertAlign w:val="baseline"/>
              </w:rPr>
            </w:pPr>
            <w:r>
              <w:rPr>
                <w:rFonts w:hint="eastAsia" w:ascii="楷体" w:hAnsi="楷体" w:eastAsia="楷体" w:cs="楷体"/>
                <w:b w:val="0"/>
                <w:bCs w:val="0"/>
                <w:sz w:val="24"/>
                <w:szCs w:val="24"/>
                <w:vertAlign w:val="baseline"/>
                <w:lang w:eastAsia="zh-CN"/>
              </w:rPr>
              <w:t>省级文物保护单位</w:t>
            </w:r>
          </w:p>
        </w:tc>
      </w:tr>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23" w:hRule="atLeast"/>
          <w:jc w:val="center"/>
        </w:trPr>
        <w:tc>
          <w:tcPr>
            <w:tcW w:w="461"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楷体" w:hAnsi="楷体" w:eastAsia="楷体" w:cs="楷体"/>
                <w:b w:val="0"/>
                <w:bCs w:val="0"/>
                <w:sz w:val="24"/>
                <w:szCs w:val="24"/>
                <w:vertAlign w:val="baseline"/>
                <w:lang w:val="en-US" w:eastAsia="zh-CN"/>
              </w:rPr>
            </w:pPr>
            <w:r>
              <w:rPr>
                <w:rFonts w:hint="eastAsia" w:ascii="楷体" w:hAnsi="楷体" w:eastAsia="楷体" w:cs="楷体"/>
                <w:b w:val="0"/>
                <w:bCs w:val="0"/>
                <w:sz w:val="24"/>
                <w:szCs w:val="24"/>
                <w:vertAlign w:val="baseline"/>
                <w:lang w:val="en-US" w:eastAsia="zh-CN"/>
              </w:rPr>
              <w:t>5</w:t>
            </w:r>
          </w:p>
        </w:tc>
        <w:tc>
          <w:tcPr>
            <w:tcW w:w="1612"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楷体" w:hAnsi="楷体" w:eastAsia="楷体" w:cs="楷体"/>
                <w:b w:val="0"/>
                <w:bCs w:val="0"/>
                <w:sz w:val="24"/>
                <w:szCs w:val="24"/>
                <w:vertAlign w:val="baseline"/>
                <w:lang w:val="en-US" w:eastAsia="zh-CN"/>
              </w:rPr>
            </w:pPr>
            <w:r>
              <w:rPr>
                <w:rFonts w:hint="eastAsia" w:ascii="楷体" w:hAnsi="楷体" w:eastAsia="楷体" w:cs="楷体"/>
                <w:b w:val="0"/>
                <w:bCs w:val="0"/>
                <w:sz w:val="24"/>
                <w:szCs w:val="24"/>
                <w:vertAlign w:val="baseline"/>
                <w:lang w:val="en-US" w:eastAsia="zh-CN"/>
              </w:rPr>
              <w:t>小洞天石刻</w:t>
            </w:r>
          </w:p>
        </w:tc>
        <w:tc>
          <w:tcPr>
            <w:tcW w:w="4836"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textAlignment w:val="auto"/>
              <w:rPr>
                <w:rFonts w:hint="eastAsia" w:ascii="楷体" w:hAnsi="楷体" w:eastAsia="楷体" w:cs="楷体"/>
                <w:b w:val="0"/>
                <w:bCs w:val="0"/>
                <w:sz w:val="24"/>
                <w:szCs w:val="24"/>
                <w:vertAlign w:val="baseline"/>
                <w:lang w:eastAsia="zh-CN"/>
              </w:rPr>
            </w:pPr>
            <w:r>
              <w:rPr>
                <w:rFonts w:hint="eastAsia" w:ascii="楷体" w:hAnsi="楷体" w:eastAsia="楷体" w:cs="楷体"/>
                <w:b w:val="0"/>
                <w:bCs w:val="0"/>
                <w:sz w:val="24"/>
                <w:szCs w:val="24"/>
                <w:vertAlign w:val="baseline"/>
              </w:rPr>
              <w:t>南宋淳熙十三年（1186年）吉阳知军周康作洞天摩崖《石船记》</w:t>
            </w:r>
            <w:r>
              <w:rPr>
                <w:rFonts w:hint="eastAsia" w:ascii="楷体" w:hAnsi="楷体" w:eastAsia="楷体" w:cs="楷体"/>
                <w:b w:val="0"/>
                <w:bCs w:val="0"/>
                <w:sz w:val="24"/>
                <w:szCs w:val="24"/>
                <w:vertAlign w:val="baseline"/>
                <w:lang w:eastAsia="zh-CN"/>
              </w:rPr>
              <w:t>，</w:t>
            </w:r>
            <w:r>
              <w:rPr>
                <w:rFonts w:hint="eastAsia" w:ascii="楷体" w:hAnsi="楷体" w:eastAsia="楷体" w:cs="楷体"/>
                <w:b w:val="0"/>
                <w:bCs w:val="0"/>
                <w:sz w:val="24"/>
                <w:szCs w:val="24"/>
                <w:vertAlign w:val="baseline"/>
              </w:rPr>
              <w:t>淳祜七年（1247年）郡守毛奎楷书阴刻横书“小洞天”</w:t>
            </w:r>
            <w:r>
              <w:rPr>
                <w:rFonts w:hint="eastAsia" w:ascii="楷体" w:hAnsi="楷体" w:eastAsia="楷体" w:cs="楷体"/>
                <w:b w:val="0"/>
                <w:bCs w:val="0"/>
                <w:sz w:val="24"/>
                <w:szCs w:val="24"/>
                <w:vertAlign w:val="baseline"/>
                <w:lang w:eastAsia="zh-CN"/>
              </w:rPr>
              <w:t>。</w:t>
            </w:r>
          </w:p>
        </w:tc>
        <w:tc>
          <w:tcPr>
            <w:tcW w:w="1613"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textAlignment w:val="auto"/>
              <w:rPr>
                <w:rFonts w:hint="eastAsia" w:ascii="楷体" w:hAnsi="楷体" w:eastAsia="楷体" w:cs="楷体"/>
                <w:b w:val="0"/>
                <w:bCs w:val="0"/>
                <w:sz w:val="24"/>
                <w:szCs w:val="24"/>
                <w:vertAlign w:val="baseline"/>
              </w:rPr>
            </w:pPr>
            <w:r>
              <w:rPr>
                <w:rFonts w:hint="eastAsia" w:ascii="楷体" w:hAnsi="楷体" w:eastAsia="楷体" w:cs="楷体"/>
                <w:b w:val="0"/>
                <w:bCs w:val="0"/>
                <w:sz w:val="24"/>
                <w:szCs w:val="24"/>
                <w:vertAlign w:val="baseline"/>
                <w:lang w:eastAsia="zh-CN"/>
              </w:rPr>
              <w:t>省级文物保护单位</w:t>
            </w:r>
          </w:p>
        </w:tc>
      </w:tr>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23" w:hRule="atLeast"/>
          <w:jc w:val="center"/>
        </w:trPr>
        <w:tc>
          <w:tcPr>
            <w:tcW w:w="461"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楷体" w:hAnsi="楷体" w:eastAsia="楷体" w:cs="楷体"/>
                <w:b w:val="0"/>
                <w:bCs w:val="0"/>
                <w:kern w:val="2"/>
                <w:sz w:val="24"/>
                <w:szCs w:val="24"/>
                <w:vertAlign w:val="baseline"/>
                <w:lang w:val="en-US" w:eastAsia="zh-CN" w:bidi="ar-SA"/>
              </w:rPr>
            </w:pPr>
            <w:r>
              <w:rPr>
                <w:rFonts w:hint="eastAsia" w:ascii="楷体" w:hAnsi="楷体" w:eastAsia="楷体" w:cs="楷体"/>
                <w:b w:val="0"/>
                <w:bCs w:val="0"/>
                <w:sz w:val="24"/>
                <w:szCs w:val="24"/>
                <w:vertAlign w:val="baseline"/>
                <w:lang w:val="en-US" w:eastAsia="zh-CN"/>
              </w:rPr>
              <w:t>6</w:t>
            </w:r>
          </w:p>
        </w:tc>
        <w:tc>
          <w:tcPr>
            <w:tcW w:w="1612"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楷体" w:hAnsi="楷体" w:eastAsia="楷体" w:cs="楷体"/>
                <w:b w:val="0"/>
                <w:bCs w:val="0"/>
                <w:kern w:val="2"/>
                <w:sz w:val="24"/>
                <w:szCs w:val="24"/>
                <w:vertAlign w:val="baseline"/>
                <w:lang w:val="en-US" w:eastAsia="zh-CN" w:bidi="ar-SA"/>
              </w:rPr>
            </w:pPr>
            <w:r>
              <w:rPr>
                <w:rFonts w:hint="eastAsia" w:ascii="楷体" w:hAnsi="楷体" w:eastAsia="楷体" w:cs="楷体"/>
                <w:b w:val="0"/>
                <w:bCs w:val="0"/>
                <w:sz w:val="24"/>
                <w:szCs w:val="24"/>
                <w:vertAlign w:val="baseline"/>
                <w:lang w:val="en-US" w:eastAsia="zh-CN"/>
              </w:rPr>
              <w:t>保平村张家宅</w:t>
            </w:r>
          </w:p>
        </w:tc>
        <w:tc>
          <w:tcPr>
            <w:tcW w:w="4836"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textAlignment w:val="auto"/>
              <w:rPr>
                <w:rFonts w:hint="eastAsia" w:ascii="楷体" w:hAnsi="楷体" w:eastAsia="楷体" w:cs="楷体"/>
                <w:b w:val="0"/>
                <w:bCs w:val="0"/>
                <w:kern w:val="2"/>
                <w:sz w:val="24"/>
                <w:szCs w:val="24"/>
                <w:vertAlign w:val="baseline"/>
                <w:lang w:val="en-US" w:eastAsia="zh-CN" w:bidi="ar-SA"/>
              </w:rPr>
            </w:pPr>
            <w:r>
              <w:rPr>
                <w:rFonts w:hint="eastAsia" w:ascii="楷体" w:hAnsi="楷体" w:eastAsia="楷体" w:cs="楷体"/>
                <w:b w:val="0"/>
                <w:bCs w:val="0"/>
                <w:sz w:val="24"/>
                <w:szCs w:val="24"/>
                <w:vertAlign w:val="baseline"/>
                <w:lang w:val="en-US" w:eastAsia="zh-CN"/>
              </w:rPr>
              <w:t>融合清代与民国建筑风格，规模较大，布局严整，结构复杂，工艺考究，为崖州清代至民国传统民居中最具建筑特色的经典范例。</w:t>
            </w:r>
          </w:p>
        </w:tc>
        <w:tc>
          <w:tcPr>
            <w:tcW w:w="1613"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textAlignment w:val="auto"/>
              <w:rPr>
                <w:rFonts w:hint="eastAsia" w:ascii="楷体" w:hAnsi="楷体" w:eastAsia="楷体" w:cs="楷体"/>
                <w:b w:val="0"/>
                <w:bCs w:val="0"/>
                <w:sz w:val="24"/>
                <w:szCs w:val="24"/>
                <w:vertAlign w:val="baseline"/>
                <w:lang w:val="en-US" w:eastAsia="zh-CN"/>
              </w:rPr>
            </w:pPr>
            <w:r>
              <w:rPr>
                <w:rFonts w:hint="eastAsia" w:ascii="楷体" w:hAnsi="楷体" w:eastAsia="楷体" w:cs="楷体"/>
                <w:b w:val="0"/>
                <w:bCs w:val="0"/>
                <w:sz w:val="24"/>
                <w:szCs w:val="24"/>
                <w:vertAlign w:val="baseline"/>
                <w:lang w:val="en-US" w:eastAsia="zh-CN"/>
              </w:rPr>
              <w:t>省级文物保护单位</w:t>
            </w:r>
          </w:p>
        </w:tc>
      </w:tr>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23" w:hRule="atLeast"/>
          <w:jc w:val="center"/>
        </w:trPr>
        <w:tc>
          <w:tcPr>
            <w:tcW w:w="461"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楷体" w:hAnsi="楷体" w:eastAsia="楷体" w:cs="楷体"/>
                <w:b w:val="0"/>
                <w:bCs w:val="0"/>
                <w:kern w:val="2"/>
                <w:sz w:val="24"/>
                <w:szCs w:val="24"/>
                <w:vertAlign w:val="baseline"/>
                <w:lang w:val="en-US" w:eastAsia="zh-CN" w:bidi="ar-SA"/>
              </w:rPr>
            </w:pPr>
            <w:r>
              <w:rPr>
                <w:rFonts w:hint="eastAsia" w:ascii="楷体" w:hAnsi="楷体" w:eastAsia="楷体" w:cs="楷体"/>
                <w:b w:val="0"/>
                <w:bCs w:val="0"/>
                <w:sz w:val="24"/>
                <w:szCs w:val="24"/>
                <w:vertAlign w:val="baseline"/>
                <w:lang w:val="en-US" w:eastAsia="zh-CN"/>
              </w:rPr>
              <w:t>7</w:t>
            </w:r>
          </w:p>
        </w:tc>
        <w:tc>
          <w:tcPr>
            <w:tcW w:w="1612"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楷体" w:hAnsi="楷体" w:eastAsia="楷体" w:cs="楷体"/>
                <w:b w:val="0"/>
                <w:bCs w:val="0"/>
                <w:sz w:val="24"/>
                <w:szCs w:val="24"/>
                <w:vertAlign w:val="baseline"/>
                <w:lang w:val="en-US" w:eastAsia="zh-CN"/>
              </w:rPr>
            </w:pPr>
            <w:r>
              <w:rPr>
                <w:rFonts w:hint="eastAsia" w:ascii="楷体" w:hAnsi="楷体" w:eastAsia="楷体" w:cs="楷体"/>
                <w:b w:val="0"/>
                <w:bCs w:val="0"/>
                <w:sz w:val="24"/>
                <w:szCs w:val="24"/>
                <w:vertAlign w:val="baseline"/>
                <w:lang w:val="en-US" w:eastAsia="zh-CN"/>
              </w:rPr>
              <w:t>保平村明经第</w:t>
            </w:r>
          </w:p>
        </w:tc>
        <w:tc>
          <w:tcPr>
            <w:tcW w:w="4836"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textAlignment w:val="auto"/>
              <w:rPr>
                <w:rFonts w:hint="eastAsia" w:ascii="楷体" w:hAnsi="楷体" w:eastAsia="楷体" w:cs="楷体"/>
                <w:b w:val="0"/>
                <w:bCs w:val="0"/>
                <w:sz w:val="24"/>
                <w:szCs w:val="24"/>
                <w:vertAlign w:val="baseline"/>
                <w:lang w:val="en-US" w:eastAsia="zh-CN"/>
              </w:rPr>
            </w:pPr>
            <w:r>
              <w:rPr>
                <w:rFonts w:hint="eastAsia" w:ascii="楷体" w:hAnsi="楷体" w:eastAsia="楷体" w:cs="楷体"/>
                <w:b w:val="0"/>
                <w:bCs w:val="0"/>
                <w:sz w:val="24"/>
                <w:szCs w:val="24"/>
                <w:vertAlign w:val="baseline"/>
                <w:lang w:val="en-US" w:eastAsia="zh-CN"/>
              </w:rPr>
              <w:t>始建于清代，是保平村保存至今较为完整的清代贡生(明经进士)宅居,为研究崖州清代贡生的教育和人文环境提供实物依据。</w:t>
            </w:r>
          </w:p>
        </w:tc>
        <w:tc>
          <w:tcPr>
            <w:tcW w:w="1613"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textAlignment w:val="auto"/>
              <w:rPr>
                <w:rFonts w:hint="eastAsia" w:ascii="楷体" w:hAnsi="楷体" w:eastAsia="楷体" w:cs="楷体"/>
                <w:b w:val="0"/>
                <w:bCs w:val="0"/>
                <w:sz w:val="24"/>
                <w:szCs w:val="24"/>
                <w:vertAlign w:val="baseline"/>
                <w:lang w:val="en-US" w:eastAsia="zh-CN"/>
              </w:rPr>
            </w:pPr>
            <w:r>
              <w:rPr>
                <w:rFonts w:hint="eastAsia" w:ascii="楷体" w:hAnsi="楷体" w:eastAsia="楷体" w:cs="楷体"/>
                <w:b w:val="0"/>
                <w:bCs w:val="0"/>
                <w:sz w:val="24"/>
                <w:szCs w:val="24"/>
                <w:vertAlign w:val="baseline"/>
                <w:lang w:val="en-US" w:eastAsia="zh-CN"/>
              </w:rPr>
              <w:t>省级文物保护单位</w:t>
            </w:r>
          </w:p>
        </w:tc>
      </w:tr>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23" w:hRule="atLeast"/>
          <w:jc w:val="center"/>
        </w:trPr>
        <w:tc>
          <w:tcPr>
            <w:tcW w:w="461"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楷体" w:hAnsi="楷体" w:eastAsia="楷体" w:cs="楷体"/>
                <w:b w:val="0"/>
                <w:bCs w:val="0"/>
                <w:kern w:val="2"/>
                <w:sz w:val="24"/>
                <w:szCs w:val="24"/>
                <w:vertAlign w:val="baseline"/>
                <w:lang w:val="en-US" w:eastAsia="zh-CN" w:bidi="ar-SA"/>
              </w:rPr>
            </w:pPr>
            <w:r>
              <w:rPr>
                <w:rFonts w:hint="eastAsia" w:ascii="楷体" w:hAnsi="楷体" w:eastAsia="楷体" w:cs="楷体"/>
                <w:b w:val="0"/>
                <w:bCs w:val="0"/>
                <w:sz w:val="24"/>
                <w:szCs w:val="24"/>
                <w:vertAlign w:val="baseline"/>
                <w:lang w:val="en-US" w:eastAsia="zh-CN"/>
              </w:rPr>
              <w:t>8</w:t>
            </w:r>
          </w:p>
        </w:tc>
        <w:tc>
          <w:tcPr>
            <w:tcW w:w="1612"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楷体" w:hAnsi="楷体" w:eastAsia="楷体" w:cs="楷体"/>
                <w:b w:val="0"/>
                <w:bCs w:val="0"/>
                <w:kern w:val="2"/>
                <w:sz w:val="24"/>
                <w:szCs w:val="24"/>
                <w:vertAlign w:val="baseline"/>
                <w:lang w:val="en-US" w:eastAsia="zh-CN" w:bidi="ar-SA"/>
              </w:rPr>
            </w:pPr>
            <w:r>
              <w:rPr>
                <w:rFonts w:hint="eastAsia" w:ascii="楷体" w:hAnsi="楷体" w:eastAsia="楷体" w:cs="楷体"/>
                <w:b w:val="0"/>
                <w:bCs w:val="0"/>
                <w:sz w:val="24"/>
                <w:szCs w:val="24"/>
                <w:vertAlign w:val="baseline"/>
                <w:lang w:val="en-US" w:eastAsia="zh-CN"/>
              </w:rPr>
              <w:t>高山窑址</w:t>
            </w:r>
          </w:p>
        </w:tc>
        <w:tc>
          <w:tcPr>
            <w:tcW w:w="4836"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textAlignment w:val="auto"/>
              <w:rPr>
                <w:rFonts w:hint="eastAsia" w:ascii="楷体" w:hAnsi="楷体" w:eastAsia="楷体" w:cs="楷体"/>
                <w:b w:val="0"/>
                <w:bCs w:val="0"/>
                <w:kern w:val="2"/>
                <w:sz w:val="24"/>
                <w:szCs w:val="24"/>
                <w:vertAlign w:val="baseline"/>
                <w:lang w:val="en-US" w:eastAsia="zh-CN" w:bidi="ar-SA"/>
              </w:rPr>
            </w:pPr>
            <w:r>
              <w:rPr>
                <w:rFonts w:hint="eastAsia" w:ascii="楷体" w:hAnsi="楷体" w:eastAsia="楷体" w:cs="楷体"/>
                <w:b w:val="0"/>
                <w:bCs w:val="0"/>
                <w:sz w:val="24"/>
                <w:szCs w:val="24"/>
                <w:vertAlign w:val="baseline"/>
              </w:rPr>
              <w:t>位于水南村东200米</w:t>
            </w:r>
            <w:r>
              <w:rPr>
                <w:rFonts w:hint="eastAsia" w:ascii="楷体" w:hAnsi="楷体" w:eastAsia="楷体" w:cs="楷体"/>
                <w:b w:val="0"/>
                <w:bCs w:val="0"/>
                <w:sz w:val="24"/>
                <w:szCs w:val="24"/>
                <w:vertAlign w:val="baseline"/>
                <w:lang w:eastAsia="zh-CN"/>
              </w:rPr>
              <w:t>，</w:t>
            </w:r>
            <w:r>
              <w:rPr>
                <w:rFonts w:hint="eastAsia" w:ascii="楷体" w:hAnsi="楷体" w:eastAsia="楷体" w:cs="楷体"/>
                <w:b w:val="0"/>
                <w:bCs w:val="0"/>
                <w:sz w:val="24"/>
                <w:szCs w:val="24"/>
                <w:vertAlign w:val="baseline"/>
              </w:rPr>
              <w:t>文化层厚度1米以上，是古崖州迄今仅存的窑址</w:t>
            </w:r>
            <w:r>
              <w:rPr>
                <w:rFonts w:hint="eastAsia" w:ascii="楷体" w:hAnsi="楷体" w:eastAsia="楷体" w:cs="楷体"/>
                <w:b w:val="0"/>
                <w:bCs w:val="0"/>
                <w:sz w:val="24"/>
                <w:szCs w:val="24"/>
                <w:vertAlign w:val="baseline"/>
                <w:lang w:eastAsia="zh-CN"/>
              </w:rPr>
              <w:t>，</w:t>
            </w:r>
            <w:r>
              <w:rPr>
                <w:rFonts w:hint="eastAsia" w:ascii="楷体" w:hAnsi="楷体" w:eastAsia="楷体" w:cs="楷体"/>
                <w:b w:val="0"/>
                <w:bCs w:val="0"/>
                <w:sz w:val="24"/>
                <w:szCs w:val="24"/>
                <w:vertAlign w:val="baseline"/>
              </w:rPr>
              <w:t>为研究崖州民间制陶年代、工艺及海南岛民窑分布、文化类型和生活习俗、文化交流等提供实物依据。</w:t>
            </w:r>
          </w:p>
        </w:tc>
        <w:tc>
          <w:tcPr>
            <w:tcW w:w="1613"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textAlignment w:val="auto"/>
              <w:rPr>
                <w:rFonts w:hint="eastAsia" w:ascii="楷体" w:hAnsi="楷体" w:eastAsia="楷体" w:cs="楷体"/>
                <w:b w:val="0"/>
                <w:bCs w:val="0"/>
                <w:sz w:val="24"/>
                <w:szCs w:val="24"/>
                <w:vertAlign w:val="baseline"/>
              </w:rPr>
            </w:pPr>
            <w:r>
              <w:rPr>
                <w:rFonts w:hint="eastAsia" w:ascii="楷体" w:hAnsi="楷体" w:eastAsia="楷体" w:cs="楷体"/>
                <w:b w:val="0"/>
                <w:bCs w:val="0"/>
                <w:sz w:val="24"/>
                <w:szCs w:val="24"/>
                <w:vertAlign w:val="baseline"/>
                <w:lang w:val="en-US" w:eastAsia="zh-CN"/>
              </w:rPr>
              <w:t>省</w:t>
            </w:r>
            <w:r>
              <w:rPr>
                <w:rFonts w:hint="eastAsia" w:ascii="楷体" w:hAnsi="楷体" w:eastAsia="楷体" w:cs="楷体"/>
                <w:b w:val="0"/>
                <w:bCs w:val="0"/>
                <w:sz w:val="24"/>
                <w:szCs w:val="24"/>
                <w:vertAlign w:val="baseline"/>
              </w:rPr>
              <w:t>级文物保护单位</w:t>
            </w:r>
          </w:p>
        </w:tc>
      </w:tr>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23" w:hRule="atLeast"/>
          <w:jc w:val="center"/>
        </w:trPr>
        <w:tc>
          <w:tcPr>
            <w:tcW w:w="461"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楷体" w:hAnsi="楷体" w:eastAsia="楷体" w:cs="楷体"/>
                <w:b w:val="0"/>
                <w:bCs w:val="0"/>
                <w:kern w:val="2"/>
                <w:sz w:val="24"/>
                <w:szCs w:val="24"/>
                <w:vertAlign w:val="baseline"/>
                <w:lang w:val="en-US" w:eastAsia="zh-CN" w:bidi="ar-SA"/>
              </w:rPr>
            </w:pPr>
            <w:r>
              <w:rPr>
                <w:rFonts w:hint="eastAsia" w:ascii="楷体" w:hAnsi="楷体" w:eastAsia="楷体" w:cs="楷体"/>
                <w:b w:val="0"/>
                <w:bCs w:val="0"/>
                <w:sz w:val="24"/>
                <w:szCs w:val="24"/>
                <w:vertAlign w:val="baseline"/>
                <w:lang w:val="en-US" w:eastAsia="zh-CN"/>
              </w:rPr>
              <w:t>9</w:t>
            </w:r>
          </w:p>
        </w:tc>
        <w:tc>
          <w:tcPr>
            <w:tcW w:w="1612"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楷体" w:hAnsi="楷体" w:eastAsia="楷体" w:cs="楷体"/>
                <w:b w:val="0"/>
                <w:bCs w:val="0"/>
                <w:kern w:val="2"/>
                <w:sz w:val="24"/>
                <w:szCs w:val="24"/>
                <w:vertAlign w:val="baseline"/>
                <w:lang w:val="en-US" w:eastAsia="zh-CN" w:bidi="ar-SA"/>
              </w:rPr>
            </w:pPr>
            <w:r>
              <w:rPr>
                <w:rFonts w:hint="eastAsia" w:ascii="楷体" w:hAnsi="楷体" w:eastAsia="楷体" w:cs="楷体"/>
                <w:b w:val="0"/>
                <w:bCs w:val="0"/>
                <w:sz w:val="24"/>
                <w:szCs w:val="24"/>
                <w:vertAlign w:val="baseline"/>
                <w:lang w:val="en-US" w:eastAsia="zh-CN"/>
              </w:rPr>
              <w:t>大云寺遗址</w:t>
            </w:r>
          </w:p>
        </w:tc>
        <w:tc>
          <w:tcPr>
            <w:tcW w:w="4836"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textAlignment w:val="auto"/>
              <w:rPr>
                <w:rFonts w:hint="eastAsia" w:ascii="楷体" w:hAnsi="楷体" w:eastAsia="楷体" w:cs="楷体"/>
                <w:b w:val="0"/>
                <w:bCs w:val="0"/>
                <w:kern w:val="2"/>
                <w:sz w:val="24"/>
                <w:szCs w:val="24"/>
                <w:vertAlign w:val="baseline"/>
                <w:lang w:val="en-US" w:eastAsia="zh-CN" w:bidi="ar-SA"/>
              </w:rPr>
            </w:pPr>
            <w:r>
              <w:rPr>
                <w:rFonts w:hint="eastAsia" w:ascii="楷体" w:hAnsi="楷体" w:eastAsia="楷体" w:cs="楷体"/>
                <w:b w:val="0"/>
                <w:bCs w:val="0"/>
                <w:sz w:val="24"/>
                <w:szCs w:val="24"/>
                <w:vertAlign w:val="baseline"/>
                <w:lang w:val="en-US" w:eastAsia="zh-CN"/>
              </w:rPr>
              <w:t>位于水南村西南约2公里，唐代高僧</w:t>
            </w:r>
            <w:r>
              <w:rPr>
                <w:rFonts w:hint="eastAsia" w:ascii="楷体" w:hAnsi="楷体" w:eastAsia="楷体" w:cs="楷体"/>
                <w:b w:val="0"/>
                <w:bCs w:val="0"/>
                <w:sz w:val="24"/>
                <w:szCs w:val="24"/>
                <w:vertAlign w:val="baseline"/>
                <w:lang w:val="en-US" w:eastAsia="zh-CN"/>
              </w:rPr>
              <w:fldChar w:fldCharType="begin"/>
            </w:r>
            <w:r>
              <w:rPr>
                <w:rFonts w:hint="eastAsia" w:ascii="楷体" w:hAnsi="楷体" w:eastAsia="楷体" w:cs="楷体"/>
                <w:b w:val="0"/>
                <w:bCs w:val="0"/>
                <w:sz w:val="24"/>
                <w:szCs w:val="24"/>
                <w:vertAlign w:val="baseline"/>
                <w:lang w:val="en-US" w:eastAsia="zh-CN"/>
              </w:rPr>
              <w:instrText xml:space="preserve"> HYPERLINK "https://www.baidu.com/s?wd=%E9%89%B4%E7%9C%9F&amp;tn=44039180_cpr&amp;fenlei=mv6quAkxTZn0IZRqIHckPjm4nH00T1d9P1-huH6YPWbYuW99njfk0ZwV5Hcvrjm3rH6sPfKWUMw85HfYnjn4nH6sgvPsT6KdThsqpZwYTjCEQLGCpyw9Uz4Bmy-bIi4WUvYETgN-TLwGUv3EnHn3nWRdnWD3nHnYnW61nWRYn0" \t "http://zhidao.baidu.com/question/_blank" </w:instrText>
            </w:r>
            <w:r>
              <w:rPr>
                <w:rFonts w:hint="eastAsia" w:ascii="楷体" w:hAnsi="楷体" w:eastAsia="楷体" w:cs="楷体"/>
                <w:b w:val="0"/>
                <w:bCs w:val="0"/>
                <w:sz w:val="24"/>
                <w:szCs w:val="24"/>
                <w:vertAlign w:val="baseline"/>
                <w:lang w:val="en-US" w:eastAsia="zh-CN"/>
              </w:rPr>
              <w:fldChar w:fldCharType="separate"/>
            </w:r>
            <w:r>
              <w:rPr>
                <w:rFonts w:hint="eastAsia" w:ascii="楷体" w:hAnsi="楷体" w:eastAsia="楷体" w:cs="楷体"/>
                <w:b w:val="0"/>
                <w:bCs w:val="0"/>
                <w:sz w:val="24"/>
                <w:szCs w:val="24"/>
                <w:vertAlign w:val="baseline"/>
              </w:rPr>
              <w:t>鉴真</w:t>
            </w:r>
            <w:r>
              <w:rPr>
                <w:rFonts w:hint="eastAsia" w:ascii="楷体" w:hAnsi="楷体" w:eastAsia="楷体" w:cs="楷体"/>
                <w:b w:val="0"/>
                <w:bCs w:val="0"/>
                <w:sz w:val="24"/>
                <w:szCs w:val="24"/>
                <w:vertAlign w:val="baseline"/>
                <w:lang w:val="en-US" w:eastAsia="zh-CN"/>
              </w:rPr>
              <w:fldChar w:fldCharType="end"/>
            </w:r>
            <w:r>
              <w:rPr>
                <w:rFonts w:hint="eastAsia" w:ascii="楷体" w:hAnsi="楷体" w:eastAsia="楷体" w:cs="楷体"/>
                <w:b w:val="0"/>
                <w:bCs w:val="0"/>
                <w:sz w:val="24"/>
                <w:szCs w:val="24"/>
                <w:vertAlign w:val="baseline"/>
                <w:lang w:val="en-US" w:eastAsia="zh-CN"/>
              </w:rPr>
              <w:t>大师第五次东渡日本遇台风在崖州湾登岸，修建“大云寺”，开创海南佛教先河。</w:t>
            </w:r>
          </w:p>
        </w:tc>
        <w:tc>
          <w:tcPr>
            <w:tcW w:w="1613"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textAlignment w:val="auto"/>
              <w:rPr>
                <w:rFonts w:hint="eastAsia" w:ascii="楷体" w:hAnsi="楷体" w:eastAsia="楷体" w:cs="楷体"/>
                <w:b w:val="0"/>
                <w:bCs w:val="0"/>
                <w:sz w:val="24"/>
                <w:szCs w:val="24"/>
                <w:vertAlign w:val="baseline"/>
                <w:lang w:val="en-US" w:eastAsia="zh-CN"/>
              </w:rPr>
            </w:pPr>
            <w:r>
              <w:rPr>
                <w:rFonts w:hint="eastAsia" w:ascii="楷体" w:hAnsi="楷体" w:eastAsia="楷体" w:cs="楷体"/>
                <w:b w:val="0"/>
                <w:bCs w:val="0"/>
                <w:sz w:val="24"/>
                <w:szCs w:val="24"/>
                <w:vertAlign w:val="baseline"/>
                <w:lang w:val="en-US" w:eastAsia="zh-CN"/>
              </w:rPr>
              <w:t>省级文物保护单位</w:t>
            </w:r>
          </w:p>
        </w:tc>
      </w:tr>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23" w:hRule="atLeast"/>
          <w:jc w:val="center"/>
        </w:trPr>
        <w:tc>
          <w:tcPr>
            <w:tcW w:w="461"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楷体" w:hAnsi="楷体" w:eastAsia="楷体" w:cs="楷体"/>
                <w:b w:val="0"/>
                <w:bCs w:val="0"/>
                <w:kern w:val="2"/>
                <w:sz w:val="24"/>
                <w:szCs w:val="24"/>
                <w:vertAlign w:val="baseline"/>
                <w:lang w:val="en-US" w:eastAsia="zh-CN" w:bidi="ar-SA"/>
              </w:rPr>
            </w:pPr>
            <w:r>
              <w:rPr>
                <w:rFonts w:hint="eastAsia" w:ascii="楷体" w:hAnsi="楷体" w:eastAsia="楷体" w:cs="楷体"/>
                <w:b w:val="0"/>
                <w:bCs w:val="0"/>
                <w:sz w:val="24"/>
                <w:szCs w:val="24"/>
                <w:vertAlign w:val="baseline"/>
                <w:lang w:val="en-US" w:eastAsia="zh-CN"/>
              </w:rPr>
              <w:t>10</w:t>
            </w:r>
          </w:p>
        </w:tc>
        <w:tc>
          <w:tcPr>
            <w:tcW w:w="1612"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楷体" w:hAnsi="楷体" w:eastAsia="楷体" w:cs="楷体"/>
                <w:b w:val="0"/>
                <w:bCs w:val="0"/>
                <w:kern w:val="2"/>
                <w:sz w:val="24"/>
                <w:szCs w:val="24"/>
                <w:vertAlign w:val="baseline"/>
                <w:lang w:val="en-US" w:eastAsia="zh-CN" w:bidi="ar-SA"/>
              </w:rPr>
            </w:pPr>
            <w:r>
              <w:rPr>
                <w:rFonts w:hint="eastAsia" w:ascii="楷体" w:hAnsi="楷体" w:eastAsia="楷体" w:cs="楷体"/>
                <w:b w:val="0"/>
                <w:bCs w:val="0"/>
                <w:sz w:val="24"/>
                <w:szCs w:val="24"/>
                <w:vertAlign w:val="baseline"/>
                <w:lang w:val="en-US" w:eastAsia="zh-CN"/>
              </w:rPr>
              <w:t>既济亭热水池</w:t>
            </w:r>
          </w:p>
        </w:tc>
        <w:tc>
          <w:tcPr>
            <w:tcW w:w="4836"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textAlignment w:val="auto"/>
              <w:rPr>
                <w:rFonts w:hint="eastAsia" w:ascii="楷体" w:hAnsi="楷体" w:eastAsia="楷体" w:cs="楷体"/>
                <w:b w:val="0"/>
                <w:bCs w:val="0"/>
                <w:kern w:val="2"/>
                <w:sz w:val="24"/>
                <w:szCs w:val="24"/>
                <w:vertAlign w:val="baseline"/>
                <w:lang w:val="en-US" w:eastAsia="zh-CN" w:bidi="ar-SA"/>
              </w:rPr>
            </w:pPr>
            <w:r>
              <w:rPr>
                <w:rFonts w:hint="eastAsia" w:ascii="楷体" w:hAnsi="楷体" w:eastAsia="楷体" w:cs="楷体"/>
                <w:b w:val="0"/>
                <w:bCs w:val="0"/>
                <w:sz w:val="24"/>
                <w:szCs w:val="24"/>
                <w:vertAlign w:val="baseline"/>
                <w:lang w:val="en-US" w:eastAsia="zh-CN"/>
              </w:rPr>
              <w:t>位于高地村东约200米，</w:t>
            </w:r>
            <w:r>
              <w:rPr>
                <w:rFonts w:hint="eastAsia" w:ascii="楷体" w:hAnsi="楷体" w:eastAsia="楷体" w:cs="楷体"/>
                <w:b w:val="0"/>
                <w:bCs w:val="0"/>
                <w:sz w:val="24"/>
                <w:szCs w:val="24"/>
                <w:vertAlign w:val="baseline"/>
              </w:rPr>
              <w:t>明正德年间（1506-1521）用石砌池，为半圆、长方形两池</w:t>
            </w:r>
            <w:r>
              <w:rPr>
                <w:rFonts w:hint="eastAsia" w:ascii="楷体" w:hAnsi="楷体" w:eastAsia="楷体" w:cs="楷体"/>
                <w:b w:val="0"/>
                <w:bCs w:val="0"/>
                <w:sz w:val="24"/>
                <w:szCs w:val="24"/>
                <w:vertAlign w:val="baseline"/>
                <w:lang w:eastAsia="zh-CN"/>
              </w:rPr>
              <w:t>，崖州八景之一，三亚历史上最早开发利用的温泉资源。</w:t>
            </w:r>
          </w:p>
        </w:tc>
        <w:tc>
          <w:tcPr>
            <w:tcW w:w="1613"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textAlignment w:val="auto"/>
              <w:rPr>
                <w:rFonts w:hint="eastAsia" w:ascii="楷体" w:hAnsi="楷体" w:eastAsia="楷体" w:cs="楷体"/>
                <w:b w:val="0"/>
                <w:bCs w:val="0"/>
                <w:sz w:val="24"/>
                <w:szCs w:val="24"/>
                <w:vertAlign w:val="baseline"/>
                <w:lang w:val="en-US" w:eastAsia="zh-CN"/>
              </w:rPr>
            </w:pPr>
            <w:r>
              <w:rPr>
                <w:rFonts w:hint="eastAsia" w:ascii="楷体" w:hAnsi="楷体" w:eastAsia="楷体" w:cs="楷体"/>
                <w:b w:val="0"/>
                <w:bCs w:val="0"/>
                <w:sz w:val="24"/>
                <w:szCs w:val="24"/>
                <w:vertAlign w:val="baseline"/>
                <w:lang w:val="en-US" w:eastAsia="zh-CN"/>
              </w:rPr>
              <w:t>省级文物保护单位</w:t>
            </w:r>
          </w:p>
        </w:tc>
      </w:tr>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23" w:hRule="atLeast"/>
          <w:jc w:val="center"/>
        </w:trPr>
        <w:tc>
          <w:tcPr>
            <w:tcW w:w="461"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楷体" w:hAnsi="楷体" w:eastAsia="楷体" w:cs="楷体"/>
                <w:b w:val="0"/>
                <w:bCs w:val="0"/>
                <w:kern w:val="2"/>
                <w:sz w:val="24"/>
                <w:szCs w:val="24"/>
                <w:vertAlign w:val="baseline"/>
                <w:lang w:val="en-US" w:eastAsia="zh-CN" w:bidi="ar-SA"/>
              </w:rPr>
            </w:pPr>
            <w:r>
              <w:rPr>
                <w:rFonts w:hint="eastAsia" w:ascii="楷体" w:hAnsi="楷体" w:eastAsia="楷体" w:cs="楷体"/>
                <w:b w:val="0"/>
                <w:bCs w:val="0"/>
                <w:sz w:val="24"/>
                <w:szCs w:val="24"/>
                <w:vertAlign w:val="baseline"/>
                <w:lang w:val="en-US" w:eastAsia="zh-CN"/>
              </w:rPr>
              <w:t>11</w:t>
            </w:r>
          </w:p>
        </w:tc>
        <w:tc>
          <w:tcPr>
            <w:tcW w:w="1612"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楷体" w:hAnsi="楷体" w:eastAsia="楷体" w:cs="楷体"/>
                <w:b w:val="0"/>
                <w:bCs w:val="0"/>
                <w:kern w:val="2"/>
                <w:sz w:val="24"/>
                <w:szCs w:val="24"/>
                <w:vertAlign w:val="baseline"/>
                <w:lang w:val="en-US" w:eastAsia="zh-CN" w:bidi="ar-SA"/>
              </w:rPr>
            </w:pPr>
            <w:r>
              <w:rPr>
                <w:rFonts w:hint="eastAsia" w:ascii="楷体" w:hAnsi="楷体" w:eastAsia="楷体" w:cs="楷体"/>
                <w:b w:val="0"/>
                <w:bCs w:val="0"/>
                <w:sz w:val="24"/>
                <w:szCs w:val="24"/>
                <w:vertAlign w:val="baseline"/>
                <w:lang w:val="en-US" w:eastAsia="zh-CN"/>
              </w:rPr>
              <w:t>孙氏宗祠</w:t>
            </w:r>
          </w:p>
        </w:tc>
        <w:tc>
          <w:tcPr>
            <w:tcW w:w="4836"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textAlignment w:val="auto"/>
              <w:rPr>
                <w:rFonts w:hint="eastAsia" w:ascii="楷体" w:hAnsi="楷体" w:eastAsia="楷体" w:cs="楷体"/>
                <w:b w:val="0"/>
                <w:bCs w:val="0"/>
                <w:kern w:val="2"/>
                <w:sz w:val="24"/>
                <w:szCs w:val="24"/>
                <w:vertAlign w:val="baseline"/>
                <w:lang w:val="en-US" w:eastAsia="zh-CN" w:bidi="ar-SA"/>
              </w:rPr>
            </w:pPr>
            <w:r>
              <w:rPr>
                <w:rFonts w:hint="eastAsia" w:ascii="楷体" w:hAnsi="楷体" w:eastAsia="楷体" w:cs="楷体"/>
                <w:b w:val="0"/>
                <w:bCs w:val="0"/>
                <w:sz w:val="24"/>
                <w:szCs w:val="24"/>
                <w:vertAlign w:val="baseline"/>
              </w:rPr>
              <w:t>建于清代</w:t>
            </w:r>
            <w:r>
              <w:rPr>
                <w:rFonts w:hint="eastAsia" w:ascii="楷体" w:hAnsi="楷体" w:eastAsia="楷体" w:cs="楷体"/>
                <w:b w:val="0"/>
                <w:bCs w:val="0"/>
                <w:sz w:val="24"/>
                <w:szCs w:val="24"/>
                <w:vertAlign w:val="baseline"/>
                <w:lang w:eastAsia="zh-CN"/>
              </w:rPr>
              <w:t>，位于崖州区梅山小学校园北侧，是三亚现存最为完整的氏族祠堂,为研究海南氏族宗祠的形成、发展和建筑形制提供丰富的实物资料。</w:t>
            </w:r>
          </w:p>
        </w:tc>
        <w:tc>
          <w:tcPr>
            <w:tcW w:w="1613"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textAlignment w:val="auto"/>
              <w:rPr>
                <w:rFonts w:hint="eastAsia" w:ascii="楷体" w:hAnsi="楷体" w:eastAsia="楷体" w:cs="楷体"/>
                <w:b w:val="0"/>
                <w:bCs w:val="0"/>
                <w:sz w:val="24"/>
                <w:szCs w:val="24"/>
                <w:vertAlign w:val="baseline"/>
              </w:rPr>
            </w:pPr>
            <w:r>
              <w:rPr>
                <w:rFonts w:hint="eastAsia" w:ascii="楷体" w:hAnsi="楷体" w:eastAsia="楷体" w:cs="楷体"/>
                <w:b w:val="0"/>
                <w:bCs w:val="0"/>
                <w:sz w:val="24"/>
                <w:szCs w:val="24"/>
                <w:vertAlign w:val="baseline"/>
                <w:lang w:val="en-US" w:eastAsia="zh-CN"/>
              </w:rPr>
              <w:t>省级文物保护单位</w:t>
            </w:r>
          </w:p>
        </w:tc>
      </w:tr>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23" w:hRule="atLeast"/>
          <w:jc w:val="center"/>
        </w:trPr>
        <w:tc>
          <w:tcPr>
            <w:tcW w:w="461"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楷体" w:hAnsi="楷体" w:eastAsia="楷体" w:cs="楷体"/>
                <w:b w:val="0"/>
                <w:bCs w:val="0"/>
                <w:kern w:val="2"/>
                <w:sz w:val="24"/>
                <w:szCs w:val="24"/>
                <w:vertAlign w:val="baseline"/>
                <w:lang w:val="en-US" w:eastAsia="zh-CN" w:bidi="ar-SA"/>
              </w:rPr>
            </w:pPr>
            <w:r>
              <w:rPr>
                <w:rFonts w:hint="eastAsia" w:ascii="楷体" w:hAnsi="楷体" w:eastAsia="楷体" w:cs="楷体"/>
                <w:b w:val="0"/>
                <w:bCs w:val="0"/>
                <w:sz w:val="24"/>
                <w:szCs w:val="24"/>
                <w:vertAlign w:val="baseline"/>
                <w:lang w:val="en-US" w:eastAsia="zh-CN"/>
              </w:rPr>
              <w:t>12</w:t>
            </w:r>
          </w:p>
        </w:tc>
        <w:tc>
          <w:tcPr>
            <w:tcW w:w="1612"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楷体" w:hAnsi="楷体" w:eastAsia="楷体" w:cs="楷体"/>
                <w:b w:val="0"/>
                <w:bCs w:val="0"/>
                <w:kern w:val="2"/>
                <w:sz w:val="24"/>
                <w:szCs w:val="24"/>
                <w:vertAlign w:val="baseline"/>
                <w:lang w:val="en-US" w:eastAsia="zh-CN" w:bidi="ar-SA"/>
              </w:rPr>
            </w:pPr>
            <w:r>
              <w:rPr>
                <w:rFonts w:hint="eastAsia" w:ascii="楷体" w:hAnsi="楷体" w:eastAsia="楷体" w:cs="楷体"/>
                <w:b w:val="0"/>
                <w:bCs w:val="0"/>
                <w:sz w:val="24"/>
                <w:szCs w:val="24"/>
                <w:vertAlign w:val="baseline"/>
                <w:lang w:val="en-US" w:eastAsia="zh-CN"/>
              </w:rPr>
              <w:t>民国骑楼建筑群</w:t>
            </w:r>
          </w:p>
        </w:tc>
        <w:tc>
          <w:tcPr>
            <w:tcW w:w="4836"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textAlignment w:val="auto"/>
              <w:rPr>
                <w:rFonts w:hint="eastAsia" w:ascii="楷体" w:hAnsi="楷体" w:eastAsia="楷体" w:cs="楷体"/>
                <w:b w:val="0"/>
                <w:bCs w:val="0"/>
                <w:kern w:val="2"/>
                <w:sz w:val="24"/>
                <w:szCs w:val="24"/>
                <w:vertAlign w:val="baseline"/>
                <w:lang w:val="en-US" w:eastAsia="zh-CN" w:bidi="ar-SA"/>
              </w:rPr>
            </w:pPr>
            <w:r>
              <w:rPr>
                <w:rFonts w:hint="eastAsia" w:ascii="楷体" w:hAnsi="楷体" w:eastAsia="楷体" w:cs="楷体"/>
                <w:b w:val="0"/>
                <w:bCs w:val="0"/>
                <w:sz w:val="24"/>
                <w:szCs w:val="24"/>
                <w:vertAlign w:val="baseline"/>
                <w:lang w:val="en-US" w:eastAsia="zh-CN"/>
              </w:rPr>
              <w:t>位于东关街和铺仔市，</w:t>
            </w:r>
            <w:r>
              <w:rPr>
                <w:rFonts w:hint="eastAsia" w:ascii="楷体" w:hAnsi="楷体" w:eastAsia="楷体" w:cs="楷体"/>
                <w:b w:val="0"/>
                <w:bCs w:val="0"/>
                <w:sz w:val="24"/>
                <w:szCs w:val="24"/>
                <w:vertAlign w:val="baseline"/>
              </w:rPr>
              <w:t>始建于1912年，是崖县最早的老商号建筑群</w:t>
            </w:r>
            <w:r>
              <w:rPr>
                <w:rFonts w:hint="eastAsia" w:ascii="楷体" w:hAnsi="楷体" w:eastAsia="楷体" w:cs="楷体"/>
                <w:b w:val="0"/>
                <w:bCs w:val="0"/>
                <w:sz w:val="24"/>
                <w:szCs w:val="24"/>
                <w:vertAlign w:val="baseline"/>
                <w:lang w:eastAsia="zh-CN"/>
              </w:rPr>
              <w:t>，具有一定的时代建筑特色,是近现代中国南方城市中较为典型的商业建筑的一个重要标志。</w:t>
            </w:r>
          </w:p>
        </w:tc>
        <w:tc>
          <w:tcPr>
            <w:tcW w:w="1613"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textAlignment w:val="auto"/>
              <w:rPr>
                <w:rFonts w:hint="eastAsia" w:ascii="楷体" w:hAnsi="楷体" w:eastAsia="楷体" w:cs="楷体"/>
                <w:b w:val="0"/>
                <w:bCs w:val="0"/>
                <w:sz w:val="24"/>
                <w:szCs w:val="24"/>
                <w:vertAlign w:val="baseline"/>
                <w:lang w:val="en-US" w:eastAsia="zh-CN"/>
              </w:rPr>
            </w:pPr>
            <w:r>
              <w:rPr>
                <w:rFonts w:hint="eastAsia" w:ascii="楷体" w:hAnsi="楷体" w:eastAsia="楷体" w:cs="楷体"/>
                <w:b w:val="0"/>
                <w:bCs w:val="0"/>
                <w:sz w:val="24"/>
                <w:szCs w:val="24"/>
                <w:vertAlign w:val="baseline"/>
                <w:lang w:val="en-US" w:eastAsia="zh-CN"/>
              </w:rPr>
              <w:t>省级文物保护单位</w:t>
            </w:r>
          </w:p>
        </w:tc>
      </w:tr>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23" w:hRule="atLeast"/>
          <w:jc w:val="center"/>
        </w:trPr>
        <w:tc>
          <w:tcPr>
            <w:tcW w:w="461"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楷体" w:hAnsi="楷体" w:eastAsia="楷体" w:cs="楷体"/>
                <w:b w:val="0"/>
                <w:bCs w:val="0"/>
                <w:kern w:val="2"/>
                <w:sz w:val="24"/>
                <w:szCs w:val="24"/>
                <w:vertAlign w:val="baseline"/>
                <w:lang w:val="en-US" w:eastAsia="zh-CN" w:bidi="ar-SA"/>
              </w:rPr>
            </w:pPr>
            <w:r>
              <w:rPr>
                <w:rFonts w:hint="eastAsia" w:ascii="楷体" w:hAnsi="楷体" w:eastAsia="楷体" w:cs="楷体"/>
                <w:b w:val="0"/>
                <w:bCs w:val="0"/>
                <w:sz w:val="24"/>
                <w:szCs w:val="24"/>
                <w:vertAlign w:val="baseline"/>
                <w:lang w:val="en-US" w:eastAsia="zh-CN"/>
              </w:rPr>
              <w:t>13</w:t>
            </w:r>
          </w:p>
        </w:tc>
        <w:tc>
          <w:tcPr>
            <w:tcW w:w="1612"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楷体" w:hAnsi="楷体" w:eastAsia="楷体" w:cs="楷体"/>
                <w:b w:val="0"/>
                <w:bCs w:val="0"/>
                <w:sz w:val="24"/>
                <w:szCs w:val="24"/>
                <w:vertAlign w:val="baseline"/>
                <w:lang w:val="en-US" w:eastAsia="zh-CN"/>
              </w:rPr>
            </w:pPr>
            <w:r>
              <w:rPr>
                <w:rFonts w:hint="eastAsia" w:ascii="楷体" w:hAnsi="楷体" w:eastAsia="楷体" w:cs="楷体"/>
                <w:b w:val="0"/>
                <w:bCs w:val="0"/>
                <w:sz w:val="24"/>
                <w:szCs w:val="24"/>
                <w:vertAlign w:val="baseline"/>
                <w:lang w:val="en-US" w:eastAsia="zh-CN"/>
              </w:rPr>
              <w:t>八人轿坡伊斯兰教徒古墓葬遗址</w:t>
            </w:r>
          </w:p>
        </w:tc>
        <w:tc>
          <w:tcPr>
            <w:tcW w:w="4836"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textAlignment w:val="auto"/>
              <w:rPr>
                <w:rFonts w:hint="eastAsia" w:ascii="楷体" w:hAnsi="楷体" w:eastAsia="楷体" w:cs="楷体"/>
                <w:b w:val="0"/>
                <w:bCs w:val="0"/>
                <w:sz w:val="24"/>
                <w:szCs w:val="24"/>
                <w:vertAlign w:val="baseline"/>
                <w:lang w:eastAsia="zh-CN"/>
              </w:rPr>
            </w:pPr>
            <w:r>
              <w:rPr>
                <w:rFonts w:hint="eastAsia" w:ascii="楷体" w:hAnsi="楷体" w:eastAsia="楷体" w:cs="楷体"/>
                <w:b w:val="0"/>
                <w:bCs w:val="0"/>
                <w:sz w:val="24"/>
                <w:szCs w:val="24"/>
                <w:vertAlign w:val="baseline"/>
              </w:rPr>
              <w:t>1986年第二次文物普查发现</w:t>
            </w:r>
            <w:r>
              <w:rPr>
                <w:rFonts w:hint="eastAsia" w:ascii="楷体" w:hAnsi="楷体" w:eastAsia="楷体" w:cs="楷体"/>
                <w:b w:val="0"/>
                <w:bCs w:val="0"/>
                <w:sz w:val="24"/>
                <w:szCs w:val="24"/>
                <w:vertAlign w:val="baseline"/>
                <w:lang w:eastAsia="zh-CN"/>
              </w:rPr>
              <w:t>。</w:t>
            </w:r>
          </w:p>
        </w:tc>
        <w:tc>
          <w:tcPr>
            <w:tcW w:w="1613"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textAlignment w:val="auto"/>
              <w:rPr>
                <w:rFonts w:hint="eastAsia" w:ascii="楷体" w:hAnsi="楷体" w:eastAsia="楷体" w:cs="楷体"/>
                <w:b w:val="0"/>
                <w:bCs w:val="0"/>
                <w:sz w:val="24"/>
                <w:szCs w:val="24"/>
                <w:vertAlign w:val="baseline"/>
              </w:rPr>
            </w:pPr>
            <w:r>
              <w:rPr>
                <w:rFonts w:hint="eastAsia" w:ascii="楷体" w:hAnsi="楷体" w:eastAsia="楷体" w:cs="楷体"/>
                <w:b w:val="0"/>
                <w:bCs w:val="0"/>
                <w:sz w:val="24"/>
                <w:szCs w:val="24"/>
                <w:vertAlign w:val="baseline"/>
              </w:rPr>
              <w:t>市级文物保护单位</w:t>
            </w:r>
          </w:p>
        </w:tc>
      </w:tr>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23" w:hRule="atLeast"/>
          <w:jc w:val="center"/>
        </w:trPr>
        <w:tc>
          <w:tcPr>
            <w:tcW w:w="461"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楷体" w:hAnsi="楷体" w:eastAsia="楷体" w:cs="楷体"/>
                <w:b w:val="0"/>
                <w:bCs w:val="0"/>
                <w:kern w:val="2"/>
                <w:sz w:val="24"/>
                <w:szCs w:val="24"/>
                <w:vertAlign w:val="baseline"/>
                <w:lang w:val="en-US" w:eastAsia="zh-CN" w:bidi="ar-SA"/>
              </w:rPr>
            </w:pPr>
            <w:r>
              <w:rPr>
                <w:rFonts w:hint="eastAsia" w:ascii="楷体" w:hAnsi="楷体" w:eastAsia="楷体" w:cs="楷体"/>
                <w:b w:val="0"/>
                <w:bCs w:val="0"/>
                <w:sz w:val="24"/>
                <w:szCs w:val="24"/>
                <w:vertAlign w:val="baseline"/>
                <w:lang w:val="en-US" w:eastAsia="zh-CN"/>
              </w:rPr>
              <w:t>14</w:t>
            </w:r>
          </w:p>
        </w:tc>
        <w:tc>
          <w:tcPr>
            <w:tcW w:w="1612"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楷体" w:hAnsi="楷体" w:eastAsia="楷体" w:cs="楷体"/>
                <w:b w:val="0"/>
                <w:bCs w:val="0"/>
                <w:sz w:val="24"/>
                <w:szCs w:val="24"/>
                <w:vertAlign w:val="baseline"/>
                <w:lang w:val="en-US" w:eastAsia="zh-CN"/>
              </w:rPr>
            </w:pPr>
            <w:r>
              <w:rPr>
                <w:rFonts w:hint="eastAsia" w:ascii="楷体" w:hAnsi="楷体" w:eastAsia="楷体" w:cs="楷体"/>
                <w:b w:val="0"/>
                <w:bCs w:val="0"/>
                <w:sz w:val="24"/>
                <w:szCs w:val="24"/>
                <w:vertAlign w:val="baseline"/>
                <w:lang w:val="en-US" w:eastAsia="zh-CN"/>
              </w:rPr>
              <w:t>盛德堂</w:t>
            </w:r>
          </w:p>
        </w:tc>
        <w:tc>
          <w:tcPr>
            <w:tcW w:w="4836"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textAlignment w:val="auto"/>
              <w:rPr>
                <w:rFonts w:hint="eastAsia" w:ascii="楷体" w:hAnsi="楷体" w:eastAsia="楷体" w:cs="楷体"/>
                <w:b w:val="0"/>
                <w:bCs w:val="0"/>
                <w:sz w:val="24"/>
                <w:szCs w:val="24"/>
                <w:vertAlign w:val="baseline"/>
              </w:rPr>
            </w:pPr>
            <w:r>
              <w:rPr>
                <w:rFonts w:hint="eastAsia" w:ascii="楷体" w:hAnsi="楷体" w:eastAsia="楷体" w:cs="楷体"/>
                <w:b w:val="0"/>
                <w:bCs w:val="0"/>
                <w:sz w:val="24"/>
                <w:szCs w:val="24"/>
                <w:vertAlign w:val="baseline"/>
              </w:rPr>
              <w:t>始建于宋，为昌化军守裴闻义故居，宋相赵鼎、胡铨力主抗金而遭南贬居此。</w:t>
            </w:r>
          </w:p>
        </w:tc>
        <w:tc>
          <w:tcPr>
            <w:tcW w:w="1613"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textAlignment w:val="auto"/>
              <w:rPr>
                <w:rFonts w:hint="eastAsia" w:ascii="楷体" w:hAnsi="楷体" w:eastAsia="楷体" w:cs="楷体"/>
                <w:b w:val="0"/>
                <w:bCs w:val="0"/>
                <w:sz w:val="24"/>
                <w:szCs w:val="24"/>
                <w:vertAlign w:val="baseline"/>
              </w:rPr>
            </w:pPr>
            <w:r>
              <w:rPr>
                <w:rFonts w:hint="eastAsia" w:ascii="楷体" w:hAnsi="楷体" w:eastAsia="楷体" w:cs="楷体"/>
                <w:b w:val="0"/>
                <w:bCs w:val="0"/>
                <w:sz w:val="24"/>
                <w:szCs w:val="24"/>
                <w:vertAlign w:val="baseline"/>
              </w:rPr>
              <w:t>市级文物保护单位</w:t>
            </w:r>
          </w:p>
        </w:tc>
      </w:tr>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23" w:hRule="atLeast"/>
          <w:jc w:val="center"/>
        </w:trPr>
        <w:tc>
          <w:tcPr>
            <w:tcW w:w="461"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楷体" w:hAnsi="楷体" w:eastAsia="楷体" w:cs="楷体"/>
                <w:b w:val="0"/>
                <w:bCs w:val="0"/>
                <w:kern w:val="2"/>
                <w:sz w:val="24"/>
                <w:szCs w:val="24"/>
                <w:vertAlign w:val="baseline"/>
                <w:lang w:val="en-US" w:eastAsia="zh-CN" w:bidi="ar-SA"/>
              </w:rPr>
            </w:pPr>
            <w:r>
              <w:rPr>
                <w:rFonts w:hint="eastAsia" w:ascii="楷体" w:hAnsi="楷体" w:eastAsia="楷体" w:cs="楷体"/>
                <w:b w:val="0"/>
                <w:bCs w:val="0"/>
                <w:sz w:val="24"/>
                <w:szCs w:val="24"/>
                <w:vertAlign w:val="baseline"/>
                <w:lang w:val="en-US" w:eastAsia="zh-CN"/>
              </w:rPr>
              <w:t>15</w:t>
            </w:r>
          </w:p>
        </w:tc>
        <w:tc>
          <w:tcPr>
            <w:tcW w:w="1612"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楷体" w:hAnsi="楷体" w:eastAsia="楷体" w:cs="楷体"/>
                <w:b w:val="0"/>
                <w:bCs w:val="0"/>
                <w:sz w:val="24"/>
                <w:szCs w:val="24"/>
                <w:vertAlign w:val="baseline"/>
                <w:lang w:val="en-US" w:eastAsia="zh-CN"/>
              </w:rPr>
            </w:pPr>
            <w:r>
              <w:rPr>
                <w:rFonts w:hint="eastAsia" w:ascii="楷体" w:hAnsi="楷体" w:eastAsia="楷体" w:cs="楷体"/>
                <w:b w:val="0"/>
                <w:bCs w:val="0"/>
                <w:sz w:val="24"/>
                <w:szCs w:val="24"/>
                <w:vertAlign w:val="baseline"/>
                <w:lang w:val="en-US" w:eastAsia="zh-CN"/>
              </w:rPr>
              <w:t>鼎建钟公还金寮序</w:t>
            </w:r>
          </w:p>
        </w:tc>
        <w:tc>
          <w:tcPr>
            <w:tcW w:w="4836"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textAlignment w:val="auto"/>
              <w:rPr>
                <w:rFonts w:hint="eastAsia" w:ascii="楷体" w:hAnsi="楷体" w:eastAsia="楷体" w:cs="楷体"/>
                <w:b w:val="0"/>
                <w:bCs w:val="0"/>
                <w:sz w:val="24"/>
                <w:szCs w:val="24"/>
                <w:vertAlign w:val="baseline"/>
                <w:lang w:eastAsia="zh-CN"/>
              </w:rPr>
            </w:pPr>
            <w:r>
              <w:rPr>
                <w:rFonts w:hint="eastAsia" w:ascii="楷体" w:hAnsi="楷体" w:eastAsia="楷体" w:cs="楷体"/>
                <w:b w:val="0"/>
                <w:bCs w:val="0"/>
                <w:sz w:val="24"/>
                <w:szCs w:val="24"/>
                <w:vertAlign w:val="baseline"/>
              </w:rPr>
              <w:t>建于清代</w:t>
            </w:r>
            <w:r>
              <w:rPr>
                <w:rFonts w:hint="eastAsia" w:ascii="楷体" w:hAnsi="楷体" w:eastAsia="楷体" w:cs="楷体"/>
                <w:b w:val="0"/>
                <w:bCs w:val="0"/>
                <w:sz w:val="24"/>
                <w:szCs w:val="24"/>
                <w:vertAlign w:val="baseline"/>
                <w:lang w:eastAsia="zh-CN"/>
              </w:rPr>
              <w:t>。</w:t>
            </w:r>
          </w:p>
        </w:tc>
        <w:tc>
          <w:tcPr>
            <w:tcW w:w="1613"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textAlignment w:val="auto"/>
              <w:rPr>
                <w:rFonts w:hint="eastAsia" w:ascii="楷体" w:hAnsi="楷体" w:eastAsia="楷体" w:cs="楷体"/>
                <w:b w:val="0"/>
                <w:bCs w:val="0"/>
                <w:sz w:val="24"/>
                <w:szCs w:val="24"/>
                <w:vertAlign w:val="baseline"/>
              </w:rPr>
            </w:pPr>
            <w:r>
              <w:rPr>
                <w:rFonts w:hint="eastAsia" w:ascii="楷体" w:hAnsi="楷体" w:eastAsia="楷体" w:cs="楷体"/>
                <w:b w:val="0"/>
                <w:bCs w:val="0"/>
                <w:sz w:val="24"/>
                <w:szCs w:val="24"/>
                <w:vertAlign w:val="baseline"/>
                <w:lang w:eastAsia="zh-CN"/>
              </w:rPr>
              <w:t>市级文物保护单位</w:t>
            </w:r>
          </w:p>
        </w:tc>
      </w:tr>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23" w:hRule="atLeast"/>
          <w:jc w:val="center"/>
        </w:trPr>
        <w:tc>
          <w:tcPr>
            <w:tcW w:w="461"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楷体" w:hAnsi="楷体" w:eastAsia="楷体" w:cs="楷体"/>
                <w:b w:val="0"/>
                <w:bCs w:val="0"/>
                <w:kern w:val="2"/>
                <w:sz w:val="24"/>
                <w:szCs w:val="24"/>
                <w:vertAlign w:val="baseline"/>
                <w:lang w:val="en-US" w:eastAsia="zh-CN" w:bidi="ar-SA"/>
              </w:rPr>
            </w:pPr>
            <w:r>
              <w:rPr>
                <w:rFonts w:hint="eastAsia" w:ascii="楷体" w:hAnsi="楷体" w:eastAsia="楷体" w:cs="楷体"/>
                <w:b w:val="0"/>
                <w:bCs w:val="0"/>
                <w:sz w:val="24"/>
                <w:szCs w:val="24"/>
                <w:vertAlign w:val="baseline"/>
                <w:lang w:val="en-US" w:eastAsia="zh-CN"/>
              </w:rPr>
              <w:t>16</w:t>
            </w:r>
          </w:p>
        </w:tc>
        <w:tc>
          <w:tcPr>
            <w:tcW w:w="1612"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楷体" w:hAnsi="楷体" w:eastAsia="楷体" w:cs="楷体"/>
                <w:b w:val="0"/>
                <w:bCs w:val="0"/>
                <w:sz w:val="24"/>
                <w:szCs w:val="24"/>
                <w:vertAlign w:val="baseline"/>
                <w:lang w:val="en-US" w:eastAsia="zh-CN"/>
              </w:rPr>
            </w:pPr>
            <w:r>
              <w:rPr>
                <w:rFonts w:hint="eastAsia" w:ascii="楷体" w:hAnsi="楷体" w:eastAsia="楷体" w:cs="楷体"/>
                <w:b w:val="0"/>
                <w:bCs w:val="0"/>
                <w:sz w:val="24"/>
                <w:szCs w:val="24"/>
                <w:vertAlign w:val="baseline"/>
                <w:lang w:val="en-US" w:eastAsia="zh-CN"/>
              </w:rPr>
              <w:t>慈禧“寿”字碑</w:t>
            </w:r>
          </w:p>
        </w:tc>
        <w:tc>
          <w:tcPr>
            <w:tcW w:w="4836"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textAlignment w:val="auto"/>
              <w:rPr>
                <w:rFonts w:hint="eastAsia" w:ascii="楷体" w:hAnsi="楷体" w:eastAsia="楷体" w:cs="楷体"/>
                <w:b w:val="0"/>
                <w:bCs w:val="0"/>
                <w:sz w:val="24"/>
                <w:szCs w:val="24"/>
                <w:vertAlign w:val="baseline"/>
              </w:rPr>
            </w:pPr>
            <w:r>
              <w:rPr>
                <w:rFonts w:hint="eastAsia" w:ascii="楷体" w:hAnsi="楷体" w:eastAsia="楷体" w:cs="楷体"/>
                <w:b w:val="0"/>
                <w:bCs w:val="0"/>
                <w:sz w:val="24"/>
                <w:szCs w:val="24"/>
                <w:vertAlign w:val="baseline"/>
              </w:rPr>
              <w:t>清光绪二十九年(1903)立于城南同善堂御书亭内。</w:t>
            </w:r>
          </w:p>
        </w:tc>
        <w:tc>
          <w:tcPr>
            <w:tcW w:w="1613"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textAlignment w:val="auto"/>
              <w:rPr>
                <w:rFonts w:hint="eastAsia" w:ascii="楷体" w:hAnsi="楷体" w:eastAsia="楷体" w:cs="楷体"/>
                <w:b w:val="0"/>
                <w:bCs w:val="0"/>
                <w:sz w:val="24"/>
                <w:szCs w:val="24"/>
                <w:vertAlign w:val="baseline"/>
              </w:rPr>
            </w:pPr>
            <w:r>
              <w:rPr>
                <w:rFonts w:hint="eastAsia" w:ascii="楷体" w:hAnsi="楷体" w:eastAsia="楷体" w:cs="楷体"/>
                <w:b w:val="0"/>
                <w:bCs w:val="0"/>
                <w:sz w:val="24"/>
                <w:szCs w:val="24"/>
                <w:vertAlign w:val="baseline"/>
              </w:rPr>
              <w:t>市级文物保护单位</w:t>
            </w:r>
          </w:p>
        </w:tc>
      </w:tr>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23" w:hRule="atLeast"/>
          <w:jc w:val="center"/>
        </w:trPr>
        <w:tc>
          <w:tcPr>
            <w:tcW w:w="461"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楷体" w:hAnsi="楷体" w:eastAsia="楷体" w:cs="楷体"/>
                <w:b w:val="0"/>
                <w:bCs w:val="0"/>
                <w:kern w:val="2"/>
                <w:sz w:val="24"/>
                <w:szCs w:val="24"/>
                <w:vertAlign w:val="baseline"/>
                <w:lang w:val="en-US" w:eastAsia="zh-CN" w:bidi="ar-SA"/>
              </w:rPr>
            </w:pPr>
            <w:r>
              <w:rPr>
                <w:rFonts w:hint="eastAsia" w:ascii="楷体" w:hAnsi="楷体" w:eastAsia="楷体" w:cs="楷体"/>
                <w:b w:val="0"/>
                <w:bCs w:val="0"/>
                <w:sz w:val="24"/>
                <w:szCs w:val="24"/>
                <w:vertAlign w:val="baseline"/>
                <w:lang w:val="en-US" w:eastAsia="zh-CN"/>
              </w:rPr>
              <w:t>17</w:t>
            </w:r>
          </w:p>
        </w:tc>
        <w:tc>
          <w:tcPr>
            <w:tcW w:w="1612"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楷体" w:hAnsi="楷体" w:eastAsia="楷体" w:cs="楷体"/>
                <w:b w:val="0"/>
                <w:bCs w:val="0"/>
                <w:sz w:val="24"/>
                <w:szCs w:val="24"/>
                <w:vertAlign w:val="baseline"/>
                <w:lang w:val="en-US" w:eastAsia="zh-CN"/>
              </w:rPr>
            </w:pPr>
            <w:r>
              <w:rPr>
                <w:rFonts w:hint="eastAsia" w:ascii="楷体" w:hAnsi="楷体" w:eastAsia="楷体" w:cs="楷体"/>
                <w:b w:val="0"/>
                <w:bCs w:val="0"/>
                <w:sz w:val="24"/>
                <w:szCs w:val="24"/>
                <w:vertAlign w:val="baseline"/>
                <w:lang w:val="en-US" w:eastAsia="zh-CN"/>
              </w:rPr>
              <w:t>崖城革命烈士纪念园</w:t>
            </w:r>
          </w:p>
        </w:tc>
        <w:tc>
          <w:tcPr>
            <w:tcW w:w="4836"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textAlignment w:val="auto"/>
              <w:rPr>
                <w:rFonts w:hint="eastAsia" w:ascii="楷体" w:hAnsi="楷体" w:eastAsia="楷体" w:cs="楷体"/>
                <w:b w:val="0"/>
                <w:bCs w:val="0"/>
                <w:sz w:val="24"/>
                <w:szCs w:val="24"/>
                <w:vertAlign w:val="baseline"/>
              </w:rPr>
            </w:pPr>
            <w:r>
              <w:rPr>
                <w:rFonts w:hint="eastAsia" w:ascii="楷体" w:hAnsi="楷体" w:eastAsia="楷体" w:cs="楷体"/>
                <w:b w:val="0"/>
                <w:bCs w:val="0"/>
                <w:sz w:val="24"/>
                <w:szCs w:val="24"/>
                <w:vertAlign w:val="baseline"/>
              </w:rPr>
              <w:t>1967年为纪念崖城地区在抗日战争、解放战争中牺牲的32位革命烈士而建。</w:t>
            </w:r>
          </w:p>
        </w:tc>
        <w:tc>
          <w:tcPr>
            <w:tcW w:w="1613"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textAlignment w:val="auto"/>
              <w:rPr>
                <w:rFonts w:hint="eastAsia" w:ascii="楷体" w:hAnsi="楷体" w:eastAsia="楷体" w:cs="楷体"/>
                <w:b w:val="0"/>
                <w:bCs w:val="0"/>
                <w:sz w:val="24"/>
                <w:szCs w:val="24"/>
                <w:vertAlign w:val="baseline"/>
              </w:rPr>
            </w:pPr>
            <w:r>
              <w:rPr>
                <w:rFonts w:hint="eastAsia" w:ascii="楷体" w:hAnsi="楷体" w:eastAsia="楷体" w:cs="楷体"/>
                <w:b w:val="0"/>
                <w:bCs w:val="0"/>
                <w:sz w:val="24"/>
                <w:szCs w:val="24"/>
                <w:vertAlign w:val="baseline"/>
              </w:rPr>
              <w:t>市级文物保护单位</w:t>
            </w:r>
          </w:p>
        </w:tc>
      </w:tr>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23" w:hRule="atLeast"/>
          <w:jc w:val="center"/>
        </w:trPr>
        <w:tc>
          <w:tcPr>
            <w:tcW w:w="461"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楷体" w:hAnsi="楷体" w:eastAsia="楷体" w:cs="楷体"/>
                <w:b w:val="0"/>
                <w:bCs w:val="0"/>
                <w:kern w:val="2"/>
                <w:sz w:val="24"/>
                <w:szCs w:val="24"/>
                <w:vertAlign w:val="baseline"/>
                <w:lang w:val="en-US" w:eastAsia="zh-CN" w:bidi="ar-SA"/>
              </w:rPr>
            </w:pPr>
            <w:r>
              <w:rPr>
                <w:rFonts w:hint="eastAsia" w:ascii="楷体" w:hAnsi="楷体" w:eastAsia="楷体" w:cs="楷体"/>
                <w:b w:val="0"/>
                <w:bCs w:val="0"/>
                <w:sz w:val="24"/>
                <w:szCs w:val="24"/>
                <w:vertAlign w:val="baseline"/>
                <w:lang w:val="en-US" w:eastAsia="zh-CN"/>
              </w:rPr>
              <w:t>18</w:t>
            </w:r>
          </w:p>
        </w:tc>
        <w:tc>
          <w:tcPr>
            <w:tcW w:w="1612"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楷体" w:hAnsi="楷体" w:eastAsia="楷体" w:cs="楷体"/>
                <w:b w:val="0"/>
                <w:bCs w:val="0"/>
                <w:sz w:val="24"/>
                <w:szCs w:val="24"/>
                <w:vertAlign w:val="baseline"/>
                <w:lang w:val="en-US" w:eastAsia="zh-CN"/>
              </w:rPr>
            </w:pPr>
            <w:r>
              <w:rPr>
                <w:rFonts w:hint="eastAsia" w:ascii="楷体" w:hAnsi="楷体" w:eastAsia="楷体" w:cs="楷体"/>
                <w:b w:val="0"/>
                <w:bCs w:val="0"/>
                <w:sz w:val="24"/>
                <w:szCs w:val="24"/>
                <w:vertAlign w:val="baseline"/>
                <w:lang w:val="en-US" w:eastAsia="zh-CN"/>
              </w:rPr>
              <w:t>梅山老区烈士陵园</w:t>
            </w:r>
          </w:p>
        </w:tc>
        <w:tc>
          <w:tcPr>
            <w:tcW w:w="4836"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textAlignment w:val="auto"/>
              <w:rPr>
                <w:rFonts w:hint="eastAsia" w:ascii="楷体" w:hAnsi="楷体" w:eastAsia="楷体" w:cs="楷体"/>
                <w:b w:val="0"/>
                <w:bCs w:val="0"/>
                <w:sz w:val="24"/>
                <w:szCs w:val="24"/>
                <w:vertAlign w:val="baseline"/>
              </w:rPr>
            </w:pPr>
            <w:r>
              <w:rPr>
                <w:rFonts w:hint="eastAsia" w:ascii="楷体" w:hAnsi="楷体" w:eastAsia="楷体" w:cs="楷体"/>
                <w:b w:val="0"/>
                <w:bCs w:val="0"/>
                <w:sz w:val="24"/>
                <w:szCs w:val="24"/>
                <w:vertAlign w:val="baseline"/>
              </w:rPr>
              <w:t>收葬梅山地区在抗日战争、解放战争中牺牲的部分烈士遗骸。</w:t>
            </w:r>
          </w:p>
        </w:tc>
        <w:tc>
          <w:tcPr>
            <w:tcW w:w="1613"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textAlignment w:val="auto"/>
              <w:rPr>
                <w:rFonts w:hint="eastAsia" w:ascii="楷体" w:hAnsi="楷体" w:eastAsia="楷体" w:cs="楷体"/>
                <w:b w:val="0"/>
                <w:bCs w:val="0"/>
                <w:sz w:val="24"/>
                <w:szCs w:val="24"/>
                <w:vertAlign w:val="baseline"/>
              </w:rPr>
            </w:pPr>
            <w:r>
              <w:rPr>
                <w:rFonts w:hint="eastAsia" w:ascii="楷体" w:hAnsi="楷体" w:eastAsia="楷体" w:cs="楷体"/>
                <w:b w:val="0"/>
                <w:bCs w:val="0"/>
                <w:sz w:val="24"/>
                <w:szCs w:val="24"/>
                <w:vertAlign w:val="baseline"/>
              </w:rPr>
              <w:t>市级文物保护单位</w:t>
            </w:r>
          </w:p>
        </w:tc>
      </w:tr>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23" w:hRule="atLeast"/>
          <w:jc w:val="center"/>
        </w:trPr>
        <w:tc>
          <w:tcPr>
            <w:tcW w:w="461"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楷体" w:hAnsi="楷体" w:eastAsia="楷体" w:cs="楷体"/>
                <w:b w:val="0"/>
                <w:bCs w:val="0"/>
                <w:kern w:val="2"/>
                <w:sz w:val="24"/>
                <w:szCs w:val="24"/>
                <w:vertAlign w:val="baseline"/>
                <w:lang w:val="en-US" w:eastAsia="zh-CN" w:bidi="ar-SA"/>
              </w:rPr>
            </w:pPr>
            <w:r>
              <w:rPr>
                <w:rFonts w:hint="eastAsia" w:ascii="楷体" w:hAnsi="楷体" w:eastAsia="楷体" w:cs="楷体"/>
                <w:b w:val="0"/>
                <w:bCs w:val="0"/>
                <w:sz w:val="24"/>
                <w:szCs w:val="24"/>
                <w:vertAlign w:val="baseline"/>
                <w:lang w:val="en-US" w:eastAsia="zh-CN"/>
              </w:rPr>
              <w:t>19</w:t>
            </w:r>
          </w:p>
        </w:tc>
        <w:tc>
          <w:tcPr>
            <w:tcW w:w="1612"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楷体" w:hAnsi="楷体" w:eastAsia="楷体" w:cs="楷体"/>
                <w:b w:val="0"/>
                <w:bCs w:val="0"/>
                <w:kern w:val="2"/>
                <w:sz w:val="24"/>
                <w:szCs w:val="24"/>
                <w:vertAlign w:val="baseline"/>
                <w:lang w:val="en-US" w:eastAsia="zh-CN" w:bidi="ar-SA"/>
              </w:rPr>
            </w:pPr>
            <w:r>
              <w:rPr>
                <w:rFonts w:hint="eastAsia" w:ascii="楷体" w:hAnsi="楷体" w:eastAsia="楷体" w:cs="楷体"/>
                <w:b w:val="0"/>
                <w:bCs w:val="0"/>
                <w:sz w:val="24"/>
                <w:szCs w:val="24"/>
                <w:vertAlign w:val="baseline"/>
                <w:lang w:val="en-US" w:eastAsia="zh-CN"/>
              </w:rPr>
              <w:t>林缵统故居</w:t>
            </w:r>
          </w:p>
        </w:tc>
        <w:tc>
          <w:tcPr>
            <w:tcW w:w="4836"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textAlignment w:val="auto"/>
              <w:rPr>
                <w:rFonts w:hint="eastAsia" w:ascii="楷体" w:hAnsi="楷体" w:eastAsia="楷体" w:cs="楷体"/>
                <w:b w:val="0"/>
                <w:bCs w:val="0"/>
                <w:kern w:val="2"/>
                <w:sz w:val="24"/>
                <w:szCs w:val="24"/>
                <w:vertAlign w:val="baseline"/>
                <w:lang w:val="en-US" w:eastAsia="zh-CN" w:bidi="ar-SA"/>
              </w:rPr>
            </w:pPr>
            <w:r>
              <w:rPr>
                <w:rFonts w:hint="eastAsia" w:ascii="楷体" w:hAnsi="楷体" w:eastAsia="楷体" w:cs="楷体"/>
                <w:b w:val="0"/>
                <w:bCs w:val="0"/>
                <w:sz w:val="24"/>
                <w:szCs w:val="24"/>
                <w:vertAlign w:val="baseline"/>
              </w:rPr>
              <w:t>为清光绪二十年（1894年）林缵统考取举人而建</w:t>
            </w:r>
            <w:r>
              <w:rPr>
                <w:rFonts w:hint="eastAsia" w:ascii="楷体" w:hAnsi="楷体" w:eastAsia="楷体" w:cs="楷体"/>
                <w:b w:val="0"/>
                <w:bCs w:val="0"/>
                <w:sz w:val="24"/>
                <w:szCs w:val="24"/>
                <w:vertAlign w:val="baseline"/>
                <w:lang w:eastAsia="zh-CN"/>
              </w:rPr>
              <w:t>。</w:t>
            </w:r>
          </w:p>
        </w:tc>
        <w:tc>
          <w:tcPr>
            <w:tcW w:w="1613"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textAlignment w:val="auto"/>
              <w:rPr>
                <w:rFonts w:hint="eastAsia" w:ascii="楷体" w:hAnsi="楷体" w:eastAsia="楷体" w:cs="楷体"/>
                <w:b w:val="0"/>
                <w:bCs w:val="0"/>
                <w:sz w:val="24"/>
                <w:szCs w:val="24"/>
                <w:vertAlign w:val="baseline"/>
              </w:rPr>
            </w:pPr>
            <w:r>
              <w:rPr>
                <w:rFonts w:hint="eastAsia" w:ascii="楷体" w:hAnsi="楷体" w:eastAsia="楷体" w:cs="楷体"/>
                <w:b w:val="0"/>
                <w:bCs w:val="0"/>
                <w:sz w:val="24"/>
                <w:szCs w:val="24"/>
                <w:vertAlign w:val="baseline"/>
                <w:lang w:eastAsia="zh-CN"/>
              </w:rPr>
              <w:t>市级文物保护单位</w:t>
            </w:r>
          </w:p>
        </w:tc>
      </w:tr>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23" w:hRule="atLeast"/>
          <w:jc w:val="center"/>
        </w:trPr>
        <w:tc>
          <w:tcPr>
            <w:tcW w:w="461"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楷体" w:hAnsi="楷体" w:eastAsia="楷体" w:cs="楷体"/>
                <w:b w:val="0"/>
                <w:bCs w:val="0"/>
                <w:kern w:val="2"/>
                <w:sz w:val="24"/>
                <w:szCs w:val="24"/>
                <w:vertAlign w:val="baseline"/>
                <w:lang w:val="en-US" w:eastAsia="zh-CN" w:bidi="ar-SA"/>
              </w:rPr>
            </w:pPr>
            <w:r>
              <w:rPr>
                <w:rFonts w:hint="eastAsia" w:ascii="楷体" w:hAnsi="楷体" w:eastAsia="楷体" w:cs="楷体"/>
                <w:b w:val="0"/>
                <w:bCs w:val="0"/>
                <w:sz w:val="24"/>
                <w:szCs w:val="24"/>
                <w:vertAlign w:val="baseline"/>
                <w:lang w:val="en-US" w:eastAsia="zh-CN"/>
              </w:rPr>
              <w:t>20</w:t>
            </w:r>
          </w:p>
        </w:tc>
        <w:tc>
          <w:tcPr>
            <w:tcW w:w="1612"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楷体" w:hAnsi="楷体" w:eastAsia="楷体" w:cs="楷体"/>
                <w:b w:val="0"/>
                <w:bCs w:val="0"/>
                <w:kern w:val="2"/>
                <w:sz w:val="24"/>
                <w:szCs w:val="24"/>
                <w:vertAlign w:val="baseline"/>
                <w:lang w:val="en-US" w:eastAsia="zh-CN" w:bidi="ar-SA"/>
              </w:rPr>
            </w:pPr>
            <w:r>
              <w:rPr>
                <w:rFonts w:hint="eastAsia" w:ascii="楷体" w:hAnsi="楷体" w:eastAsia="楷体" w:cs="楷体"/>
                <w:b w:val="0"/>
                <w:bCs w:val="0"/>
                <w:sz w:val="24"/>
                <w:szCs w:val="24"/>
                <w:vertAlign w:val="baseline"/>
                <w:lang w:val="en-US" w:eastAsia="zh-CN"/>
              </w:rPr>
              <w:t>何秉礼故居</w:t>
            </w:r>
          </w:p>
        </w:tc>
        <w:tc>
          <w:tcPr>
            <w:tcW w:w="4836"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textAlignment w:val="auto"/>
              <w:rPr>
                <w:rFonts w:hint="eastAsia" w:ascii="楷体" w:hAnsi="楷体" w:eastAsia="楷体" w:cs="楷体"/>
                <w:b w:val="0"/>
                <w:bCs w:val="0"/>
                <w:kern w:val="2"/>
                <w:sz w:val="24"/>
                <w:szCs w:val="24"/>
                <w:vertAlign w:val="baseline"/>
                <w:lang w:val="en-US" w:eastAsia="zh-CN" w:bidi="ar-SA"/>
              </w:rPr>
            </w:pPr>
            <w:r>
              <w:rPr>
                <w:rFonts w:hint="eastAsia" w:ascii="楷体" w:hAnsi="楷体" w:eastAsia="楷体" w:cs="楷体"/>
                <w:b w:val="0"/>
                <w:bCs w:val="0"/>
                <w:sz w:val="24"/>
                <w:szCs w:val="24"/>
                <w:vertAlign w:val="baseline"/>
              </w:rPr>
              <w:t>现存建筑为清初所建</w:t>
            </w:r>
            <w:r>
              <w:rPr>
                <w:rFonts w:hint="eastAsia" w:ascii="楷体" w:hAnsi="楷体" w:eastAsia="楷体" w:cs="楷体"/>
                <w:b w:val="0"/>
                <w:bCs w:val="0"/>
                <w:sz w:val="24"/>
                <w:szCs w:val="24"/>
                <w:vertAlign w:val="baseline"/>
                <w:lang w:eastAsia="zh-CN"/>
              </w:rPr>
              <w:t>。</w:t>
            </w:r>
          </w:p>
        </w:tc>
        <w:tc>
          <w:tcPr>
            <w:tcW w:w="1613"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textAlignment w:val="auto"/>
              <w:rPr>
                <w:rFonts w:hint="eastAsia" w:ascii="楷体" w:hAnsi="楷体" w:eastAsia="楷体" w:cs="楷体"/>
                <w:b w:val="0"/>
                <w:bCs w:val="0"/>
                <w:sz w:val="24"/>
                <w:szCs w:val="24"/>
                <w:vertAlign w:val="baseline"/>
              </w:rPr>
            </w:pPr>
            <w:r>
              <w:rPr>
                <w:rFonts w:hint="eastAsia" w:ascii="楷体" w:hAnsi="楷体" w:eastAsia="楷体" w:cs="楷体"/>
                <w:b w:val="0"/>
                <w:bCs w:val="0"/>
                <w:sz w:val="24"/>
                <w:szCs w:val="24"/>
                <w:vertAlign w:val="baseline"/>
                <w:lang w:eastAsia="zh-CN"/>
              </w:rPr>
              <w:t>市级文物保护单位</w:t>
            </w:r>
          </w:p>
        </w:tc>
      </w:tr>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23" w:hRule="atLeast"/>
          <w:jc w:val="center"/>
        </w:trPr>
        <w:tc>
          <w:tcPr>
            <w:tcW w:w="461"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楷体" w:hAnsi="楷体" w:eastAsia="楷体" w:cs="楷体"/>
                <w:b w:val="0"/>
                <w:bCs w:val="0"/>
                <w:kern w:val="2"/>
                <w:sz w:val="24"/>
                <w:szCs w:val="24"/>
                <w:vertAlign w:val="baseline"/>
                <w:lang w:val="en-US" w:eastAsia="zh-CN" w:bidi="ar-SA"/>
              </w:rPr>
            </w:pPr>
            <w:r>
              <w:rPr>
                <w:rFonts w:hint="eastAsia" w:ascii="楷体" w:hAnsi="楷体" w:eastAsia="楷体" w:cs="楷体"/>
                <w:b w:val="0"/>
                <w:bCs w:val="0"/>
                <w:sz w:val="24"/>
                <w:szCs w:val="24"/>
                <w:vertAlign w:val="baseline"/>
                <w:lang w:val="en-US" w:eastAsia="zh-CN"/>
              </w:rPr>
              <w:t>21</w:t>
            </w:r>
          </w:p>
        </w:tc>
        <w:tc>
          <w:tcPr>
            <w:tcW w:w="1612"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楷体" w:hAnsi="楷体" w:eastAsia="楷体" w:cs="楷体"/>
                <w:b w:val="0"/>
                <w:bCs w:val="0"/>
                <w:kern w:val="2"/>
                <w:sz w:val="24"/>
                <w:szCs w:val="24"/>
                <w:vertAlign w:val="baseline"/>
                <w:lang w:val="en-US" w:eastAsia="zh-CN" w:bidi="ar-SA"/>
              </w:rPr>
            </w:pPr>
            <w:r>
              <w:rPr>
                <w:rFonts w:hint="eastAsia" w:ascii="楷体" w:hAnsi="楷体" w:eastAsia="楷体" w:cs="楷体"/>
                <w:b w:val="0"/>
                <w:bCs w:val="0"/>
                <w:sz w:val="24"/>
                <w:szCs w:val="24"/>
                <w:vertAlign w:val="baseline"/>
                <w:lang w:val="en-US" w:eastAsia="zh-CN"/>
              </w:rPr>
              <w:t>崖城古民居建筑群</w:t>
            </w:r>
          </w:p>
        </w:tc>
        <w:tc>
          <w:tcPr>
            <w:tcW w:w="4836"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textAlignment w:val="auto"/>
              <w:rPr>
                <w:rFonts w:hint="eastAsia" w:ascii="楷体" w:hAnsi="楷体" w:eastAsia="楷体" w:cs="楷体"/>
                <w:b w:val="0"/>
                <w:bCs w:val="0"/>
                <w:kern w:val="2"/>
                <w:sz w:val="24"/>
                <w:szCs w:val="24"/>
                <w:vertAlign w:val="baseline"/>
                <w:lang w:val="en-US" w:eastAsia="zh-CN" w:bidi="ar-SA"/>
              </w:rPr>
            </w:pPr>
            <w:r>
              <w:rPr>
                <w:rFonts w:hint="eastAsia" w:ascii="楷体" w:hAnsi="楷体" w:eastAsia="楷体" w:cs="楷体"/>
                <w:b w:val="0"/>
                <w:bCs w:val="0"/>
                <w:sz w:val="24"/>
                <w:szCs w:val="24"/>
                <w:vertAlign w:val="baseline"/>
              </w:rPr>
              <w:t>以学宫为中心的城东区、城中区、城西区，约140户，建筑面积2万多平方米</w:t>
            </w:r>
            <w:r>
              <w:rPr>
                <w:rFonts w:hint="eastAsia" w:ascii="楷体" w:hAnsi="楷体" w:eastAsia="楷体" w:cs="楷体"/>
                <w:b w:val="0"/>
                <w:bCs w:val="0"/>
                <w:sz w:val="24"/>
                <w:szCs w:val="24"/>
                <w:vertAlign w:val="baseline"/>
                <w:lang w:eastAsia="zh-CN"/>
              </w:rPr>
              <w:t>，包括公共建筑和住宅两大类。</w:t>
            </w:r>
          </w:p>
        </w:tc>
        <w:tc>
          <w:tcPr>
            <w:tcW w:w="1613"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textAlignment w:val="auto"/>
              <w:rPr>
                <w:rFonts w:hint="eastAsia" w:ascii="楷体" w:hAnsi="楷体" w:eastAsia="楷体" w:cs="楷体"/>
                <w:b w:val="0"/>
                <w:bCs w:val="0"/>
                <w:sz w:val="24"/>
                <w:szCs w:val="24"/>
                <w:vertAlign w:val="baseline"/>
              </w:rPr>
            </w:pPr>
            <w:r>
              <w:rPr>
                <w:rFonts w:hint="eastAsia" w:ascii="楷体" w:hAnsi="楷体" w:eastAsia="楷体" w:cs="楷体"/>
                <w:b w:val="0"/>
                <w:bCs w:val="0"/>
                <w:sz w:val="24"/>
                <w:szCs w:val="24"/>
                <w:vertAlign w:val="baseline"/>
                <w:lang w:eastAsia="zh-CN"/>
              </w:rPr>
              <w:t>市级文物保护单位</w:t>
            </w:r>
          </w:p>
        </w:tc>
      </w:tr>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23" w:hRule="atLeast"/>
          <w:jc w:val="center"/>
        </w:trPr>
        <w:tc>
          <w:tcPr>
            <w:tcW w:w="461"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楷体" w:hAnsi="楷体" w:eastAsia="楷体" w:cs="楷体"/>
                <w:b w:val="0"/>
                <w:bCs w:val="0"/>
                <w:kern w:val="2"/>
                <w:sz w:val="24"/>
                <w:szCs w:val="24"/>
                <w:vertAlign w:val="baseline"/>
                <w:lang w:val="en-US" w:eastAsia="zh-CN" w:bidi="ar-SA"/>
              </w:rPr>
            </w:pPr>
            <w:r>
              <w:rPr>
                <w:rFonts w:hint="eastAsia" w:ascii="楷体" w:hAnsi="楷体" w:eastAsia="楷体" w:cs="楷体"/>
                <w:b w:val="0"/>
                <w:bCs w:val="0"/>
                <w:sz w:val="24"/>
                <w:szCs w:val="24"/>
                <w:vertAlign w:val="baseline"/>
                <w:lang w:val="en-US" w:eastAsia="zh-CN"/>
              </w:rPr>
              <w:t>22</w:t>
            </w:r>
          </w:p>
        </w:tc>
        <w:tc>
          <w:tcPr>
            <w:tcW w:w="1612"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楷体" w:hAnsi="楷体" w:eastAsia="楷体" w:cs="楷体"/>
                <w:b w:val="0"/>
                <w:bCs w:val="0"/>
                <w:kern w:val="2"/>
                <w:sz w:val="24"/>
                <w:szCs w:val="24"/>
                <w:vertAlign w:val="baseline"/>
                <w:lang w:val="en-US" w:eastAsia="zh-CN" w:bidi="ar-SA"/>
              </w:rPr>
            </w:pPr>
            <w:r>
              <w:rPr>
                <w:rFonts w:hint="eastAsia" w:ascii="楷体" w:hAnsi="楷体" w:eastAsia="楷体" w:cs="楷体"/>
                <w:b w:val="0"/>
                <w:bCs w:val="0"/>
                <w:sz w:val="24"/>
                <w:szCs w:val="24"/>
                <w:vertAlign w:val="baseline"/>
                <w:lang w:val="en-US" w:eastAsia="zh-CN"/>
              </w:rPr>
              <w:t>“三姓义学”堂</w:t>
            </w:r>
          </w:p>
        </w:tc>
        <w:tc>
          <w:tcPr>
            <w:tcW w:w="4836"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textAlignment w:val="auto"/>
              <w:rPr>
                <w:rFonts w:hint="eastAsia" w:ascii="楷体" w:hAnsi="楷体" w:eastAsia="楷体" w:cs="楷体"/>
                <w:b w:val="0"/>
                <w:bCs w:val="0"/>
                <w:kern w:val="2"/>
                <w:sz w:val="24"/>
                <w:szCs w:val="24"/>
                <w:vertAlign w:val="baseline"/>
                <w:lang w:val="en-US" w:eastAsia="zh-CN" w:bidi="ar-SA"/>
              </w:rPr>
            </w:pPr>
            <w:r>
              <w:rPr>
                <w:rFonts w:hint="eastAsia" w:ascii="楷体" w:hAnsi="楷体" w:eastAsia="楷体" w:cs="楷体"/>
                <w:b w:val="0"/>
                <w:bCs w:val="0"/>
                <w:sz w:val="24"/>
                <w:szCs w:val="24"/>
                <w:vertAlign w:val="baseline"/>
              </w:rPr>
              <w:t>清光绪十二年（1886）崖城起晨坊尹、卢、林三姓为其子弟授学集资而建</w:t>
            </w:r>
            <w:r>
              <w:rPr>
                <w:rFonts w:hint="eastAsia" w:ascii="楷体" w:hAnsi="楷体" w:eastAsia="楷体" w:cs="楷体"/>
                <w:b w:val="0"/>
                <w:bCs w:val="0"/>
                <w:sz w:val="24"/>
                <w:szCs w:val="24"/>
                <w:vertAlign w:val="baseline"/>
                <w:lang w:eastAsia="zh-CN"/>
              </w:rPr>
              <w:t>。</w:t>
            </w:r>
          </w:p>
        </w:tc>
        <w:tc>
          <w:tcPr>
            <w:tcW w:w="1613"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textAlignment w:val="auto"/>
              <w:rPr>
                <w:rFonts w:hint="eastAsia" w:ascii="楷体" w:hAnsi="楷体" w:eastAsia="楷体" w:cs="楷体"/>
                <w:b w:val="0"/>
                <w:bCs w:val="0"/>
                <w:sz w:val="24"/>
                <w:szCs w:val="24"/>
                <w:vertAlign w:val="baseline"/>
              </w:rPr>
            </w:pPr>
            <w:r>
              <w:rPr>
                <w:rFonts w:hint="eastAsia" w:ascii="楷体" w:hAnsi="楷体" w:eastAsia="楷体" w:cs="楷体"/>
                <w:b w:val="0"/>
                <w:bCs w:val="0"/>
                <w:sz w:val="24"/>
                <w:szCs w:val="24"/>
                <w:vertAlign w:val="baseline"/>
                <w:lang w:eastAsia="zh-CN"/>
              </w:rPr>
              <w:t>市级文物保护单位</w:t>
            </w:r>
          </w:p>
        </w:tc>
      </w:tr>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23" w:hRule="atLeast"/>
          <w:jc w:val="center"/>
        </w:trPr>
        <w:tc>
          <w:tcPr>
            <w:tcW w:w="461"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楷体" w:hAnsi="楷体" w:eastAsia="楷体" w:cs="楷体"/>
                <w:b w:val="0"/>
                <w:bCs w:val="0"/>
                <w:kern w:val="2"/>
                <w:sz w:val="24"/>
                <w:szCs w:val="24"/>
                <w:vertAlign w:val="baseline"/>
                <w:lang w:val="en-US" w:eastAsia="zh-CN" w:bidi="ar-SA"/>
              </w:rPr>
            </w:pPr>
            <w:r>
              <w:rPr>
                <w:rFonts w:hint="eastAsia" w:ascii="楷体" w:hAnsi="楷体" w:eastAsia="楷体" w:cs="楷体"/>
                <w:b w:val="0"/>
                <w:bCs w:val="0"/>
                <w:sz w:val="24"/>
                <w:szCs w:val="24"/>
                <w:vertAlign w:val="baseline"/>
                <w:lang w:val="en-US" w:eastAsia="zh-CN"/>
              </w:rPr>
              <w:t>23</w:t>
            </w:r>
          </w:p>
        </w:tc>
        <w:tc>
          <w:tcPr>
            <w:tcW w:w="1612"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楷体" w:hAnsi="楷体" w:eastAsia="楷体" w:cs="楷体"/>
                <w:b w:val="0"/>
                <w:bCs w:val="0"/>
                <w:kern w:val="2"/>
                <w:sz w:val="24"/>
                <w:szCs w:val="24"/>
                <w:vertAlign w:val="baseline"/>
                <w:lang w:val="en-US" w:eastAsia="zh-CN" w:bidi="ar-SA"/>
              </w:rPr>
            </w:pPr>
            <w:r>
              <w:rPr>
                <w:rFonts w:hint="eastAsia" w:ascii="楷体" w:hAnsi="楷体" w:eastAsia="楷体" w:cs="楷体"/>
                <w:b w:val="0"/>
                <w:bCs w:val="0"/>
                <w:sz w:val="24"/>
                <w:szCs w:val="24"/>
                <w:vertAlign w:val="baseline"/>
                <w:lang w:val="en-US" w:eastAsia="zh-CN"/>
              </w:rPr>
              <w:t>万代桥</w:t>
            </w:r>
          </w:p>
        </w:tc>
        <w:tc>
          <w:tcPr>
            <w:tcW w:w="4836"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textAlignment w:val="auto"/>
              <w:rPr>
                <w:rFonts w:hint="eastAsia" w:ascii="楷体" w:hAnsi="楷体" w:eastAsia="楷体" w:cs="楷体"/>
                <w:b w:val="0"/>
                <w:bCs w:val="0"/>
                <w:kern w:val="2"/>
                <w:sz w:val="24"/>
                <w:szCs w:val="24"/>
                <w:vertAlign w:val="baseline"/>
                <w:lang w:val="en-US" w:eastAsia="zh-CN" w:bidi="ar-SA"/>
              </w:rPr>
            </w:pPr>
            <w:r>
              <w:rPr>
                <w:rFonts w:hint="eastAsia" w:ascii="楷体" w:hAnsi="楷体" w:eastAsia="楷体" w:cs="楷体"/>
                <w:b w:val="0"/>
                <w:bCs w:val="0"/>
                <w:sz w:val="24"/>
                <w:szCs w:val="24"/>
                <w:vertAlign w:val="baseline"/>
              </w:rPr>
              <w:t>日军入侵海南岛初期，奴役中国劳工而建的一座钢筋混凝土公路桥</w:t>
            </w:r>
            <w:r>
              <w:rPr>
                <w:rFonts w:hint="eastAsia" w:ascii="楷体" w:hAnsi="楷体" w:eastAsia="楷体" w:cs="楷体"/>
                <w:b w:val="0"/>
                <w:bCs w:val="0"/>
                <w:sz w:val="24"/>
                <w:szCs w:val="24"/>
                <w:vertAlign w:val="baseline"/>
                <w:lang w:eastAsia="zh-CN"/>
              </w:rPr>
              <w:t>。</w:t>
            </w:r>
          </w:p>
        </w:tc>
        <w:tc>
          <w:tcPr>
            <w:tcW w:w="1613"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textAlignment w:val="auto"/>
              <w:rPr>
                <w:rFonts w:hint="eastAsia" w:ascii="楷体" w:hAnsi="楷体" w:eastAsia="楷体" w:cs="楷体"/>
                <w:b w:val="0"/>
                <w:bCs w:val="0"/>
                <w:sz w:val="24"/>
                <w:szCs w:val="24"/>
                <w:vertAlign w:val="baseline"/>
              </w:rPr>
            </w:pPr>
            <w:r>
              <w:rPr>
                <w:rFonts w:hint="eastAsia" w:ascii="楷体" w:hAnsi="楷体" w:eastAsia="楷体" w:cs="楷体"/>
                <w:b w:val="0"/>
                <w:bCs w:val="0"/>
                <w:sz w:val="24"/>
                <w:szCs w:val="24"/>
                <w:vertAlign w:val="baseline"/>
                <w:lang w:eastAsia="zh-CN"/>
              </w:rPr>
              <w:t>市级文物保护单位</w:t>
            </w:r>
          </w:p>
        </w:tc>
      </w:tr>
    </w:tbl>
    <w:p>
      <w:pPr>
        <w:pStyle w:val="5"/>
        <w:numPr>
          <w:ilvl w:val="0"/>
          <w:numId w:val="38"/>
        </w:numPr>
        <w:bidi w:val="0"/>
        <w:rPr>
          <w:rFonts w:hint="eastAsia"/>
          <w:lang w:val="en-US" w:eastAsia="zh-CN"/>
        </w:rPr>
      </w:pPr>
      <w:bookmarkStart w:id="422" w:name="_Toc3403"/>
      <w:bookmarkStart w:id="423" w:name="_Toc1010"/>
      <w:bookmarkStart w:id="424" w:name="_Toc28377"/>
      <w:r>
        <w:rPr>
          <w:rFonts w:hint="eastAsia"/>
          <w:lang w:val="en-US" w:eastAsia="zh-CN"/>
        </w:rPr>
        <w:t>多数游客南山和洞天“一日游”，未形成完整体系</w:t>
      </w:r>
      <w:bookmarkEnd w:id="422"/>
      <w:bookmarkEnd w:id="423"/>
      <w:bookmarkEnd w:id="424"/>
    </w:p>
    <w:p>
      <w:pPr>
        <w:rPr>
          <w:rFonts w:hint="eastAsia" w:ascii="仿宋_GB2312" w:eastAsia="仿宋_GB2312"/>
          <w:lang w:val="en-US" w:eastAsia="zh-CN"/>
        </w:rPr>
      </w:pPr>
      <w:r>
        <w:rPr>
          <w:rFonts w:hint="default"/>
          <w:lang w:val="en-US" w:eastAsia="zh-CN"/>
        </w:rPr>
        <w:t>崖州历史悠久，旅游资源类型丰富，物质文化遗产众多，但分布较为分散</w:t>
      </w:r>
      <w:r>
        <w:rPr>
          <w:rFonts w:hint="eastAsia" w:ascii="仿宋_GB2312" w:eastAsia="仿宋_GB2312"/>
          <w:lang w:val="en-US" w:eastAsia="zh-CN"/>
        </w:rPr>
        <w:t>，指示系统不健全</w:t>
      </w:r>
      <w:r>
        <w:rPr>
          <w:rFonts w:hint="default"/>
          <w:lang w:val="en-US" w:eastAsia="zh-CN"/>
        </w:rPr>
        <w:t>，开发参差不齐，交通联系不畅</w:t>
      </w:r>
      <w:r>
        <w:rPr>
          <w:rFonts w:hint="eastAsia" w:ascii="仿宋_GB2312" w:eastAsia="仿宋_GB2312"/>
          <w:lang w:val="en-US" w:eastAsia="zh-CN"/>
        </w:rPr>
        <w:t>，</w:t>
      </w:r>
      <w:r>
        <w:rPr>
          <w:rFonts w:hint="eastAsia"/>
          <w:lang w:val="en-US" w:eastAsia="zh-CN"/>
        </w:rPr>
        <w:t>少有</w:t>
      </w:r>
      <w:r>
        <w:rPr>
          <w:rFonts w:hint="eastAsia" w:ascii="仿宋_GB2312" w:eastAsia="仿宋_GB2312"/>
          <w:lang w:val="en-US" w:eastAsia="zh-CN"/>
        </w:rPr>
        <w:t>成熟经典的观光路线</w:t>
      </w:r>
      <w:r>
        <w:rPr>
          <w:rFonts w:hint="default"/>
          <w:lang w:val="en-US" w:eastAsia="zh-CN"/>
        </w:rPr>
        <w:t>，不利于游客</w:t>
      </w:r>
      <w:r>
        <w:rPr>
          <w:rFonts w:hint="eastAsia" w:ascii="仿宋_GB2312" w:eastAsia="仿宋_GB2312"/>
          <w:lang w:val="en-US" w:eastAsia="zh-CN"/>
        </w:rPr>
        <w:t>驻留和</w:t>
      </w:r>
      <w:r>
        <w:rPr>
          <w:rFonts w:hint="default"/>
          <w:lang w:val="en-US" w:eastAsia="zh-CN"/>
        </w:rPr>
        <w:t>消费</w:t>
      </w:r>
      <w:r>
        <w:rPr>
          <w:rFonts w:hint="eastAsia" w:ascii="仿宋_GB2312" w:eastAsia="仿宋_GB2312"/>
          <w:lang w:val="en-US" w:eastAsia="zh-CN"/>
        </w:rPr>
        <w:t>。多数</w:t>
      </w:r>
      <w:r>
        <w:rPr>
          <w:rFonts w:hint="default"/>
          <w:lang w:val="en-US" w:eastAsia="zh-CN"/>
        </w:rPr>
        <w:t>游客通过高铁开展</w:t>
      </w:r>
      <w:r>
        <w:rPr>
          <w:rFonts w:hint="eastAsia" w:ascii="仿宋_GB2312" w:eastAsia="仿宋_GB2312"/>
          <w:lang w:val="en-US" w:eastAsia="zh-CN"/>
        </w:rPr>
        <w:t>崖州</w:t>
      </w:r>
      <w:r>
        <w:rPr>
          <w:rFonts w:hint="default"/>
          <w:lang w:val="en-US" w:eastAsia="zh-CN"/>
        </w:rPr>
        <w:t>“一日游”活动</w:t>
      </w:r>
      <w:r>
        <w:rPr>
          <w:rFonts w:hint="eastAsia" w:ascii="仿宋_GB2312" w:eastAsia="仿宋_GB2312"/>
          <w:lang w:val="en-US" w:eastAsia="zh-CN"/>
        </w:rPr>
        <w:t>，以崖州古城和就近周边历史文化景点为主，导致</w:t>
      </w:r>
      <w:r>
        <w:rPr>
          <w:rFonts w:hint="default"/>
          <w:lang w:val="en-US" w:eastAsia="zh-CN"/>
        </w:rPr>
        <w:t>游客</w:t>
      </w:r>
      <w:r>
        <w:rPr>
          <w:rFonts w:hint="default"/>
          <w:b/>
          <w:bCs/>
          <w:lang w:val="en-US" w:eastAsia="zh-CN"/>
        </w:rPr>
        <w:t>逗留时间短</w:t>
      </w:r>
      <w:r>
        <w:rPr>
          <w:rFonts w:hint="eastAsia" w:ascii="仿宋_GB2312" w:eastAsia="仿宋_GB2312"/>
          <w:b/>
          <w:bCs/>
          <w:lang w:val="en-US" w:eastAsia="zh-CN"/>
        </w:rPr>
        <w:t>、体验不佳、动线不合理、</w:t>
      </w:r>
      <w:r>
        <w:rPr>
          <w:rFonts w:hint="eastAsia"/>
          <w:b/>
          <w:bCs/>
          <w:lang w:val="en-US" w:eastAsia="zh-CN"/>
        </w:rPr>
        <w:t>满意度不高、</w:t>
      </w:r>
      <w:r>
        <w:rPr>
          <w:rFonts w:hint="eastAsia" w:ascii="仿宋_GB2312" w:eastAsia="仿宋_GB2312"/>
          <w:b/>
          <w:bCs/>
          <w:lang w:val="en-US" w:eastAsia="zh-CN"/>
        </w:rPr>
        <w:t>重游率低</w:t>
      </w:r>
      <w:r>
        <w:rPr>
          <w:rFonts w:hint="eastAsia" w:ascii="仿宋_GB2312" w:eastAsia="仿宋_GB2312"/>
          <w:lang w:val="en-US" w:eastAsia="zh-CN"/>
        </w:rPr>
        <w:t>。</w:t>
      </w:r>
    </w:p>
    <w:p>
      <w:pPr>
        <w:rPr>
          <w:rFonts w:hint="eastAsia"/>
          <w:lang w:val="en-US" w:eastAsia="zh-CN"/>
        </w:rPr>
      </w:pPr>
      <w:r>
        <w:rPr>
          <w:rFonts w:hint="eastAsia" w:ascii="仿宋_GB2312" w:eastAsia="仿宋_GB2312"/>
          <w:lang w:val="en-US" w:eastAsia="zh-CN"/>
        </w:rPr>
        <w:t>崖州区内</w:t>
      </w:r>
      <w:r>
        <w:rPr>
          <w:rFonts w:hint="eastAsia"/>
          <w:lang w:val="en-US" w:eastAsia="zh-CN"/>
        </w:rPr>
        <w:t>主要</w:t>
      </w:r>
      <w:r>
        <w:rPr>
          <w:rFonts w:hint="eastAsia" w:ascii="仿宋_GB2312" w:eastAsia="仿宋_GB2312"/>
          <w:lang w:val="en-US" w:eastAsia="zh-CN"/>
        </w:rPr>
        <w:t>旅游目的地为南山文化旅游区和大小洞天风景区，两大景区是大部分来海南旅游的必经之地，客源以国内为主</w:t>
      </w:r>
      <w:r>
        <w:rPr>
          <w:rFonts w:hint="eastAsia"/>
          <w:lang w:val="en-US" w:eastAsia="zh-CN"/>
        </w:rPr>
        <w:t>、散客为主（团散比约为1比4）、中老年人为主</w:t>
      </w:r>
      <w:r>
        <w:rPr>
          <w:rFonts w:hint="eastAsia" w:ascii="仿宋_GB2312" w:eastAsia="仿宋_GB2312"/>
          <w:lang w:val="en-US" w:eastAsia="zh-CN"/>
        </w:rPr>
        <w:t>，以早出晚归</w:t>
      </w:r>
      <w:r>
        <w:rPr>
          <w:rFonts w:hint="eastAsia"/>
          <w:lang w:val="en-US" w:eastAsia="zh-CN"/>
        </w:rPr>
        <w:t>的</w:t>
      </w:r>
      <w:r>
        <w:rPr>
          <w:rFonts w:hint="eastAsia" w:ascii="仿宋_GB2312" w:eastAsia="仿宋_GB2312"/>
          <w:lang w:val="en-US" w:eastAsia="zh-CN"/>
        </w:rPr>
        <w:t>“一日游”</w:t>
      </w:r>
      <w:r>
        <w:rPr>
          <w:rFonts w:hint="eastAsia"/>
          <w:lang w:val="en-US" w:eastAsia="zh-CN"/>
        </w:rPr>
        <w:t>行程</w:t>
      </w:r>
      <w:r>
        <w:rPr>
          <w:rFonts w:hint="eastAsia" w:ascii="仿宋_GB2312" w:eastAsia="仿宋_GB2312"/>
          <w:lang w:val="en-US" w:eastAsia="zh-CN"/>
        </w:rPr>
        <w:t>为主，围绕佛教、道教及景区风景设施开展宗教文化方面的祈福、观光活动</w:t>
      </w:r>
      <w:r>
        <w:rPr>
          <w:rFonts w:hint="eastAsia"/>
          <w:lang w:val="en-US" w:eastAsia="zh-CN"/>
        </w:rPr>
        <w:t>。近年来大小洞天景区婚拍、旅拍特色产品发展较好，吸引较多年轻人进入。两大景区的</w:t>
      </w:r>
      <w:r>
        <w:rPr>
          <w:rFonts w:hint="eastAsia" w:ascii="仿宋_GB2312" w:eastAsia="仿宋_GB2312"/>
          <w:b w:val="0"/>
          <w:bCs w:val="0"/>
          <w:lang w:val="en-US" w:eastAsia="zh-CN"/>
        </w:rPr>
        <w:t>大部分游客行程结束后返回三亚城区，进一步向西进入崖州</w:t>
      </w:r>
      <w:r>
        <w:rPr>
          <w:rFonts w:hint="eastAsia" w:ascii="仿宋_GB2312" w:eastAsia="仿宋_GB2312"/>
          <w:lang w:val="en-US" w:eastAsia="zh-CN"/>
        </w:rPr>
        <w:t>的游客很少</w:t>
      </w:r>
      <w:r>
        <w:rPr>
          <w:rFonts w:hint="eastAsia"/>
          <w:lang w:val="en-US" w:eastAsia="zh-CN"/>
        </w:rPr>
        <w:t>，</w:t>
      </w:r>
      <w:r>
        <w:rPr>
          <w:rFonts w:hint="eastAsia" w:ascii="仿宋_GB2312" w:eastAsia="仿宋_GB2312"/>
          <w:lang w:val="en-US" w:eastAsia="zh-CN"/>
        </w:rPr>
        <w:t>景区与景区之间、景区与地区之间尚未形成互动和互补</w:t>
      </w:r>
      <w:r>
        <w:rPr>
          <w:rFonts w:hint="eastAsia"/>
          <w:lang w:val="en-US" w:eastAsia="zh-CN"/>
        </w:rPr>
        <w:t>。</w:t>
      </w:r>
    </w:p>
    <w:p>
      <w:pPr>
        <w:pStyle w:val="5"/>
        <w:numPr>
          <w:ilvl w:val="0"/>
          <w:numId w:val="38"/>
        </w:numPr>
        <w:bidi w:val="0"/>
        <w:rPr>
          <w:rFonts w:hint="eastAsia"/>
          <w:lang w:val="en-US" w:eastAsia="zh-CN"/>
        </w:rPr>
      </w:pPr>
      <w:bookmarkStart w:id="425" w:name="_Toc28339"/>
      <w:bookmarkStart w:id="426" w:name="_Toc27600"/>
      <w:bookmarkStart w:id="427" w:name="_Toc2092"/>
      <w:r>
        <w:rPr>
          <w:rFonts w:hint="eastAsia"/>
          <w:lang w:val="en-US" w:eastAsia="zh-CN"/>
        </w:rPr>
        <w:t>“古韵崖州”需丰富内涵形象，增加亲近感带入感</w:t>
      </w:r>
      <w:bookmarkEnd w:id="425"/>
      <w:bookmarkEnd w:id="426"/>
      <w:bookmarkEnd w:id="427"/>
    </w:p>
    <w:p>
      <w:pPr>
        <w:rPr>
          <w:rFonts w:hint="eastAsia" w:ascii="仿宋_GB2312" w:eastAsia="仿宋_GB2312"/>
          <w:lang w:val="en-US" w:eastAsia="zh-CN"/>
        </w:rPr>
      </w:pPr>
      <w:r>
        <w:rPr>
          <w:rFonts w:hint="eastAsia" w:ascii="仿宋_GB2312" w:eastAsia="仿宋_GB2312"/>
          <w:lang w:val="en-US" w:eastAsia="zh-CN"/>
        </w:rPr>
        <w:t>一个旅游区域一定要有清晰可人的形象IP</w:t>
      </w:r>
      <w:r>
        <w:rPr>
          <w:rStyle w:val="27"/>
          <w:rFonts w:hint="eastAsia" w:ascii="Times New Roman" w:hAnsi="Times New Roman" w:eastAsia="宋体" w:cs="Times New Roman"/>
          <w:lang w:val="en-US" w:eastAsia="zh-CN"/>
        </w:rPr>
        <w:footnoteReference w:id="2"/>
      </w:r>
      <w:r>
        <w:rPr>
          <w:rFonts w:hint="eastAsia" w:ascii="仿宋_GB2312" w:eastAsia="仿宋_GB2312"/>
          <w:lang w:val="en-US" w:eastAsia="zh-CN"/>
        </w:rPr>
        <w:t>，代表区域典型特征</w:t>
      </w:r>
      <w:r>
        <w:rPr>
          <w:rFonts w:hint="eastAsia"/>
          <w:lang w:val="en-US" w:eastAsia="zh-CN"/>
        </w:rPr>
        <w:t>、</w:t>
      </w:r>
      <w:r>
        <w:rPr>
          <w:rFonts w:hint="eastAsia" w:ascii="仿宋_GB2312" w:eastAsia="仿宋_GB2312"/>
          <w:lang w:val="en-US" w:eastAsia="zh-CN"/>
        </w:rPr>
        <w:t>符合普世审美</w:t>
      </w:r>
      <w:r>
        <w:rPr>
          <w:rFonts w:hint="eastAsia"/>
          <w:lang w:val="en-US" w:eastAsia="zh-CN"/>
        </w:rPr>
        <w:t>、蕴含</w:t>
      </w:r>
      <w:r>
        <w:rPr>
          <w:rFonts w:hint="eastAsia" w:ascii="仿宋_GB2312" w:eastAsia="仿宋_GB2312"/>
          <w:lang w:val="en-US" w:eastAsia="zh-CN"/>
        </w:rPr>
        <w:t>动人故事，比如厦门鼓浪屿、重庆洪崖洞、台北士林夜市、东京筑地市场。“古韵崖州”形象</w:t>
      </w:r>
      <w:r>
        <w:rPr>
          <w:rFonts w:hint="eastAsia"/>
          <w:lang w:val="en-US" w:eastAsia="zh-CN"/>
        </w:rPr>
        <w:t>较好概括了</w:t>
      </w:r>
      <w:r>
        <w:rPr>
          <w:rFonts w:hint="eastAsia" w:ascii="仿宋_GB2312" w:eastAsia="仿宋_GB2312"/>
          <w:lang w:val="en-US" w:eastAsia="zh-CN"/>
        </w:rPr>
        <w:t>崖州</w:t>
      </w:r>
      <w:r>
        <w:rPr>
          <w:rFonts w:hint="eastAsia"/>
          <w:lang w:val="en-US" w:eastAsia="zh-CN"/>
        </w:rPr>
        <w:t>特点，具有历史感、</w:t>
      </w:r>
      <w:r>
        <w:rPr>
          <w:rFonts w:hint="eastAsia" w:ascii="仿宋_GB2312" w:eastAsia="仿宋_GB2312"/>
          <w:lang w:val="en-US" w:eastAsia="zh-CN"/>
        </w:rPr>
        <w:t>文化</w:t>
      </w:r>
      <w:r>
        <w:rPr>
          <w:rFonts w:hint="eastAsia"/>
          <w:lang w:val="en-US" w:eastAsia="zh-CN"/>
        </w:rPr>
        <w:t>感、</w:t>
      </w:r>
      <w:r>
        <w:rPr>
          <w:rFonts w:hint="eastAsia" w:ascii="仿宋_GB2312" w:eastAsia="仿宋_GB2312"/>
          <w:lang w:val="en-US" w:eastAsia="zh-CN"/>
        </w:rPr>
        <w:t>厚重感，但亲近感、带入感、现代感</w:t>
      </w:r>
      <w:r>
        <w:rPr>
          <w:rFonts w:hint="eastAsia"/>
          <w:lang w:val="en-US" w:eastAsia="zh-CN"/>
        </w:rPr>
        <w:t>不强</w:t>
      </w:r>
      <w:r>
        <w:rPr>
          <w:rFonts w:hint="eastAsia" w:ascii="仿宋_GB2312" w:eastAsia="仿宋_GB2312"/>
          <w:lang w:val="en-US" w:eastAsia="zh-CN"/>
        </w:rPr>
        <w:t>，需要</w:t>
      </w:r>
      <w:r>
        <w:rPr>
          <w:rFonts w:hint="eastAsia"/>
          <w:lang w:val="en-US" w:eastAsia="zh-CN"/>
        </w:rPr>
        <w:t>赋予更</w:t>
      </w:r>
      <w:r>
        <w:rPr>
          <w:rFonts w:hint="eastAsia" w:ascii="仿宋_GB2312" w:eastAsia="仿宋_GB2312"/>
          <w:lang w:val="en-US" w:eastAsia="zh-CN"/>
        </w:rPr>
        <w:t>年轻</w:t>
      </w:r>
      <w:r>
        <w:rPr>
          <w:rFonts w:hint="eastAsia"/>
          <w:lang w:val="en-US" w:eastAsia="zh-CN"/>
        </w:rPr>
        <w:t>的</w:t>
      </w:r>
      <w:r>
        <w:rPr>
          <w:rFonts w:hint="eastAsia" w:ascii="仿宋_GB2312" w:eastAsia="仿宋_GB2312"/>
          <w:lang w:val="en-US" w:eastAsia="zh-CN"/>
        </w:rPr>
        <w:t>解读。</w:t>
      </w:r>
    </w:p>
    <w:p>
      <w:pPr>
        <w:rPr>
          <w:rFonts w:hint="eastAsia" w:ascii="仿宋_GB2312" w:eastAsia="仿宋_GB2312"/>
          <w:lang w:val="en-US" w:eastAsia="zh-CN"/>
        </w:rPr>
      </w:pPr>
      <w:r>
        <w:rPr>
          <w:rFonts w:hint="eastAsia" w:ascii="仿宋_GB2312" w:eastAsia="仿宋_GB2312"/>
          <w:lang w:val="en-US" w:eastAsia="zh-CN"/>
        </w:rPr>
        <w:t>“古韵崖州”形象定位</w:t>
      </w:r>
      <w:r>
        <w:rPr>
          <w:rFonts w:hint="eastAsia"/>
          <w:lang w:val="en-US" w:eastAsia="zh-CN"/>
        </w:rPr>
        <w:t>的内涵拓展</w:t>
      </w:r>
      <w:r>
        <w:rPr>
          <w:rFonts w:hint="eastAsia" w:ascii="仿宋_GB2312" w:eastAsia="仿宋_GB2312"/>
          <w:lang w:val="en-US" w:eastAsia="zh-CN"/>
        </w:rPr>
        <w:t>应花分两支。</w:t>
      </w:r>
      <w:r>
        <w:rPr>
          <w:rFonts w:hint="eastAsia" w:ascii="仿宋_GB2312" w:eastAsia="仿宋_GB2312"/>
          <w:b/>
          <w:bCs/>
          <w:lang w:val="en-US" w:eastAsia="zh-CN"/>
        </w:rPr>
        <w:t>一支主打历史文化牌</w:t>
      </w:r>
      <w:r>
        <w:rPr>
          <w:rFonts w:hint="eastAsia" w:ascii="仿宋_GB2312" w:eastAsia="仿宋_GB2312"/>
          <w:lang w:val="en-US" w:eastAsia="zh-CN"/>
        </w:rPr>
        <w:t>，突出千年古城古韵，突出多民俗多民族多宗教多文化融合，突出南海文化传播和丝绸之路历史，这些IP具有历史性、国际性，产生于宏大历史背景之下，自带不同凡响的属性。</w:t>
      </w:r>
      <w:r>
        <w:rPr>
          <w:rFonts w:hint="eastAsia" w:ascii="仿宋_GB2312" w:eastAsia="仿宋_GB2312"/>
          <w:b/>
          <w:bCs/>
          <w:lang w:val="en-US" w:eastAsia="zh-CN"/>
        </w:rPr>
        <w:t>另一支主打年轻牌、体验牌</w:t>
      </w:r>
      <w:r>
        <w:rPr>
          <w:rFonts w:hint="eastAsia" w:ascii="仿宋_GB2312" w:eastAsia="仿宋_GB2312"/>
          <w:lang w:val="en-US" w:eastAsia="zh-CN"/>
        </w:rPr>
        <w:t>，体验消费大势所趋，重点</w:t>
      </w:r>
      <w:r>
        <w:rPr>
          <w:rFonts w:hint="eastAsia"/>
          <w:lang w:val="en-US" w:eastAsia="zh-CN"/>
        </w:rPr>
        <w:t>突出</w:t>
      </w:r>
      <w:r>
        <w:rPr>
          <w:rFonts w:hint="eastAsia" w:ascii="仿宋_GB2312" w:eastAsia="仿宋_GB2312"/>
          <w:lang w:val="en-US" w:eastAsia="zh-CN"/>
        </w:rPr>
        <w:t>主题乐园、</w:t>
      </w:r>
      <w:r>
        <w:rPr>
          <w:rFonts w:hint="eastAsia"/>
          <w:lang w:val="en-US" w:eastAsia="zh-CN"/>
        </w:rPr>
        <w:t>休闲农旅、</w:t>
      </w:r>
      <w:r>
        <w:rPr>
          <w:rFonts w:hint="eastAsia" w:ascii="仿宋_GB2312" w:eastAsia="仿宋_GB2312"/>
          <w:lang w:val="en-US" w:eastAsia="zh-CN"/>
        </w:rPr>
        <w:t>婚恋旅拍、沙滩运动、海钓</w:t>
      </w:r>
      <w:r>
        <w:rPr>
          <w:rFonts w:hint="eastAsia"/>
          <w:lang w:val="en-US" w:eastAsia="zh-CN"/>
        </w:rPr>
        <w:t>运动</w:t>
      </w:r>
      <w:r>
        <w:rPr>
          <w:rFonts w:hint="eastAsia" w:ascii="仿宋_GB2312" w:eastAsia="仿宋_GB2312"/>
          <w:lang w:val="en-US" w:eastAsia="zh-CN"/>
        </w:rPr>
        <w:t>、科技探秘、亲子研学等体验</w:t>
      </w:r>
      <w:r>
        <w:rPr>
          <w:rFonts w:hint="eastAsia"/>
          <w:lang w:val="en-US" w:eastAsia="zh-CN"/>
        </w:rPr>
        <w:t>性</w:t>
      </w:r>
      <w:r>
        <w:rPr>
          <w:rFonts w:hint="eastAsia" w:ascii="仿宋_GB2312" w:eastAsia="仿宋_GB2312"/>
          <w:lang w:val="en-US" w:eastAsia="zh-CN"/>
        </w:rPr>
        <w:t>、互动性、</w:t>
      </w:r>
      <w:r>
        <w:rPr>
          <w:rFonts w:hint="eastAsia"/>
          <w:lang w:val="en-US" w:eastAsia="zh-CN"/>
        </w:rPr>
        <w:t>社交性、</w:t>
      </w:r>
      <w:r>
        <w:rPr>
          <w:rFonts w:hint="eastAsia" w:ascii="仿宋_GB2312" w:eastAsia="仿宋_GB2312"/>
          <w:lang w:val="en-US" w:eastAsia="zh-CN"/>
        </w:rPr>
        <w:t>娱乐性</w:t>
      </w:r>
      <w:r>
        <w:rPr>
          <w:rFonts w:hint="eastAsia"/>
          <w:lang w:val="en-US" w:eastAsia="zh-CN"/>
        </w:rPr>
        <w:t>主题</w:t>
      </w:r>
      <w:r>
        <w:rPr>
          <w:rFonts w:hint="eastAsia" w:ascii="仿宋_GB2312" w:eastAsia="仿宋_GB2312"/>
          <w:lang w:val="en-US" w:eastAsia="zh-CN"/>
        </w:rPr>
        <w:t>，吸引消费者在崖州驻留、增加消费，特别是策划返程后的二次传递，以客带客。</w:t>
      </w:r>
    </w:p>
    <w:tbl>
      <w:tblPr>
        <w:tblStyle w:val="19"/>
        <w:tblW w:w="5000" w:type="pct"/>
        <w:tblInd w:w="0" w:type="dxa"/>
        <w:tblBorders>
          <w:top w:val="thinThickSmallGap" w:color="auto" w:sz="2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thinThickSmallGap" w:color="auto" w:sz="2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22" w:type="dxa"/>
            <w:tcBorders>
              <w:top w:val="thinThickSmallGap" w:color="A4A4A4" w:sz="12" w:space="0"/>
              <w:bottom w:val="thickThinSmallGap" w:color="A4A4A4" w:sz="12" w:space="0"/>
            </w:tcBorders>
            <w:vAlign w:val="top"/>
          </w:tcPr>
          <w:p>
            <w:pPr>
              <w:pStyle w:val="31"/>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b/>
                <w:bCs/>
                <w:sz w:val="24"/>
                <w:szCs w:val="24"/>
                <w:lang w:val="en-US" w:eastAsia="zh-CN"/>
              </w:rPr>
            </w:pPr>
            <w:r>
              <w:rPr>
                <w:rFonts w:hint="eastAsia"/>
                <w:b/>
                <w:bCs/>
                <w:sz w:val="24"/>
                <w:szCs w:val="24"/>
                <w:lang w:val="en-US" w:eastAsia="zh-CN"/>
              </w:rPr>
              <w:t>专栏19  海南全省文化旅游业发展普遍存在的不足</w:t>
            </w:r>
          </w:p>
          <w:p>
            <w:pPr>
              <w:pStyle w:val="3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b w:val="0"/>
                <w:bCs w:val="0"/>
                <w:sz w:val="24"/>
                <w:szCs w:val="24"/>
                <w:lang w:val="en-US" w:eastAsia="zh-CN"/>
              </w:rPr>
            </w:pPr>
            <w:r>
              <w:rPr>
                <w:rFonts w:hint="eastAsia"/>
                <w:b w:val="0"/>
                <w:bCs w:val="0"/>
                <w:sz w:val="24"/>
                <w:szCs w:val="24"/>
                <w:lang w:val="en-US" w:eastAsia="zh-CN"/>
              </w:rPr>
              <w:t>（1）布局分散，难以抱团发展。海南相对地广人稀，基础设施和公共服务可及性差，旅游业和文化产业普遍存在布局分散、“行长游短”等问题。市县各自为战，未形成完整的文化概念，旅游文化产业集聚优势难以有效充分发挥。例如红色旅游资源，全省共有超过100个红色旅游景点和爱国主义教育基地，但景区分散、规模偏小，景点文化和内涵提炼、融合不够，与区域特色结合不足。</w:t>
            </w:r>
          </w:p>
          <w:p>
            <w:pPr>
              <w:pStyle w:val="3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val="0"/>
                <w:bCs w:val="0"/>
                <w:sz w:val="24"/>
                <w:szCs w:val="24"/>
                <w:lang w:val="en-US" w:eastAsia="zh-CN"/>
              </w:rPr>
            </w:pPr>
            <w:r>
              <w:rPr>
                <w:rFonts w:hint="eastAsia"/>
                <w:b w:val="0"/>
                <w:bCs w:val="0"/>
                <w:sz w:val="24"/>
                <w:szCs w:val="24"/>
                <w:lang w:val="en-US" w:eastAsia="zh-CN"/>
              </w:rPr>
              <w:t>（2）融合不够，难以提高层次。海南文化和旅游融合的种类不多、产品单一，融合深度与广度均不足，限制了文旅融合的进程。文化创意、高科技元素在融合中的应用较少，产业链的纵向延伸不充分。旅游产品、工艺品、艺术作品表演等转化为文化产品的能力有限，缺乏具有竞争力及市场影响力的融合精品产品。例如“天涯海角”，景区名气很大，是游客必打卡之处，但旅游产品却非常单一，未能完成更新升级，也忽视了对周边旅游资源的有效整合和融合提升，使得游客兴趣点转移，景区吸引力减弱。</w:t>
            </w:r>
          </w:p>
          <w:p>
            <w:pPr>
              <w:pStyle w:val="3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b w:val="0"/>
                <w:bCs w:val="0"/>
                <w:sz w:val="24"/>
                <w:szCs w:val="24"/>
                <w:lang w:val="en-US" w:eastAsia="zh-CN"/>
              </w:rPr>
            </w:pPr>
            <w:r>
              <w:rPr>
                <w:rFonts w:hint="eastAsia"/>
                <w:b w:val="0"/>
                <w:bCs w:val="0"/>
                <w:sz w:val="24"/>
                <w:szCs w:val="24"/>
                <w:lang w:val="en-US" w:eastAsia="zh-CN"/>
              </w:rPr>
              <w:t>（3）</w:t>
            </w:r>
            <w:r>
              <w:rPr>
                <w:rFonts w:hint="default"/>
                <w:b w:val="0"/>
                <w:bCs w:val="0"/>
                <w:sz w:val="24"/>
                <w:szCs w:val="24"/>
                <w:lang w:val="en-US" w:eastAsia="zh-CN"/>
              </w:rPr>
              <w:t>品牌不响，难以提档增效</w:t>
            </w:r>
            <w:r>
              <w:rPr>
                <w:rFonts w:hint="eastAsia"/>
                <w:b w:val="0"/>
                <w:bCs w:val="0"/>
                <w:sz w:val="24"/>
                <w:szCs w:val="24"/>
                <w:lang w:val="en-US" w:eastAsia="zh-CN"/>
              </w:rPr>
              <w:t>。</w:t>
            </w:r>
            <w:r>
              <w:rPr>
                <w:rFonts w:hint="default"/>
                <w:b w:val="0"/>
                <w:bCs w:val="0"/>
                <w:sz w:val="24"/>
                <w:szCs w:val="24"/>
                <w:lang w:val="en-US" w:eastAsia="zh-CN"/>
              </w:rPr>
              <w:t>由于品牌挖掘起步晚，宣传营销力度小，宣传重点不突出，加上旅游景区建设不精、档次不高、模式雷同、文化内涵和地域特色不鲜明等问题普遍存在，具有市场竞争力和国内外影响力的文化旅游企业比较少，缺乏整合文化旅游资源的能力，还没有真正形成走得出、立得住、叫得响的旅游品牌。</w:t>
            </w:r>
          </w:p>
          <w:p>
            <w:pPr>
              <w:pStyle w:val="3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b w:val="0"/>
                <w:bCs w:val="0"/>
                <w:sz w:val="24"/>
                <w:szCs w:val="24"/>
                <w:lang w:val="en-US" w:eastAsia="zh-CN"/>
              </w:rPr>
            </w:pPr>
            <w:r>
              <w:rPr>
                <w:rFonts w:hint="eastAsia"/>
                <w:b w:val="0"/>
                <w:bCs w:val="0"/>
                <w:sz w:val="24"/>
                <w:szCs w:val="24"/>
                <w:lang w:val="en-US" w:eastAsia="zh-CN"/>
              </w:rPr>
              <w:t>（4）</w:t>
            </w:r>
            <w:r>
              <w:rPr>
                <w:rFonts w:hint="default"/>
                <w:b w:val="0"/>
                <w:bCs w:val="0"/>
                <w:sz w:val="24"/>
                <w:szCs w:val="24"/>
                <w:lang w:val="en-US" w:eastAsia="zh-CN"/>
              </w:rPr>
              <w:t>人才</w:t>
            </w:r>
            <w:r>
              <w:rPr>
                <w:rFonts w:hint="eastAsia"/>
                <w:b w:val="0"/>
                <w:bCs w:val="0"/>
                <w:sz w:val="24"/>
                <w:szCs w:val="24"/>
                <w:lang w:val="en-US" w:eastAsia="zh-CN"/>
              </w:rPr>
              <w:t>短缺</w:t>
            </w:r>
            <w:r>
              <w:rPr>
                <w:rFonts w:hint="default"/>
                <w:b w:val="0"/>
                <w:bCs w:val="0"/>
                <w:sz w:val="24"/>
                <w:szCs w:val="24"/>
                <w:lang w:val="en-US" w:eastAsia="zh-CN"/>
              </w:rPr>
              <w:t>，难以适应</w:t>
            </w:r>
            <w:r>
              <w:rPr>
                <w:rFonts w:hint="eastAsia"/>
                <w:b w:val="0"/>
                <w:bCs w:val="0"/>
                <w:sz w:val="24"/>
                <w:szCs w:val="24"/>
                <w:lang w:val="en-US" w:eastAsia="zh-CN"/>
              </w:rPr>
              <w:t>需要。海南</w:t>
            </w:r>
            <w:r>
              <w:rPr>
                <w:rFonts w:hint="default"/>
                <w:b w:val="0"/>
                <w:bCs w:val="0"/>
                <w:sz w:val="24"/>
                <w:szCs w:val="24"/>
                <w:lang w:val="en-US" w:eastAsia="zh-CN"/>
              </w:rPr>
              <w:t>旅游和文化产业从创意、策划，到文化旅游产品的研发、创作、传播和销售等各个环节都存在人才短缺、专业队伍素质不高等问题。缺乏高端复合型创意型人才、市场营销人才、高级管理型人才，致使人才短缺成为文化旅游产业融合发展的重要制约因素，致使文化旅游融合发展的内生动力不足。</w:t>
            </w:r>
          </w:p>
          <w:p>
            <w:pPr>
              <w:pStyle w:val="3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b w:val="0"/>
                <w:bCs w:val="0"/>
                <w:sz w:val="24"/>
                <w:szCs w:val="24"/>
                <w:lang w:val="en-US" w:eastAsia="zh-CN"/>
              </w:rPr>
            </w:pPr>
            <w:r>
              <w:rPr>
                <w:rFonts w:hint="eastAsia"/>
                <w:b w:val="0"/>
                <w:bCs w:val="0"/>
                <w:sz w:val="24"/>
                <w:szCs w:val="24"/>
                <w:lang w:val="en-US" w:eastAsia="zh-CN"/>
              </w:rPr>
              <w:t>（5）</w:t>
            </w:r>
            <w:r>
              <w:rPr>
                <w:rFonts w:hint="default"/>
                <w:b w:val="0"/>
                <w:bCs w:val="0"/>
                <w:sz w:val="24"/>
                <w:szCs w:val="24"/>
                <w:lang w:val="en-US" w:eastAsia="zh-CN"/>
              </w:rPr>
              <w:t>资金不足，投融资渠道单一</w:t>
            </w:r>
            <w:r>
              <w:rPr>
                <w:rFonts w:hint="eastAsia"/>
                <w:b w:val="0"/>
                <w:bCs w:val="0"/>
                <w:sz w:val="24"/>
                <w:szCs w:val="24"/>
                <w:lang w:val="en-US" w:eastAsia="zh-CN"/>
              </w:rPr>
              <w:t>。</w:t>
            </w:r>
            <w:r>
              <w:rPr>
                <w:rFonts w:hint="default"/>
                <w:b w:val="0"/>
                <w:bCs w:val="0"/>
                <w:sz w:val="24"/>
                <w:szCs w:val="24"/>
                <w:lang w:val="en-US" w:eastAsia="zh-CN"/>
              </w:rPr>
              <w:t>发掘文化旅游业价值，要以文化为底蕴，以历史文物景观及文化活动观光服务为核心，</w:t>
            </w:r>
            <w:r>
              <w:rPr>
                <w:rFonts w:hint="eastAsia"/>
                <w:b w:val="0"/>
                <w:bCs w:val="0"/>
                <w:sz w:val="24"/>
                <w:szCs w:val="24"/>
                <w:lang w:val="en-US" w:eastAsia="zh-CN"/>
              </w:rPr>
              <w:t>前期</w:t>
            </w:r>
            <w:r>
              <w:rPr>
                <w:rFonts w:hint="default"/>
                <w:b w:val="0"/>
                <w:bCs w:val="0"/>
                <w:sz w:val="24"/>
                <w:szCs w:val="24"/>
                <w:lang w:val="en-US" w:eastAsia="zh-CN"/>
              </w:rPr>
              <w:t>需要投入大量资金。</w:t>
            </w:r>
            <w:r>
              <w:rPr>
                <w:rFonts w:hint="eastAsia"/>
                <w:b w:val="0"/>
                <w:bCs w:val="0"/>
                <w:sz w:val="24"/>
                <w:szCs w:val="24"/>
                <w:lang w:val="en-US" w:eastAsia="zh-CN"/>
              </w:rPr>
              <w:t>随着房地产调控增强，文旅产业投资“金主”收缩战线。同时由于</w:t>
            </w:r>
            <w:r>
              <w:rPr>
                <w:rFonts w:hint="default"/>
                <w:b w:val="0"/>
                <w:bCs w:val="0"/>
                <w:sz w:val="24"/>
                <w:szCs w:val="24"/>
                <w:lang w:val="en-US" w:eastAsia="zh-CN"/>
              </w:rPr>
              <w:t>文旅企业“轻资产”的特点，面临“融资贵、融资难、融资慢”等问题</w:t>
            </w:r>
            <w:r>
              <w:rPr>
                <w:rFonts w:hint="eastAsia"/>
                <w:b w:val="0"/>
                <w:bCs w:val="0"/>
                <w:sz w:val="24"/>
                <w:szCs w:val="24"/>
                <w:lang w:val="en-US" w:eastAsia="zh-CN"/>
              </w:rPr>
              <w:t>。</w:t>
            </w:r>
            <w:r>
              <w:rPr>
                <w:rFonts w:hint="default"/>
                <w:b w:val="0"/>
                <w:bCs w:val="0"/>
                <w:sz w:val="24"/>
                <w:szCs w:val="24"/>
                <w:lang w:val="en-US" w:eastAsia="zh-CN"/>
              </w:rPr>
              <w:t>目前</w:t>
            </w:r>
            <w:r>
              <w:rPr>
                <w:rFonts w:hint="eastAsia"/>
                <w:b w:val="0"/>
                <w:bCs w:val="0"/>
                <w:sz w:val="24"/>
                <w:szCs w:val="24"/>
                <w:lang w:val="en-US" w:eastAsia="zh-CN"/>
              </w:rPr>
              <w:t>海南</w:t>
            </w:r>
            <w:r>
              <w:rPr>
                <w:rFonts w:hint="default"/>
                <w:b w:val="0"/>
                <w:bCs w:val="0"/>
                <w:sz w:val="24"/>
                <w:szCs w:val="24"/>
                <w:lang w:val="en-US" w:eastAsia="zh-CN"/>
              </w:rPr>
              <w:t>文旅发展</w:t>
            </w:r>
            <w:r>
              <w:rPr>
                <w:rFonts w:hint="eastAsia"/>
                <w:b w:val="0"/>
                <w:bCs w:val="0"/>
                <w:sz w:val="24"/>
                <w:szCs w:val="24"/>
                <w:lang w:val="en-US" w:eastAsia="zh-CN"/>
              </w:rPr>
              <w:t>投资以</w:t>
            </w:r>
            <w:r>
              <w:rPr>
                <w:rFonts w:hint="default"/>
                <w:b w:val="0"/>
                <w:bCs w:val="0"/>
                <w:sz w:val="24"/>
                <w:szCs w:val="24"/>
                <w:lang w:val="en-US" w:eastAsia="zh-CN"/>
              </w:rPr>
              <w:t>政府</w:t>
            </w:r>
            <w:r>
              <w:rPr>
                <w:rFonts w:hint="eastAsia"/>
                <w:b w:val="0"/>
                <w:bCs w:val="0"/>
                <w:sz w:val="24"/>
                <w:szCs w:val="24"/>
                <w:lang w:val="en-US" w:eastAsia="zh-CN"/>
              </w:rPr>
              <w:t>为主，企业</w:t>
            </w:r>
            <w:r>
              <w:rPr>
                <w:rFonts w:hint="default"/>
                <w:b w:val="0"/>
                <w:bCs w:val="0"/>
                <w:sz w:val="24"/>
                <w:szCs w:val="24"/>
                <w:lang w:val="en-US" w:eastAsia="zh-CN"/>
              </w:rPr>
              <w:t>融资渠道较为单一</w:t>
            </w:r>
            <w:r>
              <w:rPr>
                <w:rFonts w:hint="eastAsia"/>
                <w:b w:val="0"/>
                <w:bCs w:val="0"/>
                <w:sz w:val="24"/>
                <w:szCs w:val="24"/>
                <w:lang w:val="en-US" w:eastAsia="zh-CN"/>
              </w:rPr>
              <w:t>，</w:t>
            </w:r>
            <w:r>
              <w:rPr>
                <w:rFonts w:hint="default"/>
                <w:b w:val="0"/>
                <w:bCs w:val="0"/>
                <w:sz w:val="24"/>
                <w:szCs w:val="24"/>
                <w:lang w:val="en-US" w:eastAsia="zh-CN"/>
              </w:rPr>
              <w:t>资本市场</w:t>
            </w:r>
            <w:r>
              <w:rPr>
                <w:rFonts w:hint="eastAsia"/>
                <w:b w:val="0"/>
                <w:bCs w:val="0"/>
                <w:sz w:val="24"/>
                <w:szCs w:val="24"/>
                <w:lang w:val="en-US" w:eastAsia="zh-CN"/>
              </w:rPr>
              <w:t>鲜有涉及，</w:t>
            </w:r>
            <w:r>
              <w:rPr>
                <w:rFonts w:hint="default"/>
                <w:b w:val="0"/>
                <w:bCs w:val="0"/>
                <w:sz w:val="24"/>
                <w:szCs w:val="24"/>
                <w:lang w:val="en-US" w:eastAsia="zh-CN"/>
              </w:rPr>
              <w:t>制约了文旅业快速发展。</w:t>
            </w:r>
          </w:p>
        </w:tc>
      </w:tr>
    </w:tbl>
    <w:p>
      <w:pPr>
        <w:pStyle w:val="5"/>
        <w:numPr>
          <w:ilvl w:val="0"/>
          <w:numId w:val="38"/>
        </w:numPr>
        <w:bidi w:val="0"/>
        <w:rPr>
          <w:rFonts w:hint="eastAsia"/>
          <w:lang w:val="en-US" w:eastAsia="zh-CN"/>
        </w:rPr>
      </w:pPr>
      <w:bookmarkStart w:id="428" w:name="_Toc2050"/>
      <w:bookmarkStart w:id="429" w:name="_Toc10439"/>
      <w:bookmarkStart w:id="430" w:name="_Toc5369"/>
      <w:bookmarkStart w:id="431" w:name="_Toc9489"/>
      <w:r>
        <w:rPr>
          <w:rFonts w:hint="eastAsia"/>
          <w:lang w:val="en-US" w:eastAsia="zh-CN"/>
        </w:rPr>
        <w:t>旅游服务</w:t>
      </w:r>
      <w:r>
        <w:rPr>
          <w:rFonts w:hint="default"/>
          <w:lang w:val="en-US" w:eastAsia="zh-CN"/>
        </w:rPr>
        <w:t>配套</w:t>
      </w:r>
      <w:bookmarkEnd w:id="428"/>
      <w:r>
        <w:rPr>
          <w:rFonts w:hint="eastAsia"/>
          <w:lang w:val="en-US" w:eastAsia="zh-CN"/>
        </w:rPr>
        <w:t>数量质量需提升，全域旅游有待提高</w:t>
      </w:r>
      <w:bookmarkEnd w:id="429"/>
      <w:bookmarkEnd w:id="430"/>
      <w:bookmarkEnd w:id="431"/>
    </w:p>
    <w:p>
      <w:pPr>
        <w:rPr>
          <w:rFonts w:hint="default"/>
          <w:b w:val="0"/>
          <w:bCs w:val="0"/>
          <w:lang w:val="en-US" w:eastAsia="zh-CN"/>
        </w:rPr>
      </w:pPr>
      <w:r>
        <w:rPr>
          <w:rFonts w:hint="default"/>
          <w:lang w:val="en-US" w:eastAsia="zh-CN"/>
        </w:rPr>
        <w:t>崖州区旅游服务配套设施较为缺乏，</w:t>
      </w:r>
      <w:r>
        <w:rPr>
          <w:rFonts w:hint="eastAsia" w:ascii="仿宋_GB2312" w:eastAsia="仿宋_GB2312"/>
          <w:lang w:val="en-US" w:eastAsia="zh-CN"/>
        </w:rPr>
        <w:t>除南山和洞天景区内的3家酒店外，</w:t>
      </w:r>
      <w:r>
        <w:rPr>
          <w:rFonts w:hint="default"/>
          <w:lang w:val="en-US" w:eastAsia="zh-CN"/>
        </w:rPr>
        <w:t>区内</w:t>
      </w:r>
      <w:r>
        <w:rPr>
          <w:rFonts w:hint="eastAsia" w:ascii="仿宋_GB2312" w:eastAsia="仿宋_GB2312"/>
          <w:lang w:val="en-US" w:eastAsia="zh-CN"/>
        </w:rPr>
        <w:t>达到一定标准的酒店仅有</w:t>
      </w:r>
      <w:r>
        <w:rPr>
          <w:rFonts w:hint="default"/>
          <w:lang w:val="en-US" w:eastAsia="zh-CN"/>
        </w:rPr>
        <w:t>希尔顿格芮、用友梅地亚、大白鲸</w:t>
      </w:r>
      <w:r>
        <w:rPr>
          <w:rFonts w:hint="eastAsia"/>
          <w:lang w:val="en-US" w:eastAsia="zh-CN"/>
        </w:rPr>
        <w:t>等，以及</w:t>
      </w:r>
      <w:r>
        <w:rPr>
          <w:rFonts w:hint="default"/>
          <w:lang w:val="en-US" w:eastAsia="zh-CN"/>
        </w:rPr>
        <w:t>科宝</w:t>
      </w:r>
      <w:r>
        <w:rPr>
          <w:rFonts w:hint="eastAsia" w:ascii="仿宋_GB2312" w:eastAsia="仿宋_GB2312"/>
          <w:lang w:val="en-US" w:eastAsia="zh-CN"/>
        </w:rPr>
        <w:t>庄</w:t>
      </w:r>
      <w:r>
        <w:rPr>
          <w:rFonts w:hint="eastAsia" w:ascii="仿宋_GB2312" w:eastAsia="仿宋_GB2312"/>
          <w:b w:val="0"/>
          <w:bCs w:val="0"/>
          <w:lang w:val="en-US" w:eastAsia="zh-CN"/>
        </w:rPr>
        <w:t>园、施顿</w:t>
      </w:r>
      <w:r>
        <w:rPr>
          <w:rFonts w:hint="eastAsia"/>
          <w:b w:val="0"/>
          <w:bCs w:val="0"/>
          <w:lang w:val="en-US" w:eastAsia="zh-CN"/>
        </w:rPr>
        <w:t>等经济型</w:t>
      </w:r>
      <w:r>
        <w:rPr>
          <w:rFonts w:hint="eastAsia" w:ascii="仿宋_GB2312" w:eastAsia="仿宋_GB2312"/>
          <w:b w:val="0"/>
          <w:bCs w:val="0"/>
          <w:lang w:val="en-US" w:eastAsia="zh-CN"/>
        </w:rPr>
        <w:t>酒店，民宿停留在候鸟人群旅居层面</w:t>
      </w:r>
      <w:r>
        <w:rPr>
          <w:rFonts w:hint="default"/>
          <w:b w:val="0"/>
          <w:bCs w:val="0"/>
          <w:lang w:val="en-US" w:eastAsia="zh-CN"/>
        </w:rPr>
        <w:t>，</w:t>
      </w:r>
      <w:r>
        <w:rPr>
          <w:rFonts w:hint="eastAsia"/>
          <w:b w:val="0"/>
          <w:bCs w:val="0"/>
          <w:lang w:val="en-US" w:eastAsia="zh-CN"/>
        </w:rPr>
        <w:t>酒店在</w:t>
      </w:r>
      <w:r>
        <w:rPr>
          <w:rFonts w:hint="default"/>
          <w:b w:val="0"/>
          <w:bCs w:val="0"/>
          <w:lang w:val="en-US" w:eastAsia="zh-CN"/>
        </w:rPr>
        <w:t>数量上</w:t>
      </w:r>
      <w:r>
        <w:rPr>
          <w:rFonts w:hint="eastAsia" w:ascii="仿宋_GB2312" w:eastAsia="仿宋_GB2312"/>
          <w:b w:val="0"/>
          <w:bCs w:val="0"/>
          <w:lang w:val="en-US" w:eastAsia="zh-CN"/>
        </w:rPr>
        <w:t>无法</w:t>
      </w:r>
      <w:r>
        <w:rPr>
          <w:rFonts w:hint="default"/>
          <w:b w:val="0"/>
          <w:bCs w:val="0"/>
          <w:lang w:val="en-US" w:eastAsia="zh-CN"/>
        </w:rPr>
        <w:t>满足</w:t>
      </w:r>
      <w:r>
        <w:rPr>
          <w:rFonts w:hint="eastAsia" w:ascii="仿宋_GB2312" w:eastAsia="仿宋_GB2312"/>
          <w:b w:val="0"/>
          <w:bCs w:val="0"/>
          <w:lang w:val="en-US" w:eastAsia="zh-CN"/>
        </w:rPr>
        <w:t>团体</w:t>
      </w:r>
      <w:r>
        <w:rPr>
          <w:rFonts w:hint="default"/>
          <w:b w:val="0"/>
          <w:bCs w:val="0"/>
          <w:lang w:val="en-US" w:eastAsia="zh-CN"/>
        </w:rPr>
        <w:t>游客住宿需求</w:t>
      </w:r>
      <w:r>
        <w:rPr>
          <w:rFonts w:hint="eastAsia" w:ascii="仿宋_GB2312" w:eastAsia="仿宋_GB2312"/>
          <w:b w:val="0"/>
          <w:bCs w:val="0"/>
          <w:lang w:val="en-US" w:eastAsia="zh-CN"/>
        </w:rPr>
        <w:t>，</w:t>
      </w:r>
      <w:r>
        <w:rPr>
          <w:rFonts w:hint="default"/>
          <w:b w:val="0"/>
          <w:bCs w:val="0"/>
          <w:lang w:val="en-US" w:eastAsia="zh-CN"/>
        </w:rPr>
        <w:t>质量上</w:t>
      </w:r>
      <w:r>
        <w:rPr>
          <w:rFonts w:hint="eastAsia" w:ascii="仿宋_GB2312" w:eastAsia="仿宋_GB2312"/>
          <w:b w:val="0"/>
          <w:bCs w:val="0"/>
          <w:lang w:val="en-US" w:eastAsia="zh-CN"/>
        </w:rPr>
        <w:t>无法</w:t>
      </w:r>
      <w:r>
        <w:rPr>
          <w:rFonts w:hint="default"/>
          <w:b w:val="0"/>
          <w:bCs w:val="0"/>
          <w:lang w:val="en-US" w:eastAsia="zh-CN"/>
        </w:rPr>
        <w:t>满足</w:t>
      </w:r>
      <w:r>
        <w:rPr>
          <w:rFonts w:hint="eastAsia" w:ascii="仿宋_GB2312" w:eastAsia="仿宋_GB2312"/>
          <w:b w:val="0"/>
          <w:bCs w:val="0"/>
          <w:lang w:val="en-US" w:eastAsia="zh-CN"/>
        </w:rPr>
        <w:t>自由行</w:t>
      </w:r>
      <w:r>
        <w:rPr>
          <w:rFonts w:hint="default"/>
          <w:b w:val="0"/>
          <w:bCs w:val="0"/>
          <w:lang w:val="en-US" w:eastAsia="zh-CN"/>
        </w:rPr>
        <w:t>游客</w:t>
      </w:r>
      <w:r>
        <w:rPr>
          <w:rFonts w:hint="eastAsia"/>
          <w:b w:val="0"/>
          <w:bCs w:val="0"/>
          <w:lang w:val="en-US" w:eastAsia="zh-CN"/>
        </w:rPr>
        <w:t>多层次</w:t>
      </w:r>
      <w:r>
        <w:rPr>
          <w:rFonts w:hint="default"/>
          <w:b w:val="0"/>
          <w:bCs w:val="0"/>
          <w:lang w:val="en-US" w:eastAsia="zh-CN"/>
        </w:rPr>
        <w:t>需求。</w:t>
      </w:r>
    </w:p>
    <w:p>
      <w:pPr>
        <w:rPr>
          <w:rFonts w:hint="default" w:ascii="仿宋_GB2312" w:eastAsia="仿宋_GB2312"/>
          <w:lang w:val="en-US" w:eastAsia="zh-CN"/>
        </w:rPr>
      </w:pPr>
      <w:r>
        <w:rPr>
          <w:rFonts w:hint="default"/>
          <w:lang w:val="en-US" w:eastAsia="zh-CN"/>
        </w:rPr>
        <w:t>南山、大小洞天景区内</w:t>
      </w:r>
      <w:r>
        <w:rPr>
          <w:rFonts w:hint="eastAsia" w:ascii="仿宋_GB2312" w:eastAsia="仿宋_GB2312"/>
          <w:lang w:val="en-US" w:eastAsia="zh-CN"/>
        </w:rPr>
        <w:t>的</w:t>
      </w:r>
      <w:r>
        <w:rPr>
          <w:rFonts w:hint="default"/>
          <w:lang w:val="en-US" w:eastAsia="zh-CN"/>
        </w:rPr>
        <w:t>游客集散中心</w:t>
      </w:r>
      <w:r>
        <w:rPr>
          <w:rFonts w:hint="eastAsia" w:ascii="仿宋_GB2312" w:eastAsia="仿宋_GB2312"/>
          <w:lang w:val="en-US" w:eastAsia="zh-CN"/>
        </w:rPr>
        <w:t>鲜有重点区内旅游</w:t>
      </w:r>
      <w:r>
        <w:rPr>
          <w:rFonts w:hint="eastAsia"/>
          <w:lang w:val="en-US" w:eastAsia="zh-CN"/>
        </w:rPr>
        <w:t>，</w:t>
      </w:r>
      <w:r>
        <w:rPr>
          <w:rFonts w:hint="eastAsia" w:ascii="仿宋_GB2312" w:eastAsia="仿宋_GB2312"/>
          <w:lang w:val="en-US" w:eastAsia="zh-CN"/>
        </w:rPr>
        <w:t>崖州高铁站游客服务中心需加快建设投入使用，区内景点间交通接驳</w:t>
      </w:r>
      <w:r>
        <w:rPr>
          <w:rFonts w:hint="eastAsia"/>
          <w:lang w:val="en-US" w:eastAsia="zh-CN"/>
        </w:rPr>
        <w:t>不够</w:t>
      </w:r>
      <w:r>
        <w:rPr>
          <w:rFonts w:hint="eastAsia" w:ascii="仿宋_GB2312" w:eastAsia="仿宋_GB2312"/>
          <w:lang w:val="en-US" w:eastAsia="zh-CN"/>
        </w:rPr>
        <w:t>通畅。</w:t>
      </w:r>
      <w:r>
        <w:rPr>
          <w:rFonts w:hint="default"/>
          <w:lang w:val="en-US" w:eastAsia="zh-CN"/>
        </w:rPr>
        <w:t>周边旅游接待村落和“美丽乡村”示范点的接待能力有限</w:t>
      </w:r>
      <w:r>
        <w:rPr>
          <w:rFonts w:hint="eastAsia" w:ascii="仿宋_GB2312" w:eastAsia="仿宋_GB2312"/>
          <w:lang w:val="en-US" w:eastAsia="zh-CN"/>
        </w:rPr>
        <w:t>，</w:t>
      </w:r>
      <w:r>
        <w:rPr>
          <w:rFonts w:hint="default"/>
          <w:lang w:val="en-US" w:eastAsia="zh-CN"/>
        </w:rPr>
        <w:t>南滨等农业生态观光景区建设有待完善。崖州湾科技城、大白鲸海洋世界等科教</w:t>
      </w:r>
      <w:r>
        <w:rPr>
          <w:rFonts w:hint="eastAsia"/>
          <w:lang w:val="en-US" w:eastAsia="zh-CN"/>
        </w:rPr>
        <w:t>研学亲子</w:t>
      </w:r>
      <w:r>
        <w:rPr>
          <w:rFonts w:hint="default"/>
          <w:lang w:val="en-US" w:eastAsia="zh-CN"/>
        </w:rPr>
        <w:t>类项目开发程度不高，周边配套设施尚未完善，旅游要素</w:t>
      </w:r>
      <w:r>
        <w:rPr>
          <w:rFonts w:hint="eastAsia"/>
          <w:lang w:val="en-US" w:eastAsia="zh-CN"/>
        </w:rPr>
        <w:t>不全面</w:t>
      </w:r>
      <w:r>
        <w:rPr>
          <w:rFonts w:hint="default"/>
          <w:lang w:val="en-US" w:eastAsia="zh-CN"/>
        </w:rPr>
        <w:t>，开发</w:t>
      </w:r>
      <w:r>
        <w:rPr>
          <w:rFonts w:hint="eastAsia" w:ascii="仿宋_GB2312" w:eastAsia="仿宋_GB2312"/>
          <w:lang w:val="en-US" w:eastAsia="zh-CN"/>
        </w:rPr>
        <w:t>不够成熟</w:t>
      </w:r>
      <w:r>
        <w:rPr>
          <w:rFonts w:hint="default"/>
          <w:lang w:val="en-US" w:eastAsia="zh-CN"/>
        </w:rPr>
        <w:t>。</w:t>
      </w:r>
    </w:p>
    <w:p>
      <w:pPr>
        <w:pStyle w:val="5"/>
        <w:numPr>
          <w:ilvl w:val="0"/>
          <w:numId w:val="38"/>
        </w:numPr>
        <w:bidi w:val="0"/>
        <w:rPr>
          <w:rFonts w:hint="default"/>
          <w:lang w:val="en-US" w:eastAsia="zh-CN"/>
        </w:rPr>
      </w:pPr>
      <w:bookmarkStart w:id="432" w:name="_Toc29616"/>
      <w:bookmarkStart w:id="433" w:name="_Toc328"/>
      <w:bookmarkStart w:id="434" w:name="_Toc22980"/>
      <w:r>
        <w:rPr>
          <w:rFonts w:hint="eastAsia"/>
          <w:lang w:val="en-US" w:eastAsia="zh-CN"/>
        </w:rPr>
        <w:t>休闲农业渔业处于起步阶段，需要导入示范项目</w:t>
      </w:r>
      <w:bookmarkEnd w:id="432"/>
      <w:bookmarkEnd w:id="433"/>
      <w:bookmarkEnd w:id="434"/>
    </w:p>
    <w:p>
      <w:pPr>
        <w:rPr>
          <w:rFonts w:hint="eastAsia" w:ascii="仿宋_GB2312" w:eastAsia="仿宋_GB2312"/>
          <w:lang w:val="en-US" w:eastAsia="zh-CN"/>
        </w:rPr>
      </w:pPr>
      <w:r>
        <w:rPr>
          <w:rFonts w:hint="eastAsia" w:ascii="仿宋_GB2312" w:eastAsia="仿宋_GB2312"/>
          <w:lang w:val="en-US" w:eastAsia="zh-CN"/>
        </w:rPr>
        <w:t>全区围绕</w:t>
      </w:r>
      <w:r>
        <w:rPr>
          <w:rFonts w:hint="eastAsia"/>
          <w:lang w:val="en-US" w:eastAsia="zh-CN"/>
        </w:rPr>
        <w:t>农业旅游、休闲农庄、</w:t>
      </w:r>
      <w:r>
        <w:rPr>
          <w:rFonts w:hint="eastAsia" w:ascii="仿宋_GB2312" w:eastAsia="仿宋_GB2312"/>
          <w:lang w:val="en-US" w:eastAsia="zh-CN"/>
        </w:rPr>
        <w:t>中心渔港、海上垂钓、渔业体验等内容的休闲</w:t>
      </w:r>
      <w:r>
        <w:rPr>
          <w:rFonts w:hint="eastAsia"/>
          <w:lang w:val="en-US" w:eastAsia="zh-CN"/>
        </w:rPr>
        <w:t>农业</w:t>
      </w:r>
      <w:r>
        <w:rPr>
          <w:rFonts w:hint="eastAsia" w:ascii="仿宋_GB2312" w:eastAsia="仿宋_GB2312"/>
          <w:lang w:val="en-US" w:eastAsia="zh-CN"/>
        </w:rPr>
        <w:t>渔业项目还</w:t>
      </w:r>
      <w:r>
        <w:rPr>
          <w:rFonts w:hint="eastAsia"/>
          <w:lang w:val="en-US" w:eastAsia="zh-CN"/>
        </w:rPr>
        <w:t>较少</w:t>
      </w:r>
      <w:r>
        <w:rPr>
          <w:rFonts w:hint="eastAsia" w:ascii="仿宋_GB2312" w:eastAsia="仿宋_GB2312"/>
          <w:lang w:val="en-US" w:eastAsia="zh-CN"/>
        </w:rPr>
        <w:t>，</w:t>
      </w:r>
      <w:r>
        <w:rPr>
          <w:rFonts w:hint="eastAsia"/>
          <w:lang w:val="en-US" w:eastAsia="zh-CN"/>
        </w:rPr>
        <w:t>热带水果、南繁洋田、农事体验、特色种养殖</w:t>
      </w:r>
      <w:r>
        <w:rPr>
          <w:rFonts w:hint="eastAsia" w:ascii="仿宋_GB2312" w:eastAsia="仿宋_GB2312"/>
          <w:lang w:val="en-US" w:eastAsia="zh-CN"/>
        </w:rPr>
        <w:t>的</w:t>
      </w:r>
      <w:r>
        <w:rPr>
          <w:rFonts w:hint="eastAsia"/>
          <w:lang w:val="en-US" w:eastAsia="zh-CN"/>
        </w:rPr>
        <w:t>特点挖掘不充分</w:t>
      </w:r>
      <w:r>
        <w:rPr>
          <w:rFonts w:hint="eastAsia" w:ascii="仿宋_GB2312" w:eastAsia="仿宋_GB2312"/>
          <w:lang w:val="en-US" w:eastAsia="zh-CN"/>
        </w:rPr>
        <w:t>，</w:t>
      </w:r>
      <w:r>
        <w:rPr>
          <w:rFonts w:hint="eastAsia"/>
          <w:lang w:val="en-US" w:eastAsia="zh-CN"/>
        </w:rPr>
        <w:t>崖州中心</w:t>
      </w:r>
      <w:r>
        <w:rPr>
          <w:rFonts w:hint="eastAsia" w:ascii="仿宋_GB2312" w:eastAsia="仿宋_GB2312"/>
          <w:lang w:val="en-US" w:eastAsia="zh-CN"/>
        </w:rPr>
        <w:t>渔港的休闲服务功能仍然空白</w:t>
      </w:r>
      <w:r>
        <w:rPr>
          <w:rFonts w:hint="eastAsia"/>
          <w:lang w:val="en-US" w:eastAsia="zh-CN"/>
        </w:rPr>
        <w:t>，</w:t>
      </w:r>
      <w:r>
        <w:rPr>
          <w:rFonts w:hint="eastAsia" w:ascii="仿宋_GB2312" w:eastAsia="仿宋_GB2312"/>
          <w:lang w:val="en-US" w:eastAsia="zh-CN"/>
        </w:rPr>
        <w:t>整体上</w:t>
      </w:r>
      <w:r>
        <w:rPr>
          <w:rFonts w:hint="eastAsia"/>
          <w:lang w:val="en-US" w:eastAsia="zh-CN"/>
        </w:rPr>
        <w:t>全区休闲农业渔业</w:t>
      </w:r>
      <w:r>
        <w:rPr>
          <w:rFonts w:hint="eastAsia" w:ascii="仿宋_GB2312" w:eastAsia="仿宋_GB2312"/>
          <w:lang w:val="en-US" w:eastAsia="zh-CN"/>
        </w:rPr>
        <w:t>处于起步阶段</w:t>
      </w:r>
      <w:r>
        <w:rPr>
          <w:rFonts w:hint="eastAsia"/>
          <w:lang w:val="en-US" w:eastAsia="zh-CN"/>
        </w:rPr>
        <w:t>，</w:t>
      </w:r>
      <w:r>
        <w:rPr>
          <w:rFonts w:hint="eastAsia" w:ascii="仿宋_GB2312" w:eastAsia="仿宋_GB2312"/>
          <w:lang w:val="en-US" w:eastAsia="zh-CN"/>
        </w:rPr>
        <w:t>休闲</w:t>
      </w:r>
      <w:r>
        <w:rPr>
          <w:rFonts w:hint="eastAsia"/>
          <w:lang w:val="en-US" w:eastAsia="zh-CN"/>
        </w:rPr>
        <w:t>农</w:t>
      </w:r>
      <w:r>
        <w:rPr>
          <w:rFonts w:hint="eastAsia" w:ascii="仿宋_GB2312" w:eastAsia="仿宋_GB2312"/>
          <w:lang w:val="en-US" w:eastAsia="zh-CN"/>
        </w:rPr>
        <w:t>渔业基础设施</w:t>
      </w:r>
      <w:r>
        <w:rPr>
          <w:rFonts w:hint="eastAsia"/>
          <w:lang w:val="en-US" w:eastAsia="zh-CN"/>
        </w:rPr>
        <w:t>有待</w:t>
      </w:r>
      <w:r>
        <w:rPr>
          <w:rFonts w:hint="eastAsia" w:ascii="仿宋_GB2312" w:eastAsia="仿宋_GB2312"/>
          <w:lang w:val="en-US" w:eastAsia="zh-CN"/>
        </w:rPr>
        <w:t>完善，</w:t>
      </w:r>
      <w:r>
        <w:rPr>
          <w:rFonts w:hint="eastAsia"/>
          <w:lang w:val="en-US" w:eastAsia="zh-CN"/>
        </w:rPr>
        <w:t>需要</w:t>
      </w:r>
      <w:r>
        <w:rPr>
          <w:rFonts w:hint="eastAsia" w:ascii="仿宋_GB2312" w:eastAsia="仿宋_GB2312"/>
          <w:lang w:val="en-US" w:eastAsia="zh-CN"/>
        </w:rPr>
        <w:t>导入具有号召力、示范性、带动性的休闲</w:t>
      </w:r>
      <w:r>
        <w:rPr>
          <w:rFonts w:hint="eastAsia"/>
          <w:lang w:val="en-US" w:eastAsia="zh-CN"/>
        </w:rPr>
        <w:t>农</w:t>
      </w:r>
      <w:r>
        <w:rPr>
          <w:rFonts w:hint="eastAsia" w:ascii="仿宋_GB2312" w:eastAsia="仿宋_GB2312"/>
          <w:lang w:val="en-US" w:eastAsia="zh-CN"/>
        </w:rPr>
        <w:t>渔业项目。</w:t>
      </w:r>
    </w:p>
    <w:p>
      <w:pPr>
        <w:pStyle w:val="4"/>
        <w:bidi w:val="0"/>
        <w:rPr>
          <w:rFonts w:hint="default"/>
          <w:lang w:val="en-US" w:eastAsia="zh-CN"/>
        </w:rPr>
      </w:pPr>
      <w:bookmarkStart w:id="435" w:name="_Toc11131"/>
      <w:bookmarkStart w:id="436" w:name="_Toc1307"/>
      <w:bookmarkStart w:id="437" w:name="_Toc10556"/>
      <w:r>
        <w:rPr>
          <w:rFonts w:hint="eastAsia"/>
          <w:lang w:val="en-US" w:eastAsia="zh-CN"/>
        </w:rPr>
        <w:t>三、商贸物流服务业分析</w:t>
      </w:r>
      <w:bookmarkEnd w:id="435"/>
      <w:bookmarkEnd w:id="436"/>
      <w:bookmarkEnd w:id="437"/>
    </w:p>
    <w:p>
      <w:pPr>
        <w:pStyle w:val="5"/>
        <w:numPr>
          <w:ilvl w:val="0"/>
          <w:numId w:val="38"/>
        </w:numPr>
        <w:bidi w:val="0"/>
        <w:rPr>
          <w:rFonts w:hint="default"/>
          <w:lang w:val="en-US" w:eastAsia="zh-CN"/>
        </w:rPr>
      </w:pPr>
      <w:bookmarkStart w:id="438" w:name="_Toc11501"/>
      <w:bookmarkStart w:id="439" w:name="_Toc1339"/>
      <w:bookmarkStart w:id="440" w:name="_Toc7793"/>
      <w:r>
        <w:rPr>
          <w:rFonts w:hint="eastAsia"/>
          <w:lang w:val="en-US" w:eastAsia="zh-CN"/>
        </w:rPr>
        <w:t>崖州果蔬综合批发市场以传统交易为主，有较大提升空间</w:t>
      </w:r>
      <w:bookmarkEnd w:id="438"/>
      <w:bookmarkEnd w:id="439"/>
      <w:bookmarkEnd w:id="440"/>
    </w:p>
    <w:p>
      <w:pPr>
        <w:rPr>
          <w:rFonts w:hint="eastAsia"/>
          <w:lang w:val="en-US" w:eastAsia="zh-CN"/>
        </w:rPr>
      </w:pPr>
      <w:r>
        <w:rPr>
          <w:rFonts w:hint="eastAsia" w:ascii="仿宋_GB2312" w:eastAsia="仿宋_GB2312"/>
          <w:lang w:val="en-US" w:eastAsia="zh-CN"/>
        </w:rPr>
        <w:t>崖州果蔬综合批发市场是</w:t>
      </w:r>
      <w:r>
        <w:rPr>
          <w:rFonts w:hint="eastAsia"/>
          <w:lang w:val="en-US" w:eastAsia="zh-CN"/>
        </w:rPr>
        <w:t>中国最南的大型</w:t>
      </w:r>
      <w:r>
        <w:rPr>
          <w:rFonts w:hint="eastAsia" w:ascii="仿宋_GB2312" w:eastAsia="仿宋_GB2312"/>
          <w:lang w:val="en-US" w:eastAsia="zh-CN"/>
        </w:rPr>
        <w:t>农产品交易集散基地，</w:t>
      </w:r>
      <w:r>
        <w:rPr>
          <w:rFonts w:hint="eastAsia"/>
          <w:lang w:val="en-US" w:eastAsia="zh-CN"/>
        </w:rPr>
        <w:t>每年11月份开市到笠年4月份休市，12月到3月为交易高峰期，</w:t>
      </w:r>
      <w:r>
        <w:rPr>
          <w:rFonts w:hint="eastAsia" w:ascii="仿宋_GB2312" w:eastAsia="仿宋_GB2312"/>
          <w:lang w:val="en-US" w:eastAsia="zh-CN"/>
        </w:rPr>
        <w:t>全国25个</w:t>
      </w:r>
      <w:r>
        <w:rPr>
          <w:rFonts w:hint="eastAsia"/>
          <w:lang w:val="en-US" w:eastAsia="zh-CN"/>
        </w:rPr>
        <w:t>省会及</w:t>
      </w:r>
      <w:r>
        <w:rPr>
          <w:rFonts w:hint="eastAsia" w:ascii="仿宋_GB2312" w:eastAsia="仿宋_GB2312"/>
          <w:lang w:val="en-US" w:eastAsia="zh-CN"/>
        </w:rPr>
        <w:t>大</w:t>
      </w:r>
      <w:r>
        <w:rPr>
          <w:rFonts w:hint="eastAsia"/>
          <w:lang w:val="en-US" w:eastAsia="zh-CN"/>
        </w:rPr>
        <w:t>中</w:t>
      </w:r>
      <w:r>
        <w:rPr>
          <w:rFonts w:hint="eastAsia" w:ascii="仿宋_GB2312" w:eastAsia="仿宋_GB2312"/>
          <w:lang w:val="en-US" w:eastAsia="zh-CN"/>
        </w:rPr>
        <w:t>城市收购商</w:t>
      </w:r>
      <w:r>
        <w:rPr>
          <w:rFonts w:hint="eastAsia"/>
          <w:lang w:val="en-US" w:eastAsia="zh-CN"/>
        </w:rPr>
        <w:t>在</w:t>
      </w:r>
      <w:r>
        <w:rPr>
          <w:rFonts w:hint="eastAsia" w:ascii="仿宋_GB2312" w:eastAsia="仿宋_GB2312"/>
          <w:lang w:val="en-US" w:eastAsia="zh-CN"/>
        </w:rPr>
        <w:t>崖州驻点</w:t>
      </w:r>
      <w:r>
        <w:rPr>
          <w:rFonts w:hint="eastAsia"/>
          <w:lang w:val="en-US" w:eastAsia="zh-CN"/>
        </w:rPr>
        <w:t>，</w:t>
      </w:r>
      <w:r>
        <w:rPr>
          <w:rFonts w:hint="eastAsia" w:ascii="仿宋_GB2312" w:eastAsia="仿宋_GB2312"/>
          <w:lang w:val="en-US" w:eastAsia="zh-CN"/>
        </w:rPr>
        <w:t>参与持续半年的冬季瓜菜</w:t>
      </w:r>
      <w:r>
        <w:rPr>
          <w:rFonts w:hint="eastAsia"/>
          <w:lang w:val="en-US" w:eastAsia="zh-CN"/>
        </w:rPr>
        <w:t>和热带水果</w:t>
      </w:r>
      <w:r>
        <w:rPr>
          <w:rFonts w:hint="eastAsia" w:ascii="仿宋_GB2312" w:eastAsia="仿宋_GB2312"/>
          <w:lang w:val="en-US" w:eastAsia="zh-CN"/>
        </w:rPr>
        <w:t>交易活动</w:t>
      </w:r>
      <w:r>
        <w:rPr>
          <w:rFonts w:hint="eastAsia"/>
          <w:lang w:val="en-US" w:eastAsia="zh-CN"/>
        </w:rPr>
        <w:t>。崖州农产品供应范围</w:t>
      </w:r>
      <w:r>
        <w:rPr>
          <w:rFonts w:hint="eastAsia" w:ascii="仿宋_GB2312" w:eastAsia="仿宋_GB2312"/>
          <w:lang w:val="en-US" w:eastAsia="zh-CN"/>
        </w:rPr>
        <w:t>覆盖长江以南地区，最北</w:t>
      </w:r>
      <w:r>
        <w:rPr>
          <w:rFonts w:hint="eastAsia"/>
          <w:lang w:val="en-US" w:eastAsia="zh-CN"/>
        </w:rPr>
        <w:t>到达河南、陕西</w:t>
      </w:r>
      <w:r>
        <w:rPr>
          <w:rFonts w:hint="eastAsia" w:ascii="仿宋_GB2312" w:eastAsia="仿宋_GB2312"/>
          <w:lang w:val="en-US" w:eastAsia="zh-CN"/>
        </w:rPr>
        <w:t>，辐射大半个中国</w:t>
      </w:r>
      <w:r>
        <w:rPr>
          <w:rFonts w:hint="eastAsia"/>
          <w:lang w:val="en-US" w:eastAsia="zh-CN"/>
        </w:rPr>
        <w:t>，蔬菜以</w:t>
      </w:r>
      <w:r>
        <w:rPr>
          <w:rFonts w:hint="eastAsia" w:ascii="仿宋_GB2312" w:eastAsia="仿宋_GB2312"/>
          <w:lang w:val="en-US" w:eastAsia="zh-CN"/>
        </w:rPr>
        <w:t>豆角</w:t>
      </w:r>
      <w:r>
        <w:rPr>
          <w:rFonts w:hint="eastAsia"/>
          <w:lang w:val="en-US" w:eastAsia="zh-CN"/>
        </w:rPr>
        <w:t>（豇豆）为主，</w:t>
      </w:r>
      <w:r>
        <w:rPr>
          <w:rFonts w:hint="eastAsia" w:ascii="仿宋_GB2312" w:eastAsia="仿宋_GB2312"/>
          <w:lang w:val="en-US" w:eastAsia="zh-CN"/>
        </w:rPr>
        <w:t>苦瓜</w:t>
      </w:r>
      <w:r>
        <w:rPr>
          <w:rFonts w:hint="eastAsia"/>
          <w:lang w:val="en-US" w:eastAsia="zh-CN"/>
        </w:rPr>
        <w:t>、</w:t>
      </w:r>
      <w:r>
        <w:rPr>
          <w:rFonts w:hint="eastAsia" w:ascii="仿宋_GB2312" w:eastAsia="仿宋_GB2312"/>
          <w:lang w:val="en-US" w:eastAsia="zh-CN"/>
        </w:rPr>
        <w:t>青瓜</w:t>
      </w:r>
      <w:r>
        <w:rPr>
          <w:rFonts w:hint="eastAsia"/>
          <w:lang w:val="en-US" w:eastAsia="zh-CN"/>
        </w:rPr>
        <w:t>、</w:t>
      </w:r>
      <w:r>
        <w:rPr>
          <w:rFonts w:hint="eastAsia" w:ascii="仿宋_GB2312" w:eastAsia="仿宋_GB2312"/>
          <w:lang w:val="en-US" w:eastAsia="zh-CN"/>
        </w:rPr>
        <w:t>茄子</w:t>
      </w:r>
      <w:r>
        <w:rPr>
          <w:rFonts w:hint="eastAsia"/>
          <w:lang w:val="en-US" w:eastAsia="zh-CN"/>
        </w:rPr>
        <w:t>为辅，水果以芒果、蜜瓜为主，产地主要为</w:t>
      </w:r>
      <w:r>
        <w:rPr>
          <w:rFonts w:hint="eastAsia" w:ascii="仿宋_GB2312" w:eastAsia="仿宋_GB2312"/>
          <w:lang w:val="en-US" w:eastAsia="zh-CN"/>
        </w:rPr>
        <w:t>崖州、陵水、保亭、乐东</w:t>
      </w:r>
      <w:r>
        <w:rPr>
          <w:rFonts w:hint="eastAsia"/>
          <w:lang w:val="en-US" w:eastAsia="zh-CN"/>
        </w:rPr>
        <w:t>等。</w:t>
      </w:r>
    </w:p>
    <w:p>
      <w:pPr>
        <w:rPr>
          <w:rFonts w:hint="eastAsia"/>
          <w:lang w:val="en-US" w:eastAsia="zh-CN"/>
        </w:rPr>
      </w:pPr>
      <w:r>
        <w:rPr>
          <w:rFonts w:hint="eastAsia"/>
          <w:lang w:val="en-US" w:eastAsia="zh-CN"/>
        </w:rPr>
        <w:t>2018年12月至2019年3月，崖州果蔬综合批发市场成交量为43.42万吨，日均成交量达3600吨；其中豇豆、芒果等七个主要品种成交量为36.30万吨、成交额为21.12亿元。2019年12月至2020年3月，成交量为31.24万吨，日均成交量达2600吨；其中豇豆、芒果等七个主要品种成交量为29.29万吨、成交额为16.20亿元，受疫情影响出现明显下降。按照疫情期间较低的日均成交量2600吨计算，每天需要104辆</w:t>
      </w:r>
      <w:r>
        <w:rPr>
          <w:rFonts w:hint="eastAsia" w:ascii="仿宋_GB2312" w:eastAsia="仿宋_GB2312"/>
          <w:lang w:val="en-US" w:eastAsia="zh-CN"/>
        </w:rPr>
        <w:t>25吨6轴挂车运输</w:t>
      </w:r>
      <w:r>
        <w:rPr>
          <w:rFonts w:hint="eastAsia"/>
          <w:lang w:val="en-US" w:eastAsia="zh-CN"/>
        </w:rPr>
        <w:t>，</w:t>
      </w:r>
      <w:r>
        <w:rPr>
          <w:rFonts w:hint="eastAsia" w:ascii="仿宋_GB2312" w:eastAsia="仿宋_GB2312"/>
          <w:lang w:val="en-US" w:eastAsia="zh-CN"/>
        </w:rPr>
        <w:t>首尾相接延绵</w:t>
      </w:r>
      <w:r>
        <w:rPr>
          <w:rFonts w:hint="eastAsia"/>
          <w:lang w:val="en-US" w:eastAsia="zh-CN"/>
        </w:rPr>
        <w:t>3</w:t>
      </w:r>
      <w:r>
        <w:rPr>
          <w:rFonts w:hint="eastAsia" w:ascii="仿宋_GB2312" w:eastAsia="仿宋_GB2312"/>
          <w:lang w:val="en-US" w:eastAsia="zh-CN"/>
        </w:rPr>
        <w:t>公里。</w:t>
      </w:r>
      <w:r>
        <w:rPr>
          <w:rFonts w:hint="eastAsia"/>
          <w:lang w:val="en-US" w:eastAsia="zh-CN"/>
        </w:rPr>
        <w:t>崖州农产品交易体量规模大、辐射范围广，但存在一些明显的问题和不足。</w:t>
      </w:r>
    </w:p>
    <w:p>
      <w:pPr>
        <w:rPr>
          <w:rFonts w:hint="default"/>
          <w:lang w:val="en-US" w:eastAsia="zh-CN"/>
        </w:rPr>
      </w:pPr>
      <w:r>
        <w:rPr>
          <w:rFonts w:hint="eastAsia"/>
          <w:b/>
          <w:bCs/>
          <w:lang w:val="en-US" w:eastAsia="zh-CN"/>
        </w:rPr>
        <w:t>一是本地种植户缺乏话语权。</w:t>
      </w:r>
      <w:r>
        <w:rPr>
          <w:rFonts w:hint="eastAsia"/>
          <w:lang w:val="en-US" w:eastAsia="zh-CN"/>
        </w:rPr>
        <w:t>农产品</w:t>
      </w:r>
      <w:r>
        <w:rPr>
          <w:rFonts w:hint="eastAsia" w:ascii="仿宋_GB2312" w:eastAsia="仿宋_GB2312"/>
          <w:lang w:val="en-US" w:eastAsia="zh-CN"/>
        </w:rPr>
        <w:t>出岛渠道被外地流通商把控</w:t>
      </w:r>
      <w:r>
        <w:rPr>
          <w:rFonts w:hint="eastAsia"/>
          <w:lang w:val="en-US" w:eastAsia="zh-CN"/>
        </w:rPr>
        <w:t>，农村合作社组织功能不强，种植户话语权不高，难以对接渠道商和销售终端，市场价格波动直接传导给种植户。缺少市场渠道整合能力强、直接面向消费终端的大型线上线下渠道商进入，农产品流通模式已落后于时代。</w:t>
      </w:r>
    </w:p>
    <w:p>
      <w:pPr>
        <w:rPr>
          <w:rFonts w:hint="eastAsia"/>
          <w:lang w:val="en-US" w:eastAsia="zh-CN"/>
        </w:rPr>
      </w:pPr>
      <w:r>
        <w:rPr>
          <w:rFonts w:hint="eastAsia"/>
          <w:b/>
          <w:bCs/>
          <w:lang w:val="en-US" w:eastAsia="zh-CN"/>
        </w:rPr>
        <w:t>二是缺少区域品牌。</w:t>
      </w:r>
      <w:r>
        <w:rPr>
          <w:rFonts w:hint="eastAsia"/>
          <w:lang w:val="en-US" w:eastAsia="zh-CN"/>
        </w:rPr>
        <w:t>渠道商没有动力打造崖州品牌，农产品价格没有品牌附加，甚至崖州农产品运到广东包装打标，摇身一变成为“广东货”。</w:t>
      </w:r>
    </w:p>
    <w:p>
      <w:pPr>
        <w:rPr>
          <w:rFonts w:hint="eastAsia"/>
          <w:lang w:val="en-US" w:eastAsia="zh-CN"/>
        </w:rPr>
      </w:pPr>
      <w:r>
        <w:rPr>
          <w:rFonts w:hint="eastAsia"/>
          <w:b/>
          <w:bCs/>
          <w:lang w:val="en-US" w:eastAsia="zh-CN"/>
        </w:rPr>
        <w:t>三是新业态发展缓慢。</w:t>
      </w:r>
      <w:r>
        <w:rPr>
          <w:rFonts w:hint="eastAsia"/>
          <w:lang w:val="en-US" w:eastAsia="zh-CN"/>
        </w:rPr>
        <w:t>互联网电商、直播电商等新业态发展十分缓慢，电商专业团队稀缺，快递物流体系不健全，优质特色热带水果和冬季瓜菜只能通过中间商低价格出手，无法搭上互联网快车。</w:t>
      </w:r>
    </w:p>
    <w:p>
      <w:pPr>
        <w:rPr>
          <w:rFonts w:hint="eastAsia"/>
          <w:lang w:val="en-US" w:eastAsia="zh-CN"/>
        </w:rPr>
      </w:pPr>
      <w:r>
        <w:rPr>
          <w:rFonts w:hint="eastAsia"/>
          <w:b/>
          <w:bCs/>
          <w:lang w:val="en-US" w:eastAsia="zh-CN"/>
        </w:rPr>
        <w:t>四是冷链仓储物流体系几乎空白。</w:t>
      </w:r>
      <w:r>
        <w:rPr>
          <w:rFonts w:hint="eastAsia"/>
          <w:lang w:val="en-US" w:eastAsia="zh-CN"/>
        </w:rPr>
        <w:t>冷链体系难觅踪影，豇豆等主力农产品的保鲜以冰水浸泡、冰块覆盖为主，造成农产品运输损耗大、品质下降。</w:t>
      </w:r>
    </w:p>
    <w:p>
      <w:pPr>
        <w:rPr>
          <w:rFonts w:hint="eastAsia"/>
          <w:lang w:val="en-US" w:eastAsia="zh-CN"/>
        </w:rPr>
      </w:pPr>
      <w:r>
        <w:rPr>
          <w:rFonts w:hint="eastAsia"/>
          <w:b/>
          <w:bCs/>
          <w:lang w:val="en-US" w:eastAsia="zh-CN"/>
        </w:rPr>
        <w:t>五是保鲜技术应用几乎空白。</w:t>
      </w:r>
      <w:r>
        <w:rPr>
          <w:rFonts w:hint="eastAsia"/>
          <w:b w:val="0"/>
          <w:bCs w:val="0"/>
          <w:lang w:val="en-US" w:eastAsia="zh-CN"/>
        </w:rPr>
        <w:t>业内采用的</w:t>
      </w:r>
      <w:r>
        <w:rPr>
          <w:rFonts w:hint="eastAsia"/>
          <w:lang w:val="en-US" w:eastAsia="zh-CN"/>
        </w:rPr>
        <w:t>热带水果保鲜处理技术、蔬菜真空袋保鲜运输技术等在崖州很少采用，农产品缺少本地初步加工和精深加工环节。</w:t>
      </w:r>
    </w:p>
    <w:p>
      <w:pPr>
        <w:rPr>
          <w:rFonts w:hint="eastAsia"/>
          <w:lang w:val="en-US" w:eastAsia="zh-CN"/>
        </w:rPr>
      </w:pPr>
      <w:r>
        <w:rPr>
          <w:rFonts w:hint="eastAsia"/>
          <w:b/>
          <w:bCs/>
          <w:lang w:val="en-US" w:eastAsia="zh-CN"/>
        </w:rPr>
        <w:t>六是农产品鲜有出口。</w:t>
      </w:r>
      <w:r>
        <w:rPr>
          <w:rFonts w:hint="eastAsia"/>
          <w:lang w:val="en-US" w:eastAsia="zh-CN"/>
        </w:rPr>
        <w:t>热带特色水果优势突出，但出口优势没有体现，区内少有从事水果出口业务的贸易公司。</w:t>
      </w:r>
    </w:p>
    <w:p>
      <w:pPr>
        <w:rPr>
          <w:rFonts w:hint="default"/>
          <w:b w:val="0"/>
          <w:bCs w:val="0"/>
          <w:lang w:val="en-US" w:eastAsia="zh-CN"/>
        </w:rPr>
      </w:pPr>
      <w:r>
        <w:rPr>
          <w:rFonts w:hint="eastAsia"/>
          <w:b/>
          <w:bCs/>
          <w:lang w:val="en-US" w:eastAsia="zh-CN"/>
        </w:rPr>
        <w:t>七是市场开半年关半年。</w:t>
      </w:r>
      <w:r>
        <w:rPr>
          <w:rFonts w:hint="eastAsia"/>
          <w:b w:val="0"/>
          <w:bCs w:val="0"/>
          <w:lang w:val="en-US" w:eastAsia="zh-CN"/>
        </w:rPr>
        <w:t>农产品单向北上的模式导致仓库、站场闲置期长达半年，缺少电商、农产品南下、水果出口等全年交易功能。</w:t>
      </w:r>
    </w:p>
    <w:p>
      <w:pPr>
        <w:bidi w:val="0"/>
        <w:spacing w:line="240" w:lineRule="auto"/>
        <w:ind w:firstLine="0" w:firstLineChars="0"/>
        <w:jc w:val="center"/>
        <w:rPr>
          <w:rFonts w:hint="default" w:ascii="楷体" w:hAnsi="楷体" w:eastAsia="楷体" w:cs="楷体"/>
          <w:b w:val="0"/>
          <w:bCs w:val="0"/>
          <w:sz w:val="28"/>
          <w:szCs w:val="28"/>
          <w:lang w:val="en-US" w:eastAsia="zh-CN"/>
        </w:rPr>
      </w:pPr>
      <w:r>
        <w:rPr>
          <w:rFonts w:hint="eastAsia" w:ascii="楷体" w:hAnsi="楷体" w:eastAsia="楷体" w:cs="楷体"/>
          <w:b w:val="0"/>
          <w:bCs w:val="0"/>
          <w:sz w:val="28"/>
          <w:szCs w:val="28"/>
          <w:lang w:val="en-US" w:eastAsia="zh-CN"/>
        </w:rPr>
        <w:t>表26  冬季瓜菜和芒果销售量</w:t>
      </w:r>
    </w:p>
    <w:tbl>
      <w:tblPr>
        <w:tblStyle w:val="18"/>
        <w:tblW w:w="5000" w:type="pct"/>
        <w:jc w:val="center"/>
        <w:tblBorders>
          <w:top w:val="single" w:color="auto" w:sz="4" w:space="0"/>
          <w:left w:val="single" w:color="auto" w:sz="4" w:space="0"/>
          <w:bottom w:val="thickThinSmallGap" w:color="A4A4A4"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40"/>
        <w:gridCol w:w="1164"/>
        <w:gridCol w:w="1704"/>
        <w:gridCol w:w="1704"/>
        <w:gridCol w:w="1704"/>
        <w:gridCol w:w="1706"/>
      </w:tblGrid>
      <w:tr>
        <w:tblPrEx>
          <w:tblBorders>
            <w:top w:val="single" w:color="auto" w:sz="4"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704" w:type="dxa"/>
            <w:gridSpan w:val="2"/>
            <w:vMerge w:val="restart"/>
            <w:tcBorders>
              <w:top w:val="thinThickSmallGap" w:color="A4A4A4" w:sz="12"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bCs/>
                <w:i w:val="0"/>
                <w:color w:val="000000"/>
                <w:kern w:val="2"/>
                <w:sz w:val="24"/>
                <w:szCs w:val="24"/>
                <w:u w:val="none"/>
                <w:lang w:val="en-US" w:eastAsia="zh-CN" w:bidi="ar"/>
              </w:rPr>
            </w:pPr>
            <w:r>
              <w:rPr>
                <w:rFonts w:hint="eastAsia" w:ascii="楷体" w:hAnsi="楷体" w:eastAsia="楷体" w:cs="楷体"/>
                <w:b/>
                <w:bCs/>
                <w:i w:val="0"/>
                <w:color w:val="000000"/>
                <w:kern w:val="2"/>
                <w:sz w:val="24"/>
                <w:szCs w:val="24"/>
                <w:u w:val="none"/>
                <w:lang w:val="en-US" w:eastAsia="zh-CN" w:bidi="ar"/>
              </w:rPr>
              <w:t>品种</w:t>
            </w:r>
          </w:p>
        </w:tc>
        <w:tc>
          <w:tcPr>
            <w:tcW w:w="3408" w:type="dxa"/>
            <w:gridSpan w:val="2"/>
            <w:tcBorders>
              <w:top w:val="thinThickSmallGap" w:color="A4A4A4" w:sz="12"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bCs/>
                <w:i w:val="0"/>
                <w:color w:val="000000"/>
                <w:kern w:val="2"/>
                <w:sz w:val="24"/>
                <w:szCs w:val="24"/>
                <w:u w:val="none"/>
                <w:lang w:val="en-US" w:eastAsia="zh-CN" w:bidi="ar"/>
              </w:rPr>
            </w:pPr>
            <w:r>
              <w:rPr>
                <w:rFonts w:hint="eastAsia" w:ascii="楷体" w:hAnsi="楷体" w:eastAsia="楷体" w:cs="楷体"/>
                <w:b/>
                <w:bCs/>
                <w:i w:val="0"/>
                <w:color w:val="000000"/>
                <w:kern w:val="2"/>
                <w:sz w:val="24"/>
                <w:szCs w:val="24"/>
                <w:u w:val="none"/>
                <w:lang w:val="en-US" w:eastAsia="zh-CN" w:bidi="ar"/>
              </w:rPr>
              <w:t>2018年12月-2019年3月</w:t>
            </w:r>
          </w:p>
        </w:tc>
        <w:tc>
          <w:tcPr>
            <w:tcW w:w="3410" w:type="dxa"/>
            <w:gridSpan w:val="2"/>
            <w:tcBorders>
              <w:top w:val="thinThickSmallGap" w:color="A4A4A4" w:sz="12"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bCs/>
                <w:i w:val="0"/>
                <w:color w:val="000000"/>
                <w:kern w:val="2"/>
                <w:sz w:val="24"/>
                <w:szCs w:val="24"/>
                <w:u w:val="none"/>
                <w:lang w:val="en-US" w:eastAsia="zh-CN" w:bidi="ar"/>
              </w:rPr>
            </w:pPr>
            <w:r>
              <w:rPr>
                <w:rFonts w:hint="eastAsia" w:ascii="楷体" w:hAnsi="楷体" w:eastAsia="楷体" w:cs="楷体"/>
                <w:b/>
                <w:bCs/>
                <w:i w:val="0"/>
                <w:color w:val="000000"/>
                <w:kern w:val="2"/>
                <w:sz w:val="24"/>
                <w:szCs w:val="24"/>
                <w:u w:val="none"/>
                <w:lang w:val="en-US" w:eastAsia="zh-CN" w:bidi="ar"/>
              </w:rPr>
              <w:t>2019年12月-2020年3月</w:t>
            </w:r>
          </w:p>
        </w:tc>
      </w:tr>
      <w:tr>
        <w:tblPrEx>
          <w:tblBorders>
            <w:top w:val="single" w:color="auto" w:sz="4"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704" w:type="dxa"/>
            <w:gridSpan w:val="2"/>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bCs/>
                <w:i w:val="0"/>
                <w:color w:val="000000"/>
                <w:kern w:val="2"/>
                <w:sz w:val="24"/>
                <w:szCs w:val="24"/>
                <w:u w:val="none"/>
                <w:lang w:val="en-US" w:eastAsia="zh-CN" w:bidi="ar"/>
              </w:rPr>
            </w:pPr>
          </w:p>
        </w:tc>
        <w:tc>
          <w:tcPr>
            <w:tcW w:w="170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bCs/>
                <w:i w:val="0"/>
                <w:color w:val="000000"/>
                <w:kern w:val="2"/>
                <w:sz w:val="24"/>
                <w:szCs w:val="24"/>
                <w:u w:val="none"/>
                <w:lang w:val="en-US" w:eastAsia="zh-CN" w:bidi="ar"/>
              </w:rPr>
            </w:pPr>
            <w:r>
              <w:rPr>
                <w:rFonts w:hint="eastAsia" w:ascii="楷体" w:hAnsi="楷体" w:eastAsia="楷体" w:cs="楷体"/>
                <w:b/>
                <w:bCs/>
                <w:i w:val="0"/>
                <w:color w:val="000000"/>
                <w:kern w:val="2"/>
                <w:sz w:val="24"/>
                <w:szCs w:val="24"/>
                <w:u w:val="none"/>
                <w:lang w:val="en-US" w:eastAsia="zh-CN" w:bidi="ar"/>
              </w:rPr>
              <w:t>成交量（万吨）</w:t>
            </w:r>
          </w:p>
        </w:tc>
        <w:tc>
          <w:tcPr>
            <w:tcW w:w="170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bCs/>
                <w:i w:val="0"/>
                <w:color w:val="000000"/>
                <w:kern w:val="2"/>
                <w:sz w:val="24"/>
                <w:szCs w:val="24"/>
                <w:u w:val="none"/>
                <w:lang w:val="en-US" w:eastAsia="zh-CN" w:bidi="ar"/>
              </w:rPr>
            </w:pPr>
            <w:r>
              <w:rPr>
                <w:rFonts w:hint="eastAsia" w:ascii="楷体" w:hAnsi="楷体" w:eastAsia="楷体" w:cs="楷体"/>
                <w:b/>
                <w:bCs/>
                <w:i w:val="0"/>
                <w:color w:val="000000"/>
                <w:kern w:val="2"/>
                <w:sz w:val="24"/>
                <w:szCs w:val="24"/>
                <w:u w:val="none"/>
                <w:lang w:val="en-US" w:eastAsia="zh-CN" w:bidi="ar"/>
              </w:rPr>
              <w:t>成交额（亿元）</w:t>
            </w:r>
          </w:p>
        </w:tc>
        <w:tc>
          <w:tcPr>
            <w:tcW w:w="170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color w:val="000000"/>
                <w:kern w:val="2"/>
                <w:sz w:val="24"/>
                <w:szCs w:val="24"/>
                <w:u w:val="none"/>
                <w:lang w:val="en-US" w:eastAsia="zh-CN" w:bidi="ar"/>
              </w:rPr>
            </w:pPr>
            <w:r>
              <w:rPr>
                <w:rFonts w:hint="eastAsia" w:ascii="楷体" w:hAnsi="楷体" w:eastAsia="楷体" w:cs="楷体"/>
                <w:b/>
                <w:bCs/>
                <w:i w:val="0"/>
                <w:color w:val="000000"/>
                <w:kern w:val="2"/>
                <w:sz w:val="24"/>
                <w:szCs w:val="24"/>
                <w:u w:val="none"/>
                <w:lang w:val="en-US" w:eastAsia="zh-CN" w:bidi="ar"/>
              </w:rPr>
              <w:t>成交量（万吨）</w:t>
            </w:r>
          </w:p>
        </w:tc>
        <w:tc>
          <w:tcPr>
            <w:tcW w:w="1706"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bCs/>
                <w:i w:val="0"/>
                <w:color w:val="000000"/>
                <w:kern w:val="2"/>
                <w:sz w:val="24"/>
                <w:szCs w:val="24"/>
                <w:u w:val="none"/>
                <w:lang w:val="en-US" w:eastAsia="zh-CN" w:bidi="ar"/>
              </w:rPr>
            </w:pPr>
            <w:r>
              <w:rPr>
                <w:rFonts w:hint="eastAsia" w:ascii="楷体" w:hAnsi="楷体" w:eastAsia="楷体" w:cs="楷体"/>
                <w:b/>
                <w:bCs/>
                <w:i w:val="0"/>
                <w:color w:val="000000"/>
                <w:kern w:val="2"/>
                <w:sz w:val="24"/>
                <w:szCs w:val="24"/>
                <w:u w:val="none"/>
                <w:lang w:val="en-US" w:eastAsia="zh-CN" w:bidi="ar"/>
              </w:rPr>
              <w:t>成交额（亿元）</w:t>
            </w:r>
          </w:p>
        </w:tc>
      </w:tr>
      <w:tr>
        <w:tblPrEx>
          <w:tblBorders>
            <w:top w:val="single" w:color="auto" w:sz="4"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54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w:t>
            </w:r>
          </w:p>
        </w:tc>
        <w:tc>
          <w:tcPr>
            <w:tcW w:w="116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豆角</w:t>
            </w:r>
          </w:p>
        </w:tc>
        <w:tc>
          <w:tcPr>
            <w:tcW w:w="170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5.62</w:t>
            </w:r>
          </w:p>
        </w:tc>
        <w:tc>
          <w:tcPr>
            <w:tcW w:w="170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4.38</w:t>
            </w:r>
          </w:p>
        </w:tc>
        <w:tc>
          <w:tcPr>
            <w:tcW w:w="170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6.69</w:t>
            </w:r>
          </w:p>
        </w:tc>
        <w:tc>
          <w:tcPr>
            <w:tcW w:w="1706"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4.17</w:t>
            </w:r>
          </w:p>
        </w:tc>
      </w:tr>
      <w:tr>
        <w:tblPrEx>
          <w:tblBorders>
            <w:top w:val="single" w:color="auto" w:sz="4"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54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2</w:t>
            </w:r>
          </w:p>
        </w:tc>
        <w:tc>
          <w:tcPr>
            <w:tcW w:w="116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苦瓜</w:t>
            </w:r>
          </w:p>
        </w:tc>
        <w:tc>
          <w:tcPr>
            <w:tcW w:w="170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1.62</w:t>
            </w:r>
          </w:p>
        </w:tc>
        <w:tc>
          <w:tcPr>
            <w:tcW w:w="170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0.72</w:t>
            </w:r>
          </w:p>
        </w:tc>
        <w:tc>
          <w:tcPr>
            <w:tcW w:w="170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1.14</w:t>
            </w:r>
          </w:p>
        </w:tc>
        <w:tc>
          <w:tcPr>
            <w:tcW w:w="1706"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0.50</w:t>
            </w:r>
          </w:p>
        </w:tc>
      </w:tr>
      <w:tr>
        <w:tblPrEx>
          <w:tblBorders>
            <w:top w:val="single" w:color="auto" w:sz="4"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54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3</w:t>
            </w:r>
          </w:p>
        </w:tc>
        <w:tc>
          <w:tcPr>
            <w:tcW w:w="116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青瓜</w:t>
            </w:r>
          </w:p>
        </w:tc>
        <w:tc>
          <w:tcPr>
            <w:tcW w:w="170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1.66</w:t>
            </w:r>
          </w:p>
        </w:tc>
        <w:tc>
          <w:tcPr>
            <w:tcW w:w="170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0.68</w:t>
            </w:r>
          </w:p>
        </w:tc>
        <w:tc>
          <w:tcPr>
            <w:tcW w:w="170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2.01</w:t>
            </w:r>
          </w:p>
        </w:tc>
        <w:tc>
          <w:tcPr>
            <w:tcW w:w="1706"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0.55</w:t>
            </w:r>
          </w:p>
        </w:tc>
      </w:tr>
      <w:tr>
        <w:tblPrEx>
          <w:tblBorders>
            <w:top w:val="single" w:color="auto" w:sz="4"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54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4</w:t>
            </w:r>
          </w:p>
        </w:tc>
        <w:tc>
          <w:tcPr>
            <w:tcW w:w="116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茄子</w:t>
            </w:r>
          </w:p>
        </w:tc>
        <w:tc>
          <w:tcPr>
            <w:tcW w:w="170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1.82</w:t>
            </w:r>
          </w:p>
        </w:tc>
        <w:tc>
          <w:tcPr>
            <w:tcW w:w="170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0.48</w:t>
            </w:r>
          </w:p>
        </w:tc>
        <w:tc>
          <w:tcPr>
            <w:tcW w:w="170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1.17</w:t>
            </w:r>
          </w:p>
        </w:tc>
        <w:tc>
          <w:tcPr>
            <w:tcW w:w="1706"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0.24</w:t>
            </w:r>
          </w:p>
        </w:tc>
      </w:tr>
      <w:tr>
        <w:tblPrEx>
          <w:tblBorders>
            <w:top w:val="single" w:color="auto" w:sz="4"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54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5</w:t>
            </w:r>
          </w:p>
        </w:tc>
        <w:tc>
          <w:tcPr>
            <w:tcW w:w="116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丝瓜</w:t>
            </w:r>
          </w:p>
        </w:tc>
        <w:tc>
          <w:tcPr>
            <w:tcW w:w="170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0.38</w:t>
            </w:r>
          </w:p>
        </w:tc>
        <w:tc>
          <w:tcPr>
            <w:tcW w:w="170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0.13</w:t>
            </w:r>
          </w:p>
        </w:tc>
        <w:tc>
          <w:tcPr>
            <w:tcW w:w="170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0.39</w:t>
            </w:r>
          </w:p>
        </w:tc>
        <w:tc>
          <w:tcPr>
            <w:tcW w:w="1706"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0.18</w:t>
            </w:r>
          </w:p>
        </w:tc>
      </w:tr>
      <w:tr>
        <w:tblPrEx>
          <w:tblBorders>
            <w:top w:val="single" w:color="auto" w:sz="4"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54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6</w:t>
            </w:r>
          </w:p>
        </w:tc>
        <w:tc>
          <w:tcPr>
            <w:tcW w:w="116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四季豆</w:t>
            </w:r>
          </w:p>
        </w:tc>
        <w:tc>
          <w:tcPr>
            <w:tcW w:w="170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0.33</w:t>
            </w:r>
          </w:p>
        </w:tc>
        <w:tc>
          <w:tcPr>
            <w:tcW w:w="170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0.25</w:t>
            </w:r>
          </w:p>
        </w:tc>
        <w:tc>
          <w:tcPr>
            <w:tcW w:w="170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0.34</w:t>
            </w:r>
          </w:p>
        </w:tc>
        <w:tc>
          <w:tcPr>
            <w:tcW w:w="1706"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0.28</w:t>
            </w:r>
          </w:p>
        </w:tc>
      </w:tr>
      <w:tr>
        <w:tblPrEx>
          <w:tblBorders>
            <w:top w:val="single" w:color="auto" w:sz="4"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54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7</w:t>
            </w:r>
          </w:p>
        </w:tc>
        <w:tc>
          <w:tcPr>
            <w:tcW w:w="116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芒果</w:t>
            </w:r>
          </w:p>
        </w:tc>
        <w:tc>
          <w:tcPr>
            <w:tcW w:w="170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24.86</w:t>
            </w:r>
          </w:p>
        </w:tc>
        <w:tc>
          <w:tcPr>
            <w:tcW w:w="170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14.47</w:t>
            </w:r>
          </w:p>
        </w:tc>
        <w:tc>
          <w:tcPr>
            <w:tcW w:w="170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17.56</w:t>
            </w:r>
          </w:p>
        </w:tc>
        <w:tc>
          <w:tcPr>
            <w:tcW w:w="1706"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10.28</w:t>
            </w:r>
          </w:p>
        </w:tc>
      </w:tr>
      <w:tr>
        <w:tblPrEx>
          <w:tblBorders>
            <w:top w:val="single" w:color="auto" w:sz="4"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704" w:type="dxa"/>
            <w:gridSpan w:val="2"/>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七大品种小计</w:t>
            </w:r>
          </w:p>
        </w:tc>
        <w:tc>
          <w:tcPr>
            <w:tcW w:w="170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36.30</w:t>
            </w:r>
          </w:p>
        </w:tc>
        <w:tc>
          <w:tcPr>
            <w:tcW w:w="170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21.12</w:t>
            </w:r>
          </w:p>
        </w:tc>
        <w:tc>
          <w:tcPr>
            <w:tcW w:w="170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29.29</w:t>
            </w:r>
          </w:p>
        </w:tc>
        <w:tc>
          <w:tcPr>
            <w:tcW w:w="1706"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16.20</w:t>
            </w:r>
          </w:p>
        </w:tc>
      </w:tr>
      <w:tr>
        <w:tblPrEx>
          <w:tblBorders>
            <w:top w:val="single" w:color="auto" w:sz="4"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704" w:type="dxa"/>
            <w:gridSpan w:val="2"/>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其他品种</w:t>
            </w:r>
          </w:p>
        </w:tc>
        <w:tc>
          <w:tcPr>
            <w:tcW w:w="170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7.12</w:t>
            </w:r>
          </w:p>
        </w:tc>
        <w:tc>
          <w:tcPr>
            <w:tcW w:w="170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w:t>
            </w:r>
          </w:p>
        </w:tc>
        <w:tc>
          <w:tcPr>
            <w:tcW w:w="170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1.95</w:t>
            </w:r>
          </w:p>
        </w:tc>
        <w:tc>
          <w:tcPr>
            <w:tcW w:w="1706"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w:t>
            </w:r>
          </w:p>
        </w:tc>
      </w:tr>
      <w:tr>
        <w:tblPrEx>
          <w:tblBorders>
            <w:top w:val="single" w:color="auto" w:sz="4"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704" w:type="dxa"/>
            <w:gridSpan w:val="2"/>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总计</w:t>
            </w:r>
          </w:p>
        </w:tc>
        <w:tc>
          <w:tcPr>
            <w:tcW w:w="170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43.42</w:t>
            </w:r>
          </w:p>
        </w:tc>
        <w:tc>
          <w:tcPr>
            <w:tcW w:w="170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w:t>
            </w:r>
          </w:p>
        </w:tc>
        <w:tc>
          <w:tcPr>
            <w:tcW w:w="170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31.24</w:t>
            </w:r>
          </w:p>
        </w:tc>
        <w:tc>
          <w:tcPr>
            <w:tcW w:w="1706"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righ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w:t>
            </w:r>
          </w:p>
        </w:tc>
      </w:tr>
    </w:tbl>
    <w:p>
      <w:pPr>
        <w:pStyle w:val="5"/>
        <w:numPr>
          <w:ilvl w:val="0"/>
          <w:numId w:val="38"/>
        </w:numPr>
        <w:bidi w:val="0"/>
        <w:rPr>
          <w:rFonts w:hint="default"/>
          <w:lang w:val="en-US" w:eastAsia="zh-CN"/>
        </w:rPr>
      </w:pPr>
      <w:bookmarkStart w:id="441" w:name="_Toc2746"/>
      <w:bookmarkStart w:id="442" w:name="_Toc25993"/>
      <w:bookmarkStart w:id="443" w:name="_Toc26167"/>
      <w:r>
        <w:rPr>
          <w:rFonts w:hint="eastAsia"/>
          <w:lang w:val="en-US" w:eastAsia="zh-CN"/>
        </w:rPr>
        <w:t>三亚崖州</w:t>
      </w:r>
      <w:r>
        <w:rPr>
          <w:rFonts w:hint="default"/>
          <w:lang w:val="en-US" w:eastAsia="zh-CN"/>
        </w:rPr>
        <w:t>中心渔港</w:t>
      </w:r>
      <w:r>
        <w:rPr>
          <w:rFonts w:hint="eastAsia"/>
          <w:lang w:val="en-US" w:eastAsia="zh-CN"/>
        </w:rPr>
        <w:t>基础建设需要加快，服务功能需要提升</w:t>
      </w:r>
      <w:bookmarkEnd w:id="441"/>
      <w:bookmarkEnd w:id="442"/>
      <w:bookmarkEnd w:id="443"/>
    </w:p>
    <w:p>
      <w:pPr>
        <w:rPr>
          <w:rFonts w:hint="default"/>
          <w:lang w:val="en-US" w:eastAsia="zh-CN"/>
        </w:rPr>
      </w:pPr>
      <w:r>
        <w:rPr>
          <w:rFonts w:hint="eastAsia"/>
          <w:lang w:val="en-US" w:eastAsia="zh-CN"/>
        </w:rPr>
        <w:t>三亚崖州中心渔港是中国最南、最深入南海、距离南海周边国家最近的中心渔港，2020年卸鱼量可达10万吨，但港口功能较为单一，渔港经济产业链仅集中在渔船停泊卸货、仓储、交易环节，需要提升基础设施配套、健全服务功能。</w:t>
      </w:r>
    </w:p>
    <w:p>
      <w:pPr>
        <w:rPr>
          <w:rFonts w:hint="default"/>
          <w:lang w:val="en-US" w:eastAsia="zh-CN"/>
        </w:rPr>
      </w:pPr>
      <w:r>
        <w:rPr>
          <w:rFonts w:hint="eastAsia"/>
          <w:b/>
          <w:bCs/>
          <w:lang w:val="en-US" w:eastAsia="zh-CN"/>
        </w:rPr>
        <w:t>一是冷库空间不足。</w:t>
      </w:r>
      <w:r>
        <w:rPr>
          <w:rFonts w:hint="eastAsia"/>
          <w:lang w:val="en-US" w:eastAsia="zh-CN"/>
        </w:rPr>
        <w:t>目前库容只能满足近期发展需要，大量渔船前往福建渔港卸鱼、并享受水电费优惠政策。</w:t>
      </w:r>
    </w:p>
    <w:p>
      <w:pPr>
        <w:rPr>
          <w:rFonts w:hint="eastAsia"/>
          <w:lang w:val="en-US" w:eastAsia="zh-CN"/>
        </w:rPr>
      </w:pPr>
      <w:r>
        <w:rPr>
          <w:rFonts w:hint="eastAsia"/>
          <w:b/>
          <w:bCs/>
          <w:lang w:val="en-US" w:eastAsia="zh-CN"/>
        </w:rPr>
        <w:t>二是交易业态较为原始落后。</w:t>
      </w:r>
      <w:r>
        <w:rPr>
          <w:rFonts w:hint="eastAsia"/>
          <w:b w:val="0"/>
          <w:bCs w:val="0"/>
          <w:lang w:val="en-US" w:eastAsia="zh-CN"/>
        </w:rPr>
        <w:t>港区内</w:t>
      </w:r>
      <w:r>
        <w:rPr>
          <w:rFonts w:hint="eastAsia"/>
          <w:lang w:val="en-US" w:eastAsia="zh-CN"/>
        </w:rPr>
        <w:t>有3.6万平方米交易中心，业态以传统鱼贩业户交易、打包为主，缺少现代商业模式，经济效益不高。</w:t>
      </w:r>
    </w:p>
    <w:p>
      <w:pPr>
        <w:rPr>
          <w:rFonts w:hint="eastAsia"/>
          <w:lang w:val="en-US" w:eastAsia="zh-CN"/>
        </w:rPr>
      </w:pPr>
      <w:r>
        <w:rPr>
          <w:rFonts w:hint="eastAsia"/>
          <w:b/>
          <w:bCs/>
          <w:lang w:val="en-US" w:eastAsia="zh-CN"/>
        </w:rPr>
        <w:t>三是水产品加工区尚未建成。</w:t>
      </w:r>
      <w:r>
        <w:rPr>
          <w:rFonts w:hint="eastAsia"/>
          <w:lang w:val="en-US" w:eastAsia="zh-CN"/>
        </w:rPr>
        <w:t>水产品加工区正在建设，企业进入较少，水产品港后加工的比例较低，导致渔港经济产业链过短、产值体量不大。</w:t>
      </w:r>
    </w:p>
    <w:p>
      <w:pPr>
        <w:rPr>
          <w:rFonts w:hint="eastAsia"/>
          <w:lang w:val="en-US" w:eastAsia="zh-CN"/>
        </w:rPr>
      </w:pPr>
      <w:r>
        <w:rPr>
          <w:rFonts w:hint="eastAsia"/>
          <w:b/>
          <w:bCs/>
          <w:lang w:val="en-US" w:eastAsia="zh-CN"/>
        </w:rPr>
        <w:t>四是港池锚地需要升级。</w:t>
      </w:r>
      <w:r>
        <w:rPr>
          <w:rFonts w:hint="eastAsia"/>
          <w:lang w:val="en-US" w:eastAsia="zh-CN"/>
        </w:rPr>
        <w:t>由于出港通道上的无名岛被国土部门登记导致无法疏浚，万吨级船舶无法进入港池，港池最大停泊3000吨船。锚地面积较小，已无法满足高峰期停泊需求。</w:t>
      </w:r>
    </w:p>
    <w:p>
      <w:pPr>
        <w:pStyle w:val="5"/>
        <w:numPr>
          <w:ilvl w:val="0"/>
          <w:numId w:val="38"/>
        </w:numPr>
        <w:bidi w:val="0"/>
        <w:rPr>
          <w:rFonts w:hint="default"/>
          <w:lang w:val="en-US" w:eastAsia="zh-CN"/>
        </w:rPr>
      </w:pPr>
      <w:bookmarkStart w:id="444" w:name="_Toc31185"/>
      <w:bookmarkStart w:id="445" w:name="_Toc11079"/>
      <w:bookmarkStart w:id="446" w:name="_Toc3502"/>
      <w:r>
        <w:rPr>
          <w:rFonts w:hint="eastAsia"/>
          <w:lang w:val="en-US" w:eastAsia="zh-CN"/>
        </w:rPr>
        <w:t>一般生活服务业需要升级补足短板，应对消费升级新需求</w:t>
      </w:r>
      <w:bookmarkEnd w:id="444"/>
      <w:bookmarkEnd w:id="445"/>
      <w:bookmarkEnd w:id="446"/>
    </w:p>
    <w:p>
      <w:pPr>
        <w:rPr>
          <w:rFonts w:hint="default"/>
          <w:lang w:val="en-US" w:eastAsia="zh-CN"/>
        </w:rPr>
      </w:pPr>
      <w:r>
        <w:rPr>
          <w:rFonts w:hint="eastAsia"/>
          <w:lang w:val="en-US" w:eastAsia="zh-CN"/>
        </w:rPr>
        <w:t>全区购物、餐饮、娱乐等生活服务业发展较为滞后，商业发展水平不及省内多数县（市）。购物消费以农贸市场、中小型商超、临街门店为主，餐饮和娱乐消费以临街商铺、外摆摊位、大排档为主，缺少大中型城市购物中心、城市综合体、大型连锁超市项目。崖州目前生活服务业不能满足崖州湾科技城新增人群、外来游客人群、本地居民消费升级的需要，难以匹配市辖区的发展定位，亟需引入落地大型城市综合体项目。</w:t>
      </w:r>
    </w:p>
    <w:p>
      <w:pPr>
        <w:pStyle w:val="3"/>
        <w:bidi w:val="0"/>
        <w:rPr>
          <w:rFonts w:hint="default"/>
          <w:lang w:val="en-US" w:eastAsia="zh-CN"/>
        </w:rPr>
      </w:pPr>
      <w:bookmarkStart w:id="447" w:name="_Toc10032"/>
      <w:bookmarkStart w:id="448" w:name="_Toc14536"/>
      <w:bookmarkStart w:id="449" w:name="_Toc18024"/>
      <w:r>
        <w:rPr>
          <w:rFonts w:hint="eastAsia"/>
          <w:lang w:val="en-US" w:eastAsia="zh-CN"/>
        </w:rPr>
        <w:t>第三节  发展路径</w:t>
      </w:r>
      <w:bookmarkEnd w:id="447"/>
      <w:bookmarkEnd w:id="448"/>
      <w:bookmarkEnd w:id="449"/>
    </w:p>
    <w:p>
      <w:pPr>
        <w:pStyle w:val="4"/>
        <w:bidi w:val="0"/>
        <w:rPr>
          <w:rFonts w:hint="eastAsia"/>
          <w:lang w:val="en-US" w:eastAsia="zh-CN"/>
        </w:rPr>
      </w:pPr>
      <w:bookmarkStart w:id="450" w:name="_Toc12800"/>
      <w:bookmarkStart w:id="451" w:name="_Toc16526"/>
      <w:bookmarkStart w:id="452" w:name="_Toc17239"/>
      <w:r>
        <w:rPr>
          <w:rFonts w:hint="eastAsia"/>
          <w:lang w:val="en-US" w:eastAsia="zh-CN"/>
        </w:rPr>
        <w:t>一、旅游业发展路径</w:t>
      </w:r>
      <w:bookmarkEnd w:id="450"/>
      <w:bookmarkEnd w:id="451"/>
      <w:bookmarkEnd w:id="452"/>
    </w:p>
    <w:p>
      <w:pPr>
        <w:pStyle w:val="5"/>
        <w:numPr>
          <w:ilvl w:val="0"/>
          <w:numId w:val="39"/>
        </w:numPr>
        <w:bidi w:val="0"/>
        <w:rPr>
          <w:rFonts w:hint="default"/>
          <w:lang w:val="en-US" w:eastAsia="zh-CN"/>
        </w:rPr>
      </w:pPr>
      <w:bookmarkStart w:id="453" w:name="_Toc29420"/>
      <w:bookmarkStart w:id="454" w:name="_Toc1155"/>
      <w:bookmarkStart w:id="455" w:name="_Toc5547"/>
      <w:bookmarkStart w:id="456" w:name="_Toc24140"/>
      <w:r>
        <w:rPr>
          <w:rFonts w:hint="eastAsia"/>
          <w:lang w:val="en-US" w:eastAsia="zh-CN"/>
        </w:rPr>
        <w:t>创建国家全域旅游示范区，打造六大全域旅游目的地</w:t>
      </w:r>
      <w:bookmarkEnd w:id="453"/>
      <w:bookmarkEnd w:id="454"/>
      <w:bookmarkEnd w:id="455"/>
    </w:p>
    <w:p>
      <w:pPr>
        <w:rPr>
          <w:rFonts w:hint="default"/>
          <w:b w:val="0"/>
          <w:bCs w:val="0"/>
          <w:lang w:val="en-US" w:eastAsia="zh-CN"/>
        </w:rPr>
      </w:pPr>
      <w:r>
        <w:rPr>
          <w:rFonts w:hint="eastAsia"/>
          <w:lang w:val="en-US" w:eastAsia="zh-CN"/>
        </w:rPr>
        <w:t>以创建国家全域旅游示范区为核心引领，发挥崖州文化、科技、生态、乡村、度假、红色等旅游产品类型丰富多样优势端，坚持提供创新型、体验型、复合型旅游产品，构建“两带三地、一古城三新城、全域多点”的旅游业功能布局，打造“六大旅游目的地”的全域旅游格局。“六大旅游目的地”指打造以崖州千年古城为核心的</w:t>
      </w:r>
      <w:r>
        <w:rPr>
          <w:rFonts w:hint="eastAsia"/>
          <w:b/>
          <w:bCs/>
          <w:lang w:val="en-US" w:eastAsia="zh-CN"/>
        </w:rPr>
        <w:t>历史文化旅游目的地</w:t>
      </w:r>
      <w:r>
        <w:rPr>
          <w:rFonts w:hint="eastAsia"/>
          <w:lang w:val="en-US" w:eastAsia="zh-CN"/>
        </w:rPr>
        <w:t>，以南山、大小洞天为核心的</w:t>
      </w:r>
      <w:r>
        <w:rPr>
          <w:rFonts w:hint="eastAsia"/>
          <w:b/>
          <w:bCs/>
          <w:lang w:val="en-US" w:eastAsia="zh-CN"/>
        </w:rPr>
        <w:t>宗教文化旅游目的地</w:t>
      </w:r>
      <w:r>
        <w:rPr>
          <w:rFonts w:hint="eastAsia"/>
          <w:lang w:val="en-US" w:eastAsia="zh-CN"/>
        </w:rPr>
        <w:t>，以南繁、深海为核心的</w:t>
      </w:r>
      <w:r>
        <w:rPr>
          <w:rFonts w:hint="eastAsia"/>
          <w:b/>
          <w:bCs/>
          <w:lang w:val="en-US" w:eastAsia="zh-CN"/>
        </w:rPr>
        <w:t>科普研学旅游目的地</w:t>
      </w:r>
      <w:r>
        <w:rPr>
          <w:rFonts w:hint="eastAsia"/>
          <w:lang w:val="en-US" w:eastAsia="zh-CN"/>
        </w:rPr>
        <w:t>，以农旅融合为核心的</w:t>
      </w:r>
      <w:r>
        <w:rPr>
          <w:rFonts w:hint="eastAsia"/>
          <w:b/>
          <w:bCs/>
          <w:lang w:val="en-US" w:eastAsia="zh-CN"/>
        </w:rPr>
        <w:t>农旅度假康养旅游目的地</w:t>
      </w:r>
      <w:r>
        <w:rPr>
          <w:rFonts w:hint="eastAsia"/>
          <w:lang w:val="en-US" w:eastAsia="zh-CN"/>
        </w:rPr>
        <w:t>，以“海陆空”运动为核心的</w:t>
      </w:r>
      <w:r>
        <w:rPr>
          <w:rFonts w:hint="eastAsia"/>
          <w:b/>
          <w:bCs/>
          <w:lang w:val="en-US" w:eastAsia="zh-CN"/>
        </w:rPr>
        <w:t>体育旅游目的地</w:t>
      </w:r>
      <w:r>
        <w:rPr>
          <w:rFonts w:hint="eastAsia"/>
          <w:lang w:val="en-US" w:eastAsia="zh-CN"/>
        </w:rPr>
        <w:t>，以梅山爱国主义教育基地为核心的</w:t>
      </w:r>
      <w:r>
        <w:rPr>
          <w:rFonts w:hint="eastAsia"/>
          <w:b/>
          <w:bCs/>
          <w:lang w:val="en-US" w:eastAsia="zh-CN"/>
        </w:rPr>
        <w:t>红色旅游目的地</w:t>
      </w:r>
      <w:r>
        <w:rPr>
          <w:rFonts w:hint="eastAsia"/>
          <w:lang w:val="en-US" w:eastAsia="zh-CN"/>
        </w:rPr>
        <w:t>。</w:t>
      </w:r>
      <w:r>
        <w:rPr>
          <w:rFonts w:hint="eastAsia"/>
          <w:b w:val="0"/>
          <w:bCs w:val="0"/>
          <w:lang w:val="en-US" w:eastAsia="zh-CN"/>
        </w:rPr>
        <w:t>近期重点突出梅山片区，突出梅山片区康养旅游、红色旅游、婚庆服务整体形象，打造梅山旅游产业链条，树立全域全域旅游示范。</w:t>
      </w:r>
    </w:p>
    <w:p>
      <w:pPr>
        <w:pStyle w:val="5"/>
        <w:numPr>
          <w:ilvl w:val="0"/>
          <w:numId w:val="39"/>
        </w:numPr>
        <w:bidi w:val="0"/>
        <w:rPr>
          <w:rFonts w:hint="default"/>
          <w:lang w:val="en-US" w:eastAsia="zh-CN"/>
        </w:rPr>
      </w:pPr>
      <w:bookmarkStart w:id="457" w:name="_Toc4075"/>
      <w:bookmarkStart w:id="458" w:name="_Toc26376"/>
      <w:r>
        <w:rPr>
          <w:rFonts w:hint="eastAsia"/>
          <w:lang w:val="en-US" w:eastAsia="zh-CN"/>
        </w:rPr>
        <w:t>再现崖州古城和崖州八景，打造历史文化旅游目的地</w:t>
      </w:r>
      <w:bookmarkEnd w:id="457"/>
      <w:bookmarkEnd w:id="458"/>
    </w:p>
    <w:p>
      <w:pPr>
        <w:rPr>
          <w:rFonts w:hint="eastAsia" w:ascii="仿宋_GB2312" w:eastAsia="仿宋_GB2312"/>
          <w:lang w:val="en-US" w:eastAsia="zh-CN"/>
        </w:rPr>
      </w:pPr>
      <w:r>
        <w:rPr>
          <w:rFonts w:hint="eastAsia" w:ascii="仿宋_GB2312" w:eastAsia="仿宋_GB2312"/>
          <w:lang w:val="en-US" w:eastAsia="zh-CN"/>
        </w:rPr>
        <w:t>习近平总书记指出“以古人之规矩，开自己之生面”。崖州是中原文化传播的最南端，也是海外文化</w:t>
      </w:r>
      <w:r>
        <w:rPr>
          <w:rFonts w:hint="eastAsia"/>
          <w:lang w:val="en-US" w:eastAsia="zh-CN"/>
        </w:rPr>
        <w:t>自海洋</w:t>
      </w:r>
      <w:r>
        <w:rPr>
          <w:rFonts w:hint="eastAsia" w:ascii="仿宋_GB2312" w:eastAsia="仿宋_GB2312"/>
          <w:lang w:val="en-US" w:eastAsia="zh-CN"/>
        </w:rPr>
        <w:t>进入</w:t>
      </w:r>
      <w:r>
        <w:rPr>
          <w:rFonts w:hint="eastAsia"/>
          <w:lang w:val="en-US" w:eastAsia="zh-CN"/>
        </w:rPr>
        <w:t>中国</w:t>
      </w:r>
      <w:r>
        <w:rPr>
          <w:rFonts w:hint="eastAsia" w:ascii="仿宋_GB2312" w:eastAsia="仿宋_GB2312"/>
          <w:lang w:val="en-US" w:eastAsia="zh-CN"/>
        </w:rPr>
        <w:t>的前站，崖州古城是海南古代四大州城之一</w:t>
      </w:r>
      <w:r>
        <w:rPr>
          <w:rFonts w:hint="eastAsia"/>
          <w:lang w:val="en-US" w:eastAsia="zh-CN"/>
        </w:rPr>
        <w:t>、</w:t>
      </w:r>
      <w:r>
        <w:rPr>
          <w:rFonts w:hint="eastAsia" w:ascii="仿宋_GB2312" w:eastAsia="仿宋_GB2312"/>
          <w:lang w:val="en-US" w:eastAsia="zh-CN"/>
        </w:rPr>
        <w:t>中国</w:t>
      </w:r>
      <w:r>
        <w:rPr>
          <w:rFonts w:hint="eastAsia"/>
          <w:lang w:val="en-US" w:eastAsia="zh-CN"/>
        </w:rPr>
        <w:t>古代</w:t>
      </w:r>
      <w:r>
        <w:rPr>
          <w:rFonts w:hint="eastAsia" w:ascii="仿宋_GB2312" w:eastAsia="仿宋_GB2312"/>
          <w:lang w:val="en-US" w:eastAsia="zh-CN"/>
        </w:rPr>
        <w:t>最南</w:t>
      </w:r>
      <w:r>
        <w:rPr>
          <w:rFonts w:hint="eastAsia"/>
          <w:lang w:val="en-US" w:eastAsia="zh-CN"/>
        </w:rPr>
        <w:t>端</w:t>
      </w:r>
      <w:r>
        <w:rPr>
          <w:rFonts w:hint="eastAsia" w:ascii="仿宋_GB2312" w:eastAsia="仿宋_GB2312"/>
          <w:lang w:val="en-US" w:eastAsia="zh-CN"/>
        </w:rPr>
        <w:t>具有军事防御能力的城池</w:t>
      </w:r>
      <w:r>
        <w:rPr>
          <w:rFonts w:hint="eastAsia"/>
          <w:lang w:val="en-US" w:eastAsia="zh-CN"/>
        </w:rPr>
        <w:t>，</w:t>
      </w:r>
      <w:r>
        <w:rPr>
          <w:rFonts w:hint="eastAsia" w:ascii="仿宋_GB2312" w:eastAsia="仿宋_GB2312"/>
          <w:lang w:val="en-US" w:eastAsia="zh-CN"/>
        </w:rPr>
        <w:t>崖州是中原文化与海外文化交融之处、大陆文化与海洋文化交融之处、多民族多宗教多文明交融之处、海上丝绸之路途径之处、华夏昆仑龙脉出溟入洋之处，崖州千年文明就是一部海纳百川、交融互鉴的南海文化史，是南海主权重要的历史文化解释，是南海文化的支点，地位独特、意义重大、不可多得。</w:t>
      </w:r>
    </w:p>
    <w:p>
      <w:pPr>
        <w:rPr>
          <w:rFonts w:hint="eastAsia" w:ascii="仿宋_GB2312" w:eastAsia="仿宋_GB2312"/>
          <w:b w:val="0"/>
          <w:bCs w:val="0"/>
          <w:lang w:val="en-US" w:eastAsia="zh-CN"/>
        </w:rPr>
      </w:pPr>
      <w:r>
        <w:rPr>
          <w:rFonts w:hint="eastAsia" w:ascii="仿宋_GB2312" w:eastAsia="仿宋_GB2312"/>
          <w:b/>
          <w:bCs/>
          <w:lang w:val="en-US" w:eastAsia="zh-CN"/>
        </w:rPr>
        <w:t>一是提炼“南海文化”，服务南海战略。</w:t>
      </w:r>
      <w:r>
        <w:rPr>
          <w:rFonts w:hint="eastAsia" w:ascii="仿宋_GB2312" w:eastAsia="仿宋_GB2312"/>
          <w:lang w:val="en-US" w:eastAsia="zh-CN"/>
        </w:rPr>
        <w:t>“南海文化”是捍卫南海主权的重要武器，“主权属我”是基于历史的合理合法延续。崖州因南海而生、因南海而兴，国家赋予崖州服务保障南海战略的使命任务，提炼和宣传“南海文化”具有重要意义。在文化、艺术、宗教、民俗迹遗开发中挖掘充实“南海”概念</w:t>
      </w:r>
      <w:r>
        <w:rPr>
          <w:rFonts w:hint="eastAsia" w:ascii="仿宋_GB2312" w:eastAsia="仿宋_GB2312"/>
          <w:b w:val="0"/>
          <w:bCs w:val="0"/>
          <w:lang w:val="en-US" w:eastAsia="zh-CN"/>
        </w:rPr>
        <w:t>，围绕古城和周边打造南海历史文化游，围绕南山和大小洞天打造南海宗教文化游，围绕保平、水南打造南海民俗文化游，围绕疍家文化体验打造南海渔家文化游，围绕深海和南繁打造南海科技研学游。</w:t>
      </w:r>
    </w:p>
    <w:tbl>
      <w:tblPr>
        <w:tblStyle w:val="19"/>
        <w:tblW w:w="0" w:type="auto"/>
        <w:tblInd w:w="0" w:type="dxa"/>
        <w:tblBorders>
          <w:top w:val="thinThickSmallGap" w:color="auto" w:sz="2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thinThickSmallGap" w:color="auto" w:sz="2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22" w:type="dxa"/>
            <w:tcBorders>
              <w:top w:val="thinThickSmallGap" w:color="A4A4A4" w:sz="12" w:space="0"/>
              <w:bottom w:val="thickThinSmallGap" w:color="A4A4A4" w:sz="12" w:space="0"/>
            </w:tcBorders>
          </w:tcPr>
          <w:p>
            <w:pPr>
              <w:pStyle w:val="31"/>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b/>
                <w:bCs/>
                <w:sz w:val="24"/>
                <w:szCs w:val="24"/>
                <w:lang w:val="en-US" w:eastAsia="zh-CN"/>
              </w:rPr>
            </w:pPr>
            <w:r>
              <w:rPr>
                <w:rFonts w:hint="eastAsia"/>
                <w:b/>
                <w:bCs/>
                <w:sz w:val="24"/>
                <w:szCs w:val="24"/>
                <w:lang w:val="en-US" w:eastAsia="zh-CN"/>
              </w:rPr>
              <w:t>专栏20  南海历史文化是宣誓南海主权的重要武器</w:t>
            </w:r>
          </w:p>
          <w:p>
            <w:pPr>
              <w:pStyle w:val="3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val="0"/>
                <w:bCs w:val="0"/>
                <w:sz w:val="24"/>
                <w:szCs w:val="24"/>
                <w:lang w:val="en-US" w:eastAsia="zh-CN"/>
              </w:rPr>
            </w:pPr>
            <w:r>
              <w:rPr>
                <w:rFonts w:hint="eastAsia"/>
                <w:b w:val="0"/>
                <w:bCs w:val="0"/>
                <w:sz w:val="24"/>
                <w:szCs w:val="24"/>
                <w:lang w:val="en-US" w:eastAsia="zh-CN"/>
              </w:rPr>
              <w:t>“南海文化”是捍卫南海主权的重要武器，“主权属我”是基于历史的合理合法延续。早在汉代之时，中国人就已开始在南海航行。经过长期的航海实践，中国人先后发现了西沙、南沙群岛。宋时，中国人把包括南沙群岛在内的南海诸岛命名为“长沙”“石塘”。明清时，南海诸岛被标示在中国官方地图中，并且标出了南海航线和航程。</w:t>
            </w:r>
          </w:p>
          <w:p>
            <w:pPr>
              <w:pStyle w:val="3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val="0"/>
                <w:bCs w:val="0"/>
                <w:sz w:val="24"/>
                <w:szCs w:val="24"/>
                <w:lang w:val="en-US" w:eastAsia="zh-CN"/>
              </w:rPr>
            </w:pPr>
            <w:r>
              <w:rPr>
                <w:rFonts w:hint="eastAsia"/>
                <w:b w:val="0"/>
                <w:bCs w:val="0"/>
                <w:sz w:val="24"/>
                <w:szCs w:val="24"/>
                <w:lang w:val="en-US" w:eastAsia="zh-CN"/>
              </w:rPr>
              <w:t>《元史》地理志和《元代疆域图叙》记载的元代疆域包括南沙群岛。明朝海南卫巡辖西沙、中沙和南沙群岛，《海南卫指挥佥事柴公墓志铭》记载“广东濒大海,海外诸国皆内属”，“公统兵万余，巨舰五十艘”，巡逻“海道几万里”。《更路簿》起源清康熙年间（1662-1723），是中国渔民祖祖辈辈遗传下来的航行手册，记载了南海诸岛地理位置、航行路线并给部分岛礁命名。</w:t>
            </w:r>
          </w:p>
          <w:p>
            <w:pPr>
              <w:pStyle w:val="3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b w:val="0"/>
                <w:bCs w:val="0"/>
                <w:sz w:val="24"/>
                <w:szCs w:val="24"/>
                <w:lang w:val="en-US" w:eastAsia="zh-CN"/>
              </w:rPr>
            </w:pPr>
            <w:r>
              <w:rPr>
                <w:rFonts w:hint="eastAsia"/>
                <w:b w:val="0"/>
                <w:bCs w:val="0"/>
                <w:sz w:val="24"/>
                <w:szCs w:val="24"/>
                <w:lang w:val="en-US" w:eastAsia="zh-CN"/>
              </w:rPr>
              <w:t>在南沙群岛及附近海域海底发现的古代文物和建筑遗迹，证明中国人最早开发和经营南沙群岛。在南沙群岛的太平、中业、南威等岛屿上有明清时代闽粤渔民建立的水井、茅屋、妈祖庙、石碑等物，罗孔、红草峙、奈罗、铁峙、黄山马、鸟仔峙等岛也有中国渔民挖的水井。</w:t>
            </w:r>
          </w:p>
        </w:tc>
      </w:tr>
    </w:tbl>
    <w:p>
      <w:pPr>
        <w:rPr>
          <w:rFonts w:hint="eastAsia" w:ascii="仿宋_GB2312" w:eastAsia="仿宋_GB2312"/>
          <w:b w:val="0"/>
          <w:bCs w:val="0"/>
          <w:lang w:val="en-US" w:eastAsia="zh-CN"/>
        </w:rPr>
      </w:pPr>
      <w:bookmarkStart w:id="459" w:name="_Toc8863"/>
      <w:r>
        <w:rPr>
          <w:rFonts w:hint="eastAsia" w:ascii="仿宋_GB2312" w:eastAsia="仿宋_GB2312"/>
          <w:b/>
          <w:bCs/>
          <w:lang w:val="en-US" w:eastAsia="zh-CN"/>
        </w:rPr>
        <w:t>二是突出“崖州古城”，打造核心游线。</w:t>
      </w:r>
      <w:r>
        <w:rPr>
          <w:rFonts w:hint="eastAsia" w:ascii="仿宋_GB2312" w:eastAsia="仿宋_GB2312"/>
          <w:b w:val="0"/>
          <w:bCs w:val="0"/>
          <w:lang w:val="en-US" w:eastAsia="zh-CN"/>
        </w:rPr>
        <w:t>加快崖州古城整体保护开发进度，协调近期、中期、远期核心游线开发时序，打造崖州市井、明清院落、艺术品味、时尚生活等多特色文化圈层。突出文旅项目落地开发运营，形成遗址公园、民谣广场、崖州院子、N号粮仓、骑楼老街、学宫文化区、博物馆、海南传统美食、精品艺术酒店等多层次服务业态。</w:t>
      </w:r>
    </w:p>
    <w:tbl>
      <w:tblPr>
        <w:tblStyle w:val="19"/>
        <w:tblW w:w="0" w:type="auto"/>
        <w:tblInd w:w="0" w:type="dxa"/>
        <w:tblBorders>
          <w:top w:val="thinThickSmallGap" w:color="auto" w:sz="12"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thinThickSmallGap" w:color="auto" w:sz="12"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22" w:type="dxa"/>
            <w:tcBorders>
              <w:top w:val="thinThickSmallGap" w:color="A4A4A4" w:sz="12" w:space="0"/>
              <w:bottom w:val="thickThinSmallGap" w:color="A4A4A4" w:sz="12" w:space="0"/>
            </w:tcBorders>
          </w:tcPr>
          <w:p>
            <w:pPr>
              <w:pStyle w:val="31"/>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b/>
                <w:bCs/>
                <w:sz w:val="24"/>
                <w:szCs w:val="24"/>
                <w:lang w:val="en-US" w:eastAsia="zh-CN"/>
              </w:rPr>
            </w:pPr>
            <w:r>
              <w:rPr>
                <w:rFonts w:hint="eastAsia"/>
                <w:b/>
                <w:bCs/>
                <w:sz w:val="24"/>
                <w:szCs w:val="24"/>
                <w:lang w:val="en-US" w:eastAsia="zh-CN"/>
              </w:rPr>
              <w:t>专栏21  崖州与南海文化</w:t>
            </w:r>
          </w:p>
          <w:p>
            <w:pPr>
              <w:pStyle w:val="3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val="0"/>
                <w:bCs w:val="0"/>
                <w:sz w:val="24"/>
                <w:szCs w:val="24"/>
                <w:lang w:val="en-US" w:eastAsia="zh-CN"/>
              </w:rPr>
            </w:pPr>
            <w:r>
              <w:rPr>
                <w:rFonts w:hint="eastAsia"/>
                <w:b w:val="0"/>
                <w:bCs w:val="0"/>
                <w:sz w:val="24"/>
                <w:szCs w:val="24"/>
                <w:lang w:val="en-US" w:eastAsia="zh-CN"/>
              </w:rPr>
              <w:t>崖州是南海文化的重要支点、重要代表、重要传承载体，2000多年中大部分时期都是琼南政治、经济、文化、军事中心，是中国文化下南洋的传播前沿，是南洋文化融入中原的北上登陆点，围绕南海、南洋、南疆、贬南产生了丰富多彩的文化、艺术、宗教、建筑、民俗，并留下诸多迹遗与记载。崖州是琼南历史建筑和文物古迹最多的地区，拥有国家级“历史文化名镇名村”和“中国传统村落”，有丰富的物质和非物质文化遗产，三亚市74%的历史文物古迹位于崖州。南海文化在崖州孕育形成的精神内核包括：</w:t>
            </w:r>
          </w:p>
          <w:p>
            <w:pPr>
              <w:pStyle w:val="3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val="0"/>
                <w:bCs w:val="0"/>
                <w:sz w:val="24"/>
                <w:szCs w:val="24"/>
                <w:lang w:val="en-US" w:eastAsia="zh-CN"/>
              </w:rPr>
            </w:pPr>
            <w:r>
              <w:rPr>
                <w:rFonts w:hint="eastAsia"/>
                <w:b w:val="0"/>
                <w:bCs w:val="0"/>
                <w:sz w:val="24"/>
                <w:szCs w:val="24"/>
                <w:lang w:val="en-US" w:eastAsia="zh-CN"/>
              </w:rPr>
              <w:t>（1）自由。崖州地处“海疆天涯”面向广袤南海，远离历代王朝权力中枢，政治环境较为宽松，海洋文化孕育了自由精神。</w:t>
            </w:r>
          </w:p>
          <w:p>
            <w:pPr>
              <w:pStyle w:val="3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val="0"/>
                <w:bCs w:val="0"/>
                <w:sz w:val="24"/>
                <w:szCs w:val="24"/>
                <w:lang w:val="en-US" w:eastAsia="zh-CN"/>
              </w:rPr>
            </w:pPr>
            <w:r>
              <w:rPr>
                <w:rFonts w:hint="eastAsia"/>
                <w:b w:val="0"/>
                <w:bCs w:val="0"/>
                <w:sz w:val="24"/>
                <w:szCs w:val="24"/>
                <w:lang w:val="en-US" w:eastAsia="zh-CN"/>
              </w:rPr>
              <w:t>（2）平等。崖州原住民黎族、从大陆迁移来的汉族和苗族、从西亚和占城迁徙来的穆斯林，不同族群间平等融合相处。</w:t>
            </w:r>
          </w:p>
          <w:p>
            <w:pPr>
              <w:pStyle w:val="3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val="0"/>
                <w:bCs w:val="0"/>
                <w:sz w:val="24"/>
                <w:szCs w:val="24"/>
                <w:lang w:val="en-US" w:eastAsia="zh-CN"/>
              </w:rPr>
            </w:pPr>
            <w:r>
              <w:rPr>
                <w:rFonts w:hint="eastAsia"/>
                <w:b w:val="0"/>
                <w:bCs w:val="0"/>
                <w:sz w:val="24"/>
                <w:szCs w:val="24"/>
                <w:lang w:val="en-US" w:eastAsia="zh-CN"/>
              </w:rPr>
              <w:t>（3）仁爱。崖州原住民黎族纯朴善良，汉人带来了以仁为本的儒家文化和“善有善报，恶有恶报”的佛教文化。</w:t>
            </w:r>
          </w:p>
          <w:p>
            <w:pPr>
              <w:pStyle w:val="3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val="0"/>
                <w:bCs w:val="0"/>
                <w:sz w:val="24"/>
                <w:szCs w:val="24"/>
                <w:lang w:val="en-US" w:eastAsia="zh-CN"/>
              </w:rPr>
            </w:pPr>
            <w:r>
              <w:rPr>
                <w:rFonts w:hint="eastAsia"/>
                <w:b w:val="0"/>
                <w:bCs w:val="0"/>
                <w:sz w:val="24"/>
                <w:szCs w:val="24"/>
                <w:lang w:val="en-US" w:eastAsia="zh-CN"/>
              </w:rPr>
              <w:t>（4）包容。崖州容纳各种外来种族、宗教、文化、习俗、技艺，海纳百川、包容融合成就以中华文明为本底的崖州南海文化。</w:t>
            </w:r>
          </w:p>
          <w:p>
            <w:pPr>
              <w:pStyle w:val="3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val="0"/>
                <w:bCs w:val="0"/>
                <w:sz w:val="24"/>
                <w:szCs w:val="24"/>
                <w:lang w:val="en-US" w:eastAsia="zh-CN"/>
              </w:rPr>
            </w:pPr>
            <w:r>
              <w:rPr>
                <w:rFonts w:hint="eastAsia"/>
                <w:b w:val="0"/>
                <w:bCs w:val="0"/>
                <w:sz w:val="24"/>
                <w:szCs w:val="24"/>
                <w:lang w:val="en-US" w:eastAsia="zh-CN"/>
              </w:rPr>
              <w:t>（5）多元。崖州文化包含黎族文化、汉族文化、苗族文化、回族文化和南洋文化，佛教、道教、伊斯兰教千年和平共处、多元共存。</w:t>
            </w:r>
          </w:p>
          <w:p>
            <w:pPr>
              <w:pStyle w:val="3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val="0"/>
                <w:bCs w:val="0"/>
                <w:sz w:val="28"/>
                <w:szCs w:val="28"/>
                <w:lang w:val="en-US" w:eastAsia="zh-CN"/>
              </w:rPr>
            </w:pPr>
            <w:r>
              <w:rPr>
                <w:rFonts w:hint="eastAsia"/>
                <w:b w:val="0"/>
                <w:bCs w:val="0"/>
                <w:sz w:val="24"/>
                <w:szCs w:val="24"/>
                <w:lang w:val="en-US" w:eastAsia="zh-CN"/>
              </w:rPr>
              <w:t>（6）互鉴。崖州推进了中原与南洋的互动，见证了佛教东渡的历史，是海上丝绸之路支点，为族群间互动交流提供舞台。</w:t>
            </w:r>
          </w:p>
        </w:tc>
      </w:tr>
    </w:tbl>
    <w:p>
      <w:pPr>
        <w:rPr>
          <w:rFonts w:hint="eastAsia" w:ascii="仿宋_GB2312" w:eastAsia="仿宋_GB2312"/>
          <w:b w:val="0"/>
          <w:bCs w:val="0"/>
          <w:lang w:val="en-US" w:eastAsia="zh-CN"/>
        </w:rPr>
      </w:pPr>
      <w:r>
        <w:rPr>
          <w:rFonts w:hint="eastAsia" w:ascii="仿宋_GB2312" w:eastAsia="仿宋_GB2312"/>
          <w:b/>
          <w:bCs/>
          <w:lang w:val="en-US" w:eastAsia="zh-CN"/>
        </w:rPr>
        <w:t>三是重现“崖州八景”，</w:t>
      </w:r>
      <w:bookmarkEnd w:id="459"/>
      <w:r>
        <w:rPr>
          <w:rFonts w:hint="eastAsia" w:ascii="仿宋_GB2312" w:eastAsia="仿宋_GB2312"/>
          <w:b/>
          <w:bCs/>
          <w:lang w:val="en-US" w:eastAsia="zh-CN"/>
        </w:rPr>
        <w:t>外化形象符号表达。</w:t>
      </w:r>
      <w:r>
        <w:rPr>
          <w:rFonts w:hint="eastAsia" w:ascii="仿宋_GB2312" w:eastAsia="仿宋_GB2312"/>
          <w:lang w:val="en-US" w:eastAsia="zh-CN"/>
        </w:rPr>
        <w:t>“崖州八景”两首诗文隽永流传、绚丽多彩，新八旧八共十六景描绘了山川城郭、水韵溟洋、民俗风貌，放眼全国也十分少见难得，是古人留给崖州重要的文化遗产。仰望历史璀璨星空，细数自然人文景致，有机融入时代符号，在全区选择八处景点，通过继承、重构、再塑、更新的手法新造八处风物，在景点处立石、镌字、拓诗，重现</w:t>
      </w:r>
      <w:r>
        <w:rPr>
          <w:rFonts w:hint="eastAsia" w:ascii="仿宋_GB2312" w:eastAsia="仿宋_GB2312"/>
          <w:b w:val="0"/>
          <w:bCs w:val="0"/>
          <w:lang w:val="en-US" w:eastAsia="zh-CN"/>
        </w:rPr>
        <w:t>“崖州八景”</w:t>
      </w:r>
      <w:r>
        <w:rPr>
          <w:rFonts w:hint="eastAsia" w:ascii="仿宋_GB2312" w:eastAsia="仿宋_GB2312"/>
          <w:lang w:val="en-US" w:eastAsia="zh-CN"/>
        </w:rPr>
        <w:t>，形成崖州继往开来、独具一格的文化景致。新时代的“崖州八景”涵盖城郭、村落、田洋、温泉、宗教等文化要素，融入夕阳、秋月、眠鸥、西风、秋蟾、山川、海洋等生态意境，娓娓展现崖州千年画卷。新时代的“崖州八景”包括：</w:t>
      </w:r>
      <w:r>
        <w:rPr>
          <w:rFonts w:hint="eastAsia" w:ascii="仿宋_GB2312" w:eastAsia="仿宋_GB2312"/>
          <w:b/>
          <w:bCs/>
          <w:lang w:val="en-US" w:eastAsia="zh-CN"/>
        </w:rPr>
        <w:t>一景</w:t>
      </w:r>
      <w:r>
        <w:rPr>
          <w:rFonts w:hint="eastAsia" w:ascii="仿宋_GB2312" w:eastAsia="仿宋_GB2312"/>
          <w:b w:val="0"/>
          <w:bCs w:val="0"/>
          <w:lang w:val="en-US" w:eastAsia="zh-CN"/>
        </w:rPr>
        <w:t>抱郭双流（崖州古城和宁远河）、</w:t>
      </w:r>
      <w:r>
        <w:rPr>
          <w:rFonts w:hint="eastAsia" w:ascii="仿宋_GB2312" w:eastAsia="仿宋_GB2312"/>
          <w:b/>
          <w:bCs/>
          <w:lang w:val="en-US" w:eastAsia="zh-CN"/>
        </w:rPr>
        <w:t>二景</w:t>
      </w:r>
      <w:r>
        <w:rPr>
          <w:rFonts w:hint="eastAsia" w:ascii="仿宋_GB2312" w:eastAsia="仿宋_GB2312"/>
          <w:b w:val="0"/>
          <w:bCs w:val="0"/>
          <w:lang w:val="en-US" w:eastAsia="zh-CN"/>
        </w:rPr>
        <w:t>鲸海西风（角头湾）、</w:t>
      </w:r>
      <w:r>
        <w:rPr>
          <w:rFonts w:hint="eastAsia" w:ascii="仿宋_GB2312" w:eastAsia="仿宋_GB2312"/>
          <w:b/>
          <w:bCs/>
          <w:lang w:val="en-US" w:eastAsia="zh-CN"/>
        </w:rPr>
        <w:t>三景</w:t>
      </w:r>
      <w:r>
        <w:rPr>
          <w:rFonts w:hint="eastAsia" w:ascii="仿宋_GB2312" w:eastAsia="仿宋_GB2312"/>
          <w:b w:val="0"/>
          <w:bCs w:val="0"/>
          <w:lang w:val="en-US" w:eastAsia="zh-CN"/>
        </w:rPr>
        <w:t>边城斜照（崖州古城）、</w:t>
      </w:r>
      <w:r>
        <w:rPr>
          <w:rFonts w:hint="eastAsia" w:ascii="仿宋_GB2312" w:eastAsia="仿宋_GB2312"/>
          <w:b/>
          <w:bCs/>
          <w:lang w:val="en-US" w:eastAsia="zh-CN"/>
        </w:rPr>
        <w:t>四景</w:t>
      </w:r>
      <w:r>
        <w:rPr>
          <w:rFonts w:hint="eastAsia" w:ascii="仿宋_GB2312" w:eastAsia="仿宋_GB2312"/>
          <w:b w:val="0"/>
          <w:bCs w:val="0"/>
          <w:lang w:val="en-US" w:eastAsia="zh-CN"/>
        </w:rPr>
        <w:t>水南暮雨（水南村）、</w:t>
      </w:r>
      <w:r>
        <w:rPr>
          <w:rFonts w:hint="eastAsia" w:ascii="仿宋_GB2312" w:eastAsia="仿宋_GB2312"/>
          <w:b/>
          <w:bCs/>
          <w:lang w:val="en-US" w:eastAsia="zh-CN"/>
        </w:rPr>
        <w:t>五景</w:t>
      </w:r>
      <w:r>
        <w:rPr>
          <w:rFonts w:hint="eastAsia" w:ascii="仿宋_GB2312" w:eastAsia="仿宋_GB2312"/>
          <w:b w:val="0"/>
          <w:bCs w:val="0"/>
          <w:lang w:val="en-US" w:eastAsia="zh-CN"/>
        </w:rPr>
        <w:t>稻陇眠鸥（南滨农场）、</w:t>
      </w:r>
      <w:r>
        <w:rPr>
          <w:rFonts w:hint="eastAsia" w:ascii="仿宋_GB2312" w:eastAsia="仿宋_GB2312"/>
          <w:b/>
          <w:bCs/>
          <w:lang w:val="en-US" w:eastAsia="zh-CN"/>
        </w:rPr>
        <w:t>六景</w:t>
      </w:r>
      <w:r>
        <w:rPr>
          <w:rFonts w:hint="eastAsia" w:ascii="仿宋_GB2312" w:eastAsia="仿宋_GB2312"/>
          <w:b w:val="0"/>
          <w:bCs w:val="0"/>
          <w:lang w:val="en-US" w:eastAsia="zh-CN"/>
        </w:rPr>
        <w:t>镜湖秋月（抱古村抱古水库）、</w:t>
      </w:r>
      <w:r>
        <w:rPr>
          <w:rFonts w:hint="eastAsia" w:ascii="仿宋_GB2312" w:eastAsia="仿宋_GB2312"/>
          <w:b/>
          <w:bCs/>
          <w:lang w:val="en-US" w:eastAsia="zh-CN"/>
        </w:rPr>
        <w:t>七景</w:t>
      </w:r>
      <w:r>
        <w:rPr>
          <w:rFonts w:hint="eastAsia" w:ascii="仿宋_GB2312" w:eastAsia="仿宋_GB2312"/>
          <w:b w:val="0"/>
          <w:bCs w:val="0"/>
          <w:lang w:val="en-US" w:eastAsia="zh-CN"/>
        </w:rPr>
        <w:t>温泉漱玉（既济亭热水池）、</w:t>
      </w:r>
      <w:r>
        <w:rPr>
          <w:rFonts w:hint="eastAsia" w:ascii="仿宋_GB2312" w:eastAsia="仿宋_GB2312"/>
          <w:b/>
          <w:bCs/>
          <w:lang w:val="en-US" w:eastAsia="zh-CN"/>
        </w:rPr>
        <w:t>八景</w:t>
      </w:r>
      <w:r>
        <w:rPr>
          <w:rFonts w:hint="eastAsia" w:ascii="仿宋_GB2312" w:eastAsia="仿宋_GB2312"/>
          <w:b w:val="0"/>
          <w:bCs w:val="0"/>
          <w:lang w:val="en-US" w:eastAsia="zh-CN"/>
        </w:rPr>
        <w:t>南山秋蟾（南山）。</w:t>
      </w:r>
    </w:p>
    <w:p>
      <w:pPr>
        <w:rPr>
          <w:rFonts w:hint="default"/>
          <w:b w:val="0"/>
          <w:bCs w:val="0"/>
          <w:lang w:val="en-US" w:eastAsia="zh-CN"/>
        </w:rPr>
      </w:pPr>
      <w:r>
        <w:rPr>
          <w:rFonts w:hint="eastAsia"/>
          <w:b/>
          <w:bCs/>
          <w:lang w:val="en-US" w:eastAsia="zh-CN"/>
        </w:rPr>
        <w:t>四是积极发扬光大黎锦苗绣非物质文化遗产。</w:t>
      </w:r>
      <w:r>
        <w:rPr>
          <w:rFonts w:hint="default"/>
          <w:b w:val="0"/>
          <w:bCs w:val="0"/>
          <w:lang w:val="en-US" w:eastAsia="zh-CN"/>
        </w:rPr>
        <w:t>加强非物质文化遗产基础设施建设</w:t>
      </w:r>
      <w:r>
        <w:rPr>
          <w:rFonts w:hint="eastAsia"/>
          <w:b w:val="0"/>
          <w:bCs w:val="0"/>
          <w:lang w:val="en-US" w:eastAsia="zh-CN"/>
        </w:rPr>
        <w:t>，谋划建设黎锦苗绣非物质文化遗产馆和游客体验中心，积极参与</w:t>
      </w:r>
      <w:r>
        <w:rPr>
          <w:rFonts w:hint="default"/>
          <w:b w:val="0"/>
          <w:bCs w:val="0"/>
          <w:lang w:val="en-US" w:eastAsia="zh-CN"/>
        </w:rPr>
        <w:t>省级非物质文化遗产代表性项目传承村、中国民间文艺之乡和海南民间文艺之乡认定命名工作。支持黎锦苗绣</w:t>
      </w:r>
      <w:r>
        <w:rPr>
          <w:rFonts w:hint="eastAsia"/>
          <w:b w:val="0"/>
          <w:bCs w:val="0"/>
          <w:lang w:val="en-US" w:eastAsia="zh-CN"/>
        </w:rPr>
        <w:t>手工艺人、传承人、工艺</w:t>
      </w:r>
      <w:r>
        <w:rPr>
          <w:rFonts w:hint="default"/>
          <w:b w:val="0"/>
          <w:bCs w:val="0"/>
          <w:lang w:val="en-US" w:eastAsia="zh-CN"/>
        </w:rPr>
        <w:t>企业</w:t>
      </w:r>
      <w:r>
        <w:rPr>
          <w:rFonts w:hint="eastAsia"/>
          <w:b w:val="0"/>
          <w:bCs w:val="0"/>
          <w:lang w:val="en-US" w:eastAsia="zh-CN"/>
        </w:rPr>
        <w:t>进驻崖州</w:t>
      </w:r>
      <w:r>
        <w:rPr>
          <w:rFonts w:hint="default"/>
          <w:b w:val="0"/>
          <w:bCs w:val="0"/>
          <w:lang w:val="en-US" w:eastAsia="zh-CN"/>
        </w:rPr>
        <w:t>设立非物质文化遗产展示场所和传习场所。促进黎锦苗绣与</w:t>
      </w:r>
      <w:r>
        <w:rPr>
          <w:rFonts w:hint="eastAsia"/>
          <w:b w:val="0"/>
          <w:bCs w:val="0"/>
          <w:lang w:val="en-US" w:eastAsia="zh-CN"/>
        </w:rPr>
        <w:t>古城</w:t>
      </w:r>
      <w:r>
        <w:rPr>
          <w:rFonts w:hint="default"/>
          <w:b w:val="0"/>
          <w:bCs w:val="0"/>
          <w:lang w:val="en-US" w:eastAsia="zh-CN"/>
        </w:rPr>
        <w:t>旅游融合发展</w:t>
      </w:r>
      <w:r>
        <w:rPr>
          <w:rFonts w:hint="eastAsia"/>
          <w:b w:val="0"/>
          <w:bCs w:val="0"/>
          <w:lang w:val="en-US" w:eastAsia="zh-CN"/>
        </w:rPr>
        <w:t>，</w:t>
      </w:r>
      <w:r>
        <w:rPr>
          <w:rFonts w:hint="default"/>
          <w:b w:val="0"/>
          <w:bCs w:val="0"/>
          <w:lang w:val="en-US" w:eastAsia="zh-CN"/>
        </w:rPr>
        <w:t>开展“非遗进景区”活动，通过旅游的方式促进非遗融入现代生活、服务人民群众。打造“非遗+公共文化+旅游”文旅综合体验区，整合非物质文化遗产和公共文化优势资源，推出特色文化体验型旅游产品和旅游线路。开展“非遗进夜市”活动，通过非遗表演、非遗互动与非遗体验，打造</w:t>
      </w:r>
      <w:r>
        <w:rPr>
          <w:rFonts w:hint="eastAsia"/>
          <w:b w:val="0"/>
          <w:bCs w:val="0"/>
          <w:lang w:val="en-US" w:eastAsia="zh-CN"/>
        </w:rPr>
        <w:t>崖州</w:t>
      </w:r>
      <w:r>
        <w:rPr>
          <w:rFonts w:hint="default"/>
          <w:b w:val="0"/>
          <w:bCs w:val="0"/>
          <w:lang w:val="en-US" w:eastAsia="zh-CN"/>
        </w:rPr>
        <w:t>特色的夜市文化。促进非物质文化遗产与现代教育融合发展</w:t>
      </w:r>
      <w:r>
        <w:rPr>
          <w:rFonts w:hint="eastAsia"/>
          <w:b w:val="0"/>
          <w:bCs w:val="0"/>
          <w:lang w:val="en-US" w:eastAsia="zh-CN"/>
        </w:rPr>
        <w:t>，</w:t>
      </w:r>
      <w:r>
        <w:rPr>
          <w:rFonts w:hint="default"/>
          <w:b w:val="0"/>
          <w:bCs w:val="0"/>
          <w:lang w:val="en-US" w:eastAsia="zh-CN"/>
        </w:rPr>
        <w:t>开展“非遗进校园”活动。</w:t>
      </w:r>
    </w:p>
    <w:p>
      <w:pPr>
        <w:bidi w:val="0"/>
        <w:spacing w:line="240" w:lineRule="auto"/>
        <w:ind w:firstLine="0" w:firstLineChars="0"/>
        <w:jc w:val="center"/>
        <w:rPr>
          <w:rFonts w:hint="default" w:ascii="楷体" w:hAnsi="楷体" w:eastAsia="楷体" w:cs="楷体"/>
          <w:b w:val="0"/>
          <w:bCs w:val="0"/>
          <w:sz w:val="28"/>
          <w:szCs w:val="28"/>
          <w:lang w:val="en-US" w:eastAsia="zh-CN"/>
        </w:rPr>
      </w:pPr>
      <w:r>
        <w:rPr>
          <w:rFonts w:hint="eastAsia" w:ascii="楷体" w:hAnsi="楷体" w:eastAsia="楷体" w:cs="楷体"/>
          <w:b w:val="0"/>
          <w:bCs w:val="0"/>
          <w:sz w:val="28"/>
          <w:szCs w:val="28"/>
          <w:lang w:val="en-US" w:eastAsia="zh-CN"/>
        </w:rPr>
        <w:t>表27  重现“崖州八景”的历史传承与重塑升华</w:t>
      </w:r>
    </w:p>
    <w:tbl>
      <w:tblPr>
        <w:tblStyle w:val="18"/>
        <w:tblW w:w="5000" w:type="pct"/>
        <w:jc w:val="center"/>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2"/>
        <w:gridCol w:w="1353"/>
        <w:gridCol w:w="4012"/>
        <w:gridCol w:w="1805"/>
      </w:tblGrid>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 w:hRule="atLeast"/>
          <w:tblHeader/>
          <w:jc w:val="center"/>
        </w:trPr>
        <w:tc>
          <w:tcPr>
            <w:tcW w:w="1352"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八景重现</w:t>
            </w:r>
          </w:p>
        </w:tc>
        <w:tc>
          <w:tcPr>
            <w:tcW w:w="1353"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重现地点</w:t>
            </w:r>
          </w:p>
        </w:tc>
        <w:tc>
          <w:tcPr>
            <w:tcW w:w="4012"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历史传承与重塑升华</w:t>
            </w:r>
          </w:p>
        </w:tc>
        <w:tc>
          <w:tcPr>
            <w:tcW w:w="1805"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渊源出处</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 w:hRule="atLeast"/>
          <w:jc w:val="center"/>
        </w:trPr>
        <w:tc>
          <w:tcPr>
            <w:tcW w:w="1352" w:type="dxa"/>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一景</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抱郭双流</w:t>
            </w:r>
          </w:p>
        </w:tc>
        <w:tc>
          <w:tcPr>
            <w:tcW w:w="1353" w:type="dxa"/>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崖州古城和宁远河</w:t>
            </w:r>
          </w:p>
        </w:tc>
        <w:tc>
          <w:tcPr>
            <w:tcW w:w="4012" w:type="dxa"/>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实施崖州古城修复和宁远河综合治理，打造古城景区和宁远河文化主题公园，重现水曲绕城景观。</w:t>
            </w:r>
          </w:p>
        </w:tc>
        <w:tc>
          <w:tcPr>
            <w:tcW w:w="1805"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《崖州新八景》</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清 钟元棣</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 w:hRule="atLeast"/>
          <w:jc w:val="center"/>
        </w:trPr>
        <w:tc>
          <w:tcPr>
            <w:tcW w:w="1352" w:type="dxa"/>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二景</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鲸海西风</w:t>
            </w:r>
          </w:p>
        </w:tc>
        <w:tc>
          <w:tcPr>
            <w:tcW w:w="1353" w:type="dxa"/>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角头湾</w:t>
            </w:r>
          </w:p>
        </w:tc>
        <w:tc>
          <w:tcPr>
            <w:tcW w:w="4012" w:type="dxa"/>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角头湾为南北走向岸线，在岸边礁石区域设置面朝西方的探海观景台，观览南海波涛、领略南海西风。</w:t>
            </w:r>
          </w:p>
        </w:tc>
        <w:tc>
          <w:tcPr>
            <w:tcW w:w="1805"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《崖州八景》</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元 王仕熙</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 w:hRule="atLeast"/>
          <w:jc w:val="center"/>
        </w:trPr>
        <w:tc>
          <w:tcPr>
            <w:tcW w:w="1352" w:type="dxa"/>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三景</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边城斜照</w:t>
            </w:r>
          </w:p>
        </w:tc>
        <w:tc>
          <w:tcPr>
            <w:tcW w:w="1353" w:type="dxa"/>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崖州古城</w:t>
            </w:r>
          </w:p>
        </w:tc>
        <w:tc>
          <w:tcPr>
            <w:tcW w:w="4012" w:type="dxa"/>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在新修复的崖州古城墙之上欣赏夕阳、远眺落日晚霞。</w:t>
            </w:r>
          </w:p>
        </w:tc>
        <w:tc>
          <w:tcPr>
            <w:tcW w:w="1805"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 w:hRule="atLeast"/>
          <w:jc w:val="center"/>
        </w:trPr>
        <w:tc>
          <w:tcPr>
            <w:tcW w:w="1352" w:type="dxa"/>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四景</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水南暮雨</w:t>
            </w:r>
          </w:p>
        </w:tc>
        <w:tc>
          <w:tcPr>
            <w:tcW w:w="1353" w:type="dxa"/>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水南村</w:t>
            </w:r>
          </w:p>
        </w:tc>
        <w:tc>
          <w:tcPr>
            <w:tcW w:w="4012" w:type="dxa"/>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保护水南村传统建筑风貌和村落居住环境，与宁远河景观带融为一体。</w:t>
            </w:r>
          </w:p>
        </w:tc>
        <w:tc>
          <w:tcPr>
            <w:tcW w:w="1805"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 w:hRule="atLeast"/>
          <w:jc w:val="center"/>
        </w:trPr>
        <w:tc>
          <w:tcPr>
            <w:tcW w:w="1352" w:type="dxa"/>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五景</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稻陇眠鸥</w:t>
            </w:r>
          </w:p>
        </w:tc>
        <w:tc>
          <w:tcPr>
            <w:tcW w:w="1353" w:type="dxa"/>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南滨农场</w:t>
            </w:r>
          </w:p>
        </w:tc>
        <w:tc>
          <w:tcPr>
            <w:tcW w:w="4012" w:type="dxa"/>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在南滨医院地块位置，依托水稻南繁育种大田景观打造南滨田园综合体（南繁主题植物公园），设置鸥鸟投食点，重现“稻陇眠鸥”千年景观。</w:t>
            </w:r>
          </w:p>
        </w:tc>
        <w:tc>
          <w:tcPr>
            <w:tcW w:w="1805"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 w:hRule="atLeast"/>
          <w:jc w:val="center"/>
        </w:trPr>
        <w:tc>
          <w:tcPr>
            <w:tcW w:w="1352" w:type="dxa"/>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六景</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镜湖秋月</w:t>
            </w:r>
          </w:p>
        </w:tc>
        <w:tc>
          <w:tcPr>
            <w:tcW w:w="1353" w:type="dxa"/>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抱古村</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抱古水库</w:t>
            </w:r>
          </w:p>
        </w:tc>
        <w:tc>
          <w:tcPr>
            <w:tcW w:w="4012" w:type="dxa"/>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结合抱古村美丽乡村建设和莲花特色产业，在抱古水库营造月光水色莲花景观，再现“镜湖秋月”风貌。</w:t>
            </w:r>
          </w:p>
        </w:tc>
        <w:tc>
          <w:tcPr>
            <w:tcW w:w="1805"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《崖州新八景》</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清 钟元棣</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 w:hRule="atLeast"/>
          <w:jc w:val="center"/>
        </w:trPr>
        <w:tc>
          <w:tcPr>
            <w:tcW w:w="1352" w:type="dxa"/>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七景</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温泉漱玉</w:t>
            </w:r>
          </w:p>
        </w:tc>
        <w:tc>
          <w:tcPr>
            <w:tcW w:w="1353" w:type="dxa"/>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既济亭</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热水池</w:t>
            </w:r>
          </w:p>
        </w:tc>
        <w:tc>
          <w:tcPr>
            <w:tcW w:w="4012" w:type="dxa"/>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修建洗手池、泡脚池，重现海南岛最古老温泉的往日景象。</w:t>
            </w:r>
          </w:p>
        </w:tc>
        <w:tc>
          <w:tcPr>
            <w:tcW w:w="1805"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 w:hRule="atLeast"/>
          <w:jc w:val="center"/>
        </w:trPr>
        <w:tc>
          <w:tcPr>
            <w:tcW w:w="1352" w:type="dxa"/>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八景</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南山秋蟾</w:t>
            </w:r>
          </w:p>
        </w:tc>
        <w:tc>
          <w:tcPr>
            <w:tcW w:w="1353" w:type="dxa"/>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南山</w:t>
            </w:r>
          </w:p>
        </w:tc>
        <w:tc>
          <w:tcPr>
            <w:tcW w:w="4012" w:type="dxa"/>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依托南山或洞天风景区，选择适当位置设立雕塑小品，阐述蟾与佛教道教文化渊源，品味“南山秋蟾”趣意。</w:t>
            </w:r>
          </w:p>
        </w:tc>
        <w:tc>
          <w:tcPr>
            <w:tcW w:w="1805"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《崖州八景》</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元 王仕熙</w:t>
            </w:r>
          </w:p>
        </w:tc>
      </w:tr>
    </w:tbl>
    <w:p>
      <w:pPr>
        <w:bidi w:val="0"/>
        <w:spacing w:line="240" w:lineRule="auto"/>
        <w:ind w:firstLine="0" w:firstLineChars="0"/>
        <w:jc w:val="center"/>
        <w:rPr>
          <w:rFonts w:hint="eastAsia" w:ascii="楷体" w:hAnsi="楷体" w:eastAsia="楷体" w:cs="楷体"/>
          <w:b/>
          <w:bCs/>
          <w:sz w:val="28"/>
          <w:szCs w:val="28"/>
          <w:lang w:val="en-US" w:eastAsia="zh-CN"/>
        </w:rPr>
      </w:pPr>
      <w:r>
        <w:rPr>
          <w:rFonts w:hint="eastAsia" w:ascii="楷体" w:hAnsi="楷体" w:eastAsia="楷体" w:cs="楷体"/>
          <w:b/>
          <w:bCs/>
          <w:sz w:val="28"/>
          <w:szCs w:val="28"/>
          <w:lang w:val="en-US" w:eastAsia="zh-CN"/>
        </w:rPr>
        <w:drawing>
          <wp:inline distT="0" distB="0" distL="114300" distR="114300">
            <wp:extent cx="4864100" cy="3287395"/>
            <wp:effectExtent l="0" t="0" r="12700" b="8255"/>
            <wp:docPr id="3" name="图片 3" descr="制图ppt_页面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制图ppt_页面_3"/>
                    <pic:cNvPicPr>
                      <a:picLocks noChangeAspect="1"/>
                    </pic:cNvPicPr>
                  </pic:nvPicPr>
                  <pic:blipFill>
                    <a:blip r:embed="rId20"/>
                    <a:srcRect t="1298" b="1679"/>
                    <a:stretch>
                      <a:fillRect/>
                    </a:stretch>
                  </pic:blipFill>
                  <pic:spPr>
                    <a:xfrm>
                      <a:off x="0" y="0"/>
                      <a:ext cx="4864100" cy="3287395"/>
                    </a:xfrm>
                    <a:prstGeom prst="rect">
                      <a:avLst/>
                    </a:prstGeom>
                  </pic:spPr>
                </pic:pic>
              </a:graphicData>
            </a:graphic>
          </wp:inline>
        </w:drawing>
      </w:r>
    </w:p>
    <w:p>
      <w:pPr>
        <w:bidi w:val="0"/>
        <w:spacing w:line="240" w:lineRule="auto"/>
        <w:ind w:firstLine="0" w:firstLineChars="0"/>
        <w:jc w:val="center"/>
        <w:rPr>
          <w:rFonts w:hint="default" w:ascii="楷体" w:hAnsi="楷体" w:eastAsia="楷体" w:cs="楷体"/>
          <w:b w:val="0"/>
          <w:bCs w:val="0"/>
          <w:sz w:val="28"/>
          <w:szCs w:val="28"/>
          <w:lang w:val="en-US" w:eastAsia="zh-CN"/>
        </w:rPr>
      </w:pPr>
      <w:r>
        <w:rPr>
          <w:rFonts w:hint="eastAsia" w:ascii="楷体" w:hAnsi="楷体" w:eastAsia="楷体" w:cs="楷体"/>
          <w:b w:val="0"/>
          <w:bCs w:val="0"/>
          <w:sz w:val="28"/>
          <w:szCs w:val="28"/>
          <w:lang w:val="en-US" w:eastAsia="zh-CN"/>
        </w:rPr>
        <w:t>图5  “崖州八景”盛世再现布局示意图</w:t>
      </w:r>
    </w:p>
    <w:tbl>
      <w:tblPr>
        <w:tblStyle w:val="19"/>
        <w:tblW w:w="5000" w:type="pct"/>
        <w:tblInd w:w="0" w:type="dxa"/>
        <w:tblBorders>
          <w:top w:val="thinThickSmallGap" w:color="auto" w:sz="2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thinThickSmallGap" w:color="auto" w:sz="2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22" w:type="dxa"/>
            <w:tcBorders>
              <w:top w:val="thinThickSmallGap" w:color="A4A4A4" w:sz="12" w:space="0"/>
              <w:bottom w:val="thickThinSmallGap" w:color="A4A4A4" w:sz="12" w:space="0"/>
            </w:tcBorders>
          </w:tcPr>
          <w:p>
            <w:pPr>
              <w:pStyle w:val="31"/>
              <w:keepNext w:val="0"/>
              <w:keepLines w:val="0"/>
              <w:pageBreakBefore w:val="0"/>
              <w:widowControl w:val="0"/>
              <w:kinsoku/>
              <w:wordWrap/>
              <w:overflowPunct/>
              <w:topLinePunct w:val="0"/>
              <w:autoSpaceDE/>
              <w:autoSpaceDN/>
              <w:bidi w:val="0"/>
              <w:adjustRightInd/>
              <w:snapToGrid/>
              <w:spacing w:line="240" w:lineRule="auto"/>
              <w:ind w:right="-160" w:rightChars="-50" w:firstLine="0" w:firstLineChars="0"/>
              <w:textAlignment w:val="auto"/>
              <w:rPr>
                <w:rFonts w:hint="eastAsia" w:ascii="楷体" w:hAnsi="楷体" w:eastAsia="楷体" w:cs="楷体"/>
                <w:b/>
                <w:bCs/>
                <w:sz w:val="24"/>
                <w:szCs w:val="24"/>
                <w:lang w:val="en-US" w:eastAsia="zh-CN"/>
              </w:rPr>
            </w:pPr>
            <w:r>
              <w:rPr>
                <w:rFonts w:hint="eastAsia" w:ascii="楷体" w:hAnsi="楷体" w:eastAsia="楷体" w:cs="楷体"/>
                <w:b/>
                <w:bCs/>
                <w:sz w:val="24"/>
                <w:szCs w:val="24"/>
                <w:lang w:val="en-US" w:eastAsia="zh-CN"/>
              </w:rPr>
              <w:t>专栏2</w:t>
            </w:r>
            <w:r>
              <w:rPr>
                <w:rFonts w:hint="eastAsia" w:cs="楷体"/>
                <w:b/>
                <w:bCs/>
                <w:sz w:val="24"/>
                <w:szCs w:val="24"/>
                <w:lang w:val="en-US" w:eastAsia="zh-CN"/>
              </w:rPr>
              <w:t>2</w:t>
            </w:r>
            <w:r>
              <w:rPr>
                <w:rFonts w:hint="eastAsia" w:ascii="楷体" w:hAnsi="楷体" w:eastAsia="楷体" w:cs="楷体"/>
                <w:b/>
                <w:bCs/>
                <w:sz w:val="24"/>
                <w:szCs w:val="24"/>
                <w:lang w:val="en-US" w:eastAsia="zh-CN"/>
              </w:rPr>
              <w:t xml:space="preserve">  “N景”文化案例借鉴：西湖十景和羊城八景</w:t>
            </w:r>
          </w:p>
          <w:p>
            <w:pPr>
              <w:pStyle w:val="3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val="0"/>
                <w:bCs w:val="0"/>
                <w:sz w:val="24"/>
                <w:szCs w:val="24"/>
                <w:lang w:val="en-US" w:eastAsia="zh-CN"/>
              </w:rPr>
            </w:pPr>
            <w:r>
              <w:rPr>
                <w:rFonts w:hint="eastAsia"/>
                <w:b w:val="0"/>
                <w:bCs w:val="0"/>
                <w:sz w:val="24"/>
                <w:szCs w:val="24"/>
                <w:lang w:val="en-US" w:eastAsia="zh-CN"/>
              </w:rPr>
              <w:t>（1）杭州西湖根据西湖十景“旧踪”再现“今貌”，按照中国传统文化面貌建设，保持自然天成、中庸平和的文化品质，将西湖景观系统化、整体化，包括苏堤春晓、曲苑风荷、平湖秋月、断桥残雪、柳浪闻莺、花港观鱼、雷峰夕照、双峰插云、南屏晚钟、三潭印月。通过西湖十景串联起大西湖各处风光，十景中有的自然风光清秀隽永、有的人文历史积淀深厚、有的经典传奇故事家喻户晓，共同支撑起“人间天堂”千古美誉。</w:t>
            </w:r>
          </w:p>
          <w:p>
            <w:pPr>
              <w:pStyle w:val="3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楷体" w:hAnsi="楷体" w:eastAsia="楷体" w:cs="楷体"/>
                <w:b w:val="0"/>
                <w:bCs w:val="0"/>
                <w:sz w:val="24"/>
                <w:szCs w:val="24"/>
                <w:lang w:val="en-US" w:eastAsia="zh-CN"/>
              </w:rPr>
            </w:pPr>
            <w:r>
              <w:rPr>
                <w:rFonts w:hint="eastAsia"/>
                <w:b w:val="0"/>
                <w:bCs w:val="0"/>
                <w:sz w:val="24"/>
                <w:szCs w:val="24"/>
                <w:lang w:val="en-US" w:eastAsia="zh-CN"/>
              </w:rPr>
              <w:t>（2）羊城八景推陈出新，实现传统与现代相映生辉。延续传统、赋予新时代内涵的有云山叠翠、越秀风华、古祠流芳、珠水流光，无中生有近年来新打造的有塔耀新城、科城锦绣、龙洞琪林、莲峰观海，但龙洞琪林、莲峰观海由于长期一成不变、特色不强、景观单一，导致在羊城八景中竞争力不断下降。</w:t>
            </w:r>
          </w:p>
        </w:tc>
      </w:tr>
    </w:tbl>
    <w:p>
      <w:pPr>
        <w:keepNext w:val="0"/>
        <w:keepLines w:val="0"/>
        <w:pageBreakBefore w:val="0"/>
        <w:widowControl w:val="0"/>
        <w:kinsoku/>
        <w:wordWrap/>
        <w:overflowPunct/>
        <w:topLinePunct w:val="0"/>
        <w:autoSpaceDE/>
        <w:autoSpaceDN/>
        <w:bidi w:val="0"/>
        <w:adjustRightInd/>
        <w:snapToGrid/>
        <w:spacing w:line="240" w:lineRule="exact"/>
        <w:textAlignment w:val="auto"/>
        <w:rPr>
          <w:sz w:val="15"/>
          <w:szCs w:val="11"/>
        </w:rPr>
      </w:pPr>
    </w:p>
    <w:tbl>
      <w:tblPr>
        <w:tblStyle w:val="19"/>
        <w:tblW w:w="5000" w:type="pct"/>
        <w:tblInd w:w="0" w:type="dxa"/>
        <w:tblBorders>
          <w:top w:val="thinThickSmallGap" w:color="auto" w:sz="2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61"/>
        <w:gridCol w:w="4261"/>
      </w:tblGrid>
      <w:tr>
        <w:tblPrEx>
          <w:tblBorders>
            <w:top w:val="thinThickSmallGap" w:color="auto" w:sz="2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522" w:type="dxa"/>
            <w:gridSpan w:val="2"/>
            <w:tcBorders>
              <w:top w:val="thinThickSmallGap" w:color="A4A4A4" w:sz="12" w:space="0"/>
              <w:bottom w:val="single" w:color="auto" w:sz="4" w:space="0"/>
            </w:tcBorders>
          </w:tcPr>
          <w:p>
            <w:pPr>
              <w:pStyle w:val="31"/>
              <w:keepNext w:val="0"/>
              <w:keepLines w:val="0"/>
              <w:pageBreakBefore w:val="0"/>
              <w:widowControl w:val="0"/>
              <w:kinsoku/>
              <w:wordWrap/>
              <w:overflowPunct/>
              <w:topLinePunct w:val="0"/>
              <w:autoSpaceDE/>
              <w:autoSpaceDN/>
              <w:bidi w:val="0"/>
              <w:adjustRightInd/>
              <w:snapToGrid/>
              <w:spacing w:line="240" w:lineRule="auto"/>
              <w:ind w:right="-160" w:rightChars="-50" w:firstLine="0" w:firstLineChars="0"/>
              <w:textAlignment w:val="auto"/>
              <w:rPr>
                <w:rFonts w:hint="eastAsia" w:ascii="楷体" w:hAnsi="楷体" w:eastAsia="楷体" w:cs="楷体"/>
                <w:b w:val="0"/>
                <w:bCs w:val="0"/>
                <w:sz w:val="24"/>
                <w:szCs w:val="24"/>
                <w:lang w:val="en-US" w:eastAsia="zh-CN"/>
              </w:rPr>
            </w:pPr>
            <w:r>
              <w:rPr>
                <w:rFonts w:hint="eastAsia" w:ascii="楷体" w:hAnsi="楷体" w:eastAsia="楷体" w:cs="楷体"/>
                <w:b/>
                <w:bCs/>
                <w:sz w:val="24"/>
                <w:szCs w:val="24"/>
                <w:lang w:val="en-US" w:eastAsia="zh-CN"/>
              </w:rPr>
              <w:t>专栏</w:t>
            </w:r>
            <w:r>
              <w:rPr>
                <w:rFonts w:hint="eastAsia" w:cs="楷体"/>
                <w:b/>
                <w:bCs/>
                <w:sz w:val="24"/>
                <w:szCs w:val="24"/>
                <w:lang w:val="en-US" w:eastAsia="zh-CN"/>
              </w:rPr>
              <w:t>23</w:t>
            </w:r>
            <w:r>
              <w:rPr>
                <w:rFonts w:hint="eastAsia" w:ascii="楷体" w:hAnsi="楷体" w:eastAsia="楷体" w:cs="楷体"/>
                <w:b/>
                <w:bCs/>
                <w:sz w:val="24"/>
                <w:szCs w:val="24"/>
                <w:lang w:val="en-US" w:eastAsia="zh-CN"/>
              </w:rPr>
              <w:t xml:space="preserve">  元朝王仕熙《崖州八景》和清朝钟元棣《崖州新八景》</w:t>
            </w:r>
          </w:p>
        </w:tc>
      </w:tr>
      <w:tr>
        <w:tblPrEx>
          <w:tblBorders>
            <w:top w:val="thinThickSmallGap" w:color="auto" w:sz="2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261" w:type="dxa"/>
            <w:tcBorders>
              <w:top w:val="single" w:color="auto" w:sz="4" w:space="0"/>
              <w:bottom w:val="thickThinSmallGap" w:color="A4A4A4" w:sz="12" w:space="0"/>
            </w:tcBorders>
            <w:tcMar>
              <w:top w:w="0" w:type="dxa"/>
              <w:left w:w="108" w:type="dxa"/>
              <w:bottom w:w="0" w:type="dxa"/>
              <w:right w:w="108" w:type="dxa"/>
            </w:tcMar>
            <w:vAlign w:val="top"/>
          </w:tcPr>
          <w:p>
            <w:pPr>
              <w:pStyle w:val="31"/>
              <w:keepNext w:val="0"/>
              <w:keepLines w:val="0"/>
              <w:pageBreakBefore w:val="0"/>
              <w:widowControl w:val="0"/>
              <w:kinsoku/>
              <w:wordWrap/>
              <w:overflowPunct/>
              <w:topLinePunct w:val="0"/>
              <w:autoSpaceDE/>
              <w:autoSpaceDN/>
              <w:bidi w:val="0"/>
              <w:adjustRightInd/>
              <w:snapToGrid/>
              <w:spacing w:line="240" w:lineRule="auto"/>
              <w:ind w:left="0" w:leftChars="0" w:right="-160" w:rightChars="-50" w:firstLine="0" w:firstLineChars="0"/>
              <w:jc w:val="center"/>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《崖州八景》</w:t>
            </w:r>
          </w:p>
          <w:p>
            <w:pPr>
              <w:pStyle w:val="31"/>
              <w:keepNext w:val="0"/>
              <w:keepLines w:val="0"/>
              <w:pageBreakBefore w:val="0"/>
              <w:widowControl w:val="0"/>
              <w:kinsoku/>
              <w:wordWrap/>
              <w:overflowPunct/>
              <w:topLinePunct w:val="0"/>
              <w:autoSpaceDE/>
              <w:autoSpaceDN/>
              <w:bidi w:val="0"/>
              <w:adjustRightInd/>
              <w:snapToGrid/>
              <w:spacing w:line="240" w:lineRule="auto"/>
              <w:ind w:left="0" w:leftChars="0" w:right="-160" w:rightChars="-50" w:firstLine="0" w:firstLineChars="0"/>
              <w:jc w:val="center"/>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（元</w:t>
            </w:r>
            <w:r>
              <w:rPr>
                <w:rFonts w:hint="eastAsia" w:cs="楷体"/>
                <w:b w:val="0"/>
                <w:bCs w:val="0"/>
                <w:sz w:val="24"/>
                <w:szCs w:val="24"/>
                <w:lang w:val="en-US" w:eastAsia="zh-CN"/>
              </w:rPr>
              <w:t xml:space="preserve"> </w:t>
            </w:r>
            <w:r>
              <w:rPr>
                <w:rFonts w:hint="eastAsia" w:ascii="楷体" w:hAnsi="楷体" w:eastAsia="楷体" w:cs="楷体"/>
                <w:b w:val="0"/>
                <w:bCs w:val="0"/>
                <w:sz w:val="24"/>
                <w:szCs w:val="24"/>
                <w:lang w:val="en-US" w:eastAsia="zh-CN"/>
              </w:rPr>
              <w:t>王仕熙</w:t>
            </w:r>
            <w:r>
              <w:rPr>
                <w:rFonts w:hint="eastAsia" w:cs="楷体"/>
                <w:b w:val="0"/>
                <w:bCs w:val="0"/>
                <w:sz w:val="24"/>
                <w:szCs w:val="24"/>
                <w:lang w:val="en-US" w:eastAsia="zh-CN"/>
              </w:rPr>
              <w:t xml:space="preserve"> </w:t>
            </w:r>
            <w:r>
              <w:rPr>
                <w:rFonts w:hint="eastAsia" w:ascii="楷体" w:hAnsi="楷体" w:eastAsia="楷体" w:cs="楷体"/>
                <w:b w:val="0"/>
                <w:bCs w:val="0"/>
                <w:sz w:val="24"/>
                <w:szCs w:val="24"/>
                <w:lang w:val="en-US" w:eastAsia="zh-CN"/>
              </w:rPr>
              <w:t>作于公元1330年）</w:t>
            </w:r>
          </w:p>
          <w:p>
            <w:pPr>
              <w:pStyle w:val="31"/>
              <w:keepNext w:val="0"/>
              <w:keepLines w:val="0"/>
              <w:pageBreakBefore w:val="0"/>
              <w:widowControl w:val="0"/>
              <w:kinsoku/>
              <w:wordWrap/>
              <w:overflowPunct/>
              <w:topLinePunct w:val="0"/>
              <w:autoSpaceDE/>
              <w:autoSpaceDN/>
              <w:bidi w:val="0"/>
              <w:adjustRightInd/>
              <w:snapToGrid/>
              <w:spacing w:line="240" w:lineRule="auto"/>
              <w:ind w:left="0" w:leftChars="0" w:right="-160" w:rightChars="-50" w:firstLine="0" w:firstLineChars="0"/>
              <w:jc w:val="center"/>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一景：鳌山白云</w:t>
            </w:r>
          </w:p>
          <w:p>
            <w:pPr>
              <w:pStyle w:val="31"/>
              <w:keepNext w:val="0"/>
              <w:keepLines w:val="0"/>
              <w:pageBreakBefore w:val="0"/>
              <w:widowControl w:val="0"/>
              <w:kinsoku/>
              <w:wordWrap/>
              <w:overflowPunct/>
              <w:topLinePunct w:val="0"/>
              <w:autoSpaceDE/>
              <w:autoSpaceDN/>
              <w:bidi w:val="0"/>
              <w:adjustRightInd/>
              <w:snapToGrid/>
              <w:spacing w:line="240" w:lineRule="auto"/>
              <w:ind w:left="0" w:leftChars="0" w:right="-160" w:rightChars="-50" w:firstLine="0" w:firstLineChars="0"/>
              <w:jc w:val="center"/>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青山宛在海之东，赑屃浮云逐晓风。</w:t>
            </w:r>
          </w:p>
          <w:p>
            <w:pPr>
              <w:pStyle w:val="31"/>
              <w:keepNext w:val="0"/>
              <w:keepLines w:val="0"/>
              <w:pageBreakBefore w:val="0"/>
              <w:widowControl w:val="0"/>
              <w:kinsoku/>
              <w:wordWrap/>
              <w:overflowPunct/>
              <w:topLinePunct w:val="0"/>
              <w:autoSpaceDE/>
              <w:autoSpaceDN/>
              <w:bidi w:val="0"/>
              <w:adjustRightInd/>
              <w:snapToGrid/>
              <w:spacing w:line="240" w:lineRule="auto"/>
              <w:ind w:left="0" w:leftChars="0" w:right="-160" w:rightChars="-50" w:firstLine="0" w:firstLineChars="0"/>
              <w:jc w:val="center"/>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直上有如香吐兽，横围还似带垂虹。</w:t>
            </w:r>
          </w:p>
          <w:p>
            <w:pPr>
              <w:pStyle w:val="31"/>
              <w:keepNext w:val="0"/>
              <w:keepLines w:val="0"/>
              <w:pageBreakBefore w:val="0"/>
              <w:widowControl w:val="0"/>
              <w:kinsoku/>
              <w:wordWrap/>
              <w:overflowPunct/>
              <w:topLinePunct w:val="0"/>
              <w:autoSpaceDE/>
              <w:autoSpaceDN/>
              <w:bidi w:val="0"/>
              <w:adjustRightInd/>
              <w:snapToGrid/>
              <w:spacing w:line="240" w:lineRule="auto"/>
              <w:ind w:left="0" w:leftChars="0" w:right="-160" w:rightChars="-50" w:firstLine="0" w:firstLineChars="0"/>
              <w:jc w:val="center"/>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寻仙武帝身难到，断足娲皇迹已空。</w:t>
            </w:r>
          </w:p>
          <w:p>
            <w:pPr>
              <w:pStyle w:val="31"/>
              <w:keepNext w:val="0"/>
              <w:keepLines w:val="0"/>
              <w:pageBreakBefore w:val="0"/>
              <w:widowControl w:val="0"/>
              <w:kinsoku/>
              <w:wordWrap/>
              <w:overflowPunct/>
              <w:topLinePunct w:val="0"/>
              <w:autoSpaceDE/>
              <w:autoSpaceDN/>
              <w:bidi w:val="0"/>
              <w:adjustRightInd/>
              <w:snapToGrid/>
              <w:spacing w:line="240" w:lineRule="auto"/>
              <w:ind w:left="0" w:leftChars="0" w:right="-160" w:rightChars="-50" w:firstLine="0" w:firstLineChars="0"/>
              <w:jc w:val="center"/>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绕谷穿岩飞不定，沧波无际雨濛濛。</w:t>
            </w:r>
          </w:p>
          <w:p>
            <w:pPr>
              <w:pStyle w:val="31"/>
              <w:keepNext w:val="0"/>
              <w:keepLines w:val="0"/>
              <w:pageBreakBefore w:val="0"/>
              <w:widowControl w:val="0"/>
              <w:kinsoku/>
              <w:wordWrap/>
              <w:overflowPunct/>
              <w:topLinePunct w:val="0"/>
              <w:autoSpaceDE/>
              <w:autoSpaceDN/>
              <w:bidi w:val="0"/>
              <w:adjustRightInd/>
              <w:snapToGrid/>
              <w:spacing w:line="240" w:lineRule="auto"/>
              <w:ind w:left="0" w:leftChars="0" w:right="-160" w:rightChars="-50" w:firstLine="0" w:firstLineChars="0"/>
              <w:jc w:val="center"/>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二景：鲸海西风</w:t>
            </w:r>
          </w:p>
          <w:p>
            <w:pPr>
              <w:pStyle w:val="31"/>
              <w:keepNext w:val="0"/>
              <w:keepLines w:val="0"/>
              <w:pageBreakBefore w:val="0"/>
              <w:widowControl w:val="0"/>
              <w:kinsoku/>
              <w:wordWrap/>
              <w:overflowPunct/>
              <w:topLinePunct w:val="0"/>
              <w:autoSpaceDE/>
              <w:autoSpaceDN/>
              <w:bidi w:val="0"/>
              <w:adjustRightInd/>
              <w:snapToGrid/>
              <w:spacing w:line="240" w:lineRule="auto"/>
              <w:ind w:left="0" w:leftChars="0" w:right="-160" w:rightChars="-50" w:firstLine="0" w:firstLineChars="0"/>
              <w:jc w:val="center"/>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等闲流水竟清泠，谁识长鲸掠地青？</w:t>
            </w:r>
          </w:p>
          <w:p>
            <w:pPr>
              <w:pStyle w:val="31"/>
              <w:keepNext w:val="0"/>
              <w:keepLines w:val="0"/>
              <w:pageBreakBefore w:val="0"/>
              <w:widowControl w:val="0"/>
              <w:kinsoku/>
              <w:wordWrap/>
              <w:overflowPunct/>
              <w:topLinePunct w:val="0"/>
              <w:autoSpaceDE/>
              <w:autoSpaceDN/>
              <w:bidi w:val="0"/>
              <w:adjustRightInd/>
              <w:snapToGrid/>
              <w:spacing w:line="240" w:lineRule="auto"/>
              <w:ind w:left="0" w:leftChars="0" w:right="-160" w:rightChars="-50" w:firstLine="0" w:firstLineChars="0"/>
              <w:jc w:val="center"/>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万古战酣风动岸，一航来急客扬舲。</w:t>
            </w:r>
          </w:p>
          <w:p>
            <w:pPr>
              <w:pStyle w:val="31"/>
              <w:keepNext w:val="0"/>
              <w:keepLines w:val="0"/>
              <w:pageBreakBefore w:val="0"/>
              <w:widowControl w:val="0"/>
              <w:kinsoku/>
              <w:wordWrap/>
              <w:overflowPunct/>
              <w:topLinePunct w:val="0"/>
              <w:autoSpaceDE/>
              <w:autoSpaceDN/>
              <w:bidi w:val="0"/>
              <w:adjustRightInd/>
              <w:snapToGrid/>
              <w:spacing w:line="240" w:lineRule="auto"/>
              <w:ind w:left="0" w:leftChars="0" w:right="-160" w:rightChars="-50" w:firstLine="0" w:firstLineChars="0"/>
              <w:jc w:val="center"/>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占城日出鱼龙静，儋耳人来草树腥。</w:t>
            </w:r>
          </w:p>
          <w:p>
            <w:pPr>
              <w:pStyle w:val="31"/>
              <w:keepNext w:val="0"/>
              <w:keepLines w:val="0"/>
              <w:pageBreakBefore w:val="0"/>
              <w:widowControl w:val="0"/>
              <w:kinsoku/>
              <w:wordWrap/>
              <w:overflowPunct/>
              <w:topLinePunct w:val="0"/>
              <w:autoSpaceDE/>
              <w:autoSpaceDN/>
              <w:bidi w:val="0"/>
              <w:adjustRightInd/>
              <w:snapToGrid/>
              <w:spacing w:line="240" w:lineRule="auto"/>
              <w:ind w:left="0" w:leftChars="0" w:right="-160" w:rightChars="-50" w:firstLine="0" w:firstLineChars="0"/>
              <w:jc w:val="center"/>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不向神仙觅梨枣，乘搓直访女牛星。</w:t>
            </w:r>
          </w:p>
          <w:p>
            <w:pPr>
              <w:pStyle w:val="31"/>
              <w:keepNext w:val="0"/>
              <w:keepLines w:val="0"/>
              <w:pageBreakBefore w:val="0"/>
              <w:widowControl w:val="0"/>
              <w:kinsoku/>
              <w:wordWrap/>
              <w:overflowPunct/>
              <w:topLinePunct w:val="0"/>
              <w:autoSpaceDE/>
              <w:autoSpaceDN/>
              <w:bidi w:val="0"/>
              <w:adjustRightInd/>
              <w:snapToGrid/>
              <w:spacing w:line="240" w:lineRule="auto"/>
              <w:ind w:left="0" w:leftChars="0" w:right="-160" w:rightChars="-50" w:firstLine="0" w:firstLineChars="0"/>
              <w:jc w:val="center"/>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三景：边城斜照</w:t>
            </w:r>
          </w:p>
          <w:p>
            <w:pPr>
              <w:pStyle w:val="31"/>
              <w:keepNext w:val="0"/>
              <w:keepLines w:val="0"/>
              <w:pageBreakBefore w:val="0"/>
              <w:widowControl w:val="0"/>
              <w:kinsoku/>
              <w:wordWrap/>
              <w:overflowPunct/>
              <w:topLinePunct w:val="0"/>
              <w:autoSpaceDE/>
              <w:autoSpaceDN/>
              <w:bidi w:val="0"/>
              <w:adjustRightInd/>
              <w:snapToGrid/>
              <w:spacing w:line="240" w:lineRule="auto"/>
              <w:ind w:left="0" w:leftChars="0" w:right="-160" w:rightChars="-50" w:firstLine="0" w:firstLineChars="0"/>
              <w:jc w:val="center"/>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炎州此去更无城，薄客天涯倦客程。</w:t>
            </w:r>
          </w:p>
          <w:p>
            <w:pPr>
              <w:pStyle w:val="31"/>
              <w:keepNext w:val="0"/>
              <w:keepLines w:val="0"/>
              <w:pageBreakBefore w:val="0"/>
              <w:widowControl w:val="0"/>
              <w:kinsoku/>
              <w:wordWrap/>
              <w:overflowPunct/>
              <w:topLinePunct w:val="0"/>
              <w:autoSpaceDE/>
              <w:autoSpaceDN/>
              <w:bidi w:val="0"/>
              <w:adjustRightInd/>
              <w:snapToGrid/>
              <w:spacing w:line="240" w:lineRule="auto"/>
              <w:ind w:left="0" w:leftChars="0" w:right="-160" w:rightChars="-50" w:firstLine="0" w:firstLineChars="0"/>
              <w:jc w:val="center"/>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残日尚浮高岭树，悲筎先起土军营。</w:t>
            </w:r>
          </w:p>
          <w:p>
            <w:pPr>
              <w:pStyle w:val="31"/>
              <w:keepNext w:val="0"/>
              <w:keepLines w:val="0"/>
              <w:pageBreakBefore w:val="0"/>
              <w:widowControl w:val="0"/>
              <w:kinsoku/>
              <w:wordWrap/>
              <w:overflowPunct/>
              <w:topLinePunct w:val="0"/>
              <w:autoSpaceDE/>
              <w:autoSpaceDN/>
              <w:bidi w:val="0"/>
              <w:adjustRightInd/>
              <w:snapToGrid/>
              <w:spacing w:line="240" w:lineRule="auto"/>
              <w:ind w:left="0" w:leftChars="0" w:right="-160" w:rightChars="-50" w:firstLine="0" w:firstLineChars="0"/>
              <w:jc w:val="center"/>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沉沉碧汉归山鹘，灿灿晴霞射海鲸。</w:t>
            </w:r>
          </w:p>
          <w:p>
            <w:pPr>
              <w:pStyle w:val="31"/>
              <w:keepNext w:val="0"/>
              <w:keepLines w:val="0"/>
              <w:pageBreakBefore w:val="0"/>
              <w:widowControl w:val="0"/>
              <w:kinsoku/>
              <w:wordWrap/>
              <w:overflowPunct/>
              <w:topLinePunct w:val="0"/>
              <w:autoSpaceDE/>
              <w:autoSpaceDN/>
              <w:bidi w:val="0"/>
              <w:adjustRightInd/>
              <w:snapToGrid/>
              <w:spacing w:line="240" w:lineRule="auto"/>
              <w:ind w:left="0" w:leftChars="0" w:right="-160" w:rightChars="-50" w:firstLine="0" w:firstLineChars="0"/>
              <w:jc w:val="center"/>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明月照人茅屋上，与谁藜杖听江声？</w:t>
            </w:r>
          </w:p>
          <w:p>
            <w:pPr>
              <w:pStyle w:val="31"/>
              <w:keepNext w:val="0"/>
              <w:keepLines w:val="0"/>
              <w:pageBreakBefore w:val="0"/>
              <w:widowControl w:val="0"/>
              <w:kinsoku/>
              <w:wordWrap/>
              <w:overflowPunct/>
              <w:topLinePunct w:val="0"/>
              <w:autoSpaceDE/>
              <w:autoSpaceDN/>
              <w:bidi w:val="0"/>
              <w:adjustRightInd/>
              <w:snapToGrid/>
              <w:spacing w:line="240" w:lineRule="auto"/>
              <w:ind w:left="0" w:leftChars="0" w:right="-160" w:rightChars="-50" w:firstLine="0" w:firstLineChars="0"/>
              <w:jc w:val="center"/>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四景：水南暮雨</w:t>
            </w:r>
          </w:p>
          <w:p>
            <w:pPr>
              <w:pStyle w:val="31"/>
              <w:keepNext w:val="0"/>
              <w:keepLines w:val="0"/>
              <w:pageBreakBefore w:val="0"/>
              <w:widowControl w:val="0"/>
              <w:kinsoku/>
              <w:wordWrap/>
              <w:overflowPunct/>
              <w:topLinePunct w:val="0"/>
              <w:autoSpaceDE/>
              <w:autoSpaceDN/>
              <w:bidi w:val="0"/>
              <w:adjustRightInd/>
              <w:snapToGrid/>
              <w:spacing w:line="240" w:lineRule="auto"/>
              <w:ind w:left="0" w:leftChars="0" w:right="-160" w:rightChars="-50" w:firstLine="0" w:firstLineChars="0"/>
              <w:jc w:val="center"/>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千树槟椰养素封，城南篱落暮云重。</w:t>
            </w:r>
          </w:p>
          <w:p>
            <w:pPr>
              <w:pStyle w:val="31"/>
              <w:keepNext w:val="0"/>
              <w:keepLines w:val="0"/>
              <w:pageBreakBefore w:val="0"/>
              <w:widowControl w:val="0"/>
              <w:kinsoku/>
              <w:wordWrap/>
              <w:overflowPunct/>
              <w:topLinePunct w:val="0"/>
              <w:autoSpaceDE/>
              <w:autoSpaceDN/>
              <w:bidi w:val="0"/>
              <w:adjustRightInd/>
              <w:snapToGrid/>
              <w:spacing w:line="240" w:lineRule="auto"/>
              <w:ind w:left="0" w:leftChars="0" w:right="-160" w:rightChars="-50" w:firstLine="0" w:firstLineChars="0"/>
              <w:jc w:val="center"/>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稻田流水鸦濡翅，石峒浮烟鹿养茸。</w:t>
            </w:r>
          </w:p>
          <w:p>
            <w:pPr>
              <w:pStyle w:val="31"/>
              <w:keepNext w:val="0"/>
              <w:keepLines w:val="0"/>
              <w:pageBreakBefore w:val="0"/>
              <w:widowControl w:val="0"/>
              <w:kinsoku/>
              <w:wordWrap/>
              <w:overflowPunct/>
              <w:topLinePunct w:val="0"/>
              <w:autoSpaceDE/>
              <w:autoSpaceDN/>
              <w:bidi w:val="0"/>
              <w:adjustRightInd/>
              <w:snapToGrid/>
              <w:spacing w:line="240" w:lineRule="auto"/>
              <w:ind w:left="0" w:leftChars="0" w:right="-160" w:rightChars="-50" w:firstLine="0" w:firstLineChars="0"/>
              <w:jc w:val="center"/>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明日买山栽薯蓣，早春荷锸剪芜蓉。</w:t>
            </w:r>
          </w:p>
          <w:p>
            <w:pPr>
              <w:pStyle w:val="31"/>
              <w:keepNext w:val="0"/>
              <w:keepLines w:val="0"/>
              <w:pageBreakBefore w:val="0"/>
              <w:widowControl w:val="0"/>
              <w:kinsoku/>
              <w:wordWrap/>
              <w:overflowPunct/>
              <w:topLinePunct w:val="0"/>
              <w:autoSpaceDE/>
              <w:autoSpaceDN/>
              <w:bidi w:val="0"/>
              <w:adjustRightInd/>
              <w:snapToGrid/>
              <w:spacing w:line="240" w:lineRule="auto"/>
              <w:ind w:left="0" w:leftChars="0" w:right="-160" w:rightChars="-50" w:firstLine="0" w:firstLineChars="0"/>
              <w:jc w:val="center"/>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客来蛋浦寻蓑笠，黄蔑穿鱼酒正浓。</w:t>
            </w:r>
          </w:p>
          <w:p>
            <w:pPr>
              <w:pStyle w:val="31"/>
              <w:keepNext w:val="0"/>
              <w:keepLines w:val="0"/>
              <w:pageBreakBefore w:val="0"/>
              <w:widowControl w:val="0"/>
              <w:kinsoku/>
              <w:wordWrap/>
              <w:overflowPunct/>
              <w:topLinePunct w:val="0"/>
              <w:autoSpaceDE/>
              <w:autoSpaceDN/>
              <w:bidi w:val="0"/>
              <w:adjustRightInd/>
              <w:snapToGrid/>
              <w:spacing w:line="240" w:lineRule="auto"/>
              <w:ind w:left="0" w:leftChars="0" w:right="-160" w:rightChars="-50" w:firstLine="0" w:firstLineChars="0"/>
              <w:jc w:val="center"/>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五景：稻陇眠鸥</w:t>
            </w:r>
          </w:p>
          <w:p>
            <w:pPr>
              <w:pStyle w:val="31"/>
              <w:keepNext w:val="0"/>
              <w:keepLines w:val="0"/>
              <w:pageBreakBefore w:val="0"/>
              <w:widowControl w:val="0"/>
              <w:kinsoku/>
              <w:wordWrap/>
              <w:overflowPunct/>
              <w:topLinePunct w:val="0"/>
              <w:autoSpaceDE/>
              <w:autoSpaceDN/>
              <w:bidi w:val="0"/>
              <w:adjustRightInd/>
              <w:snapToGrid/>
              <w:spacing w:line="240" w:lineRule="auto"/>
              <w:ind w:left="0" w:leftChars="0" w:right="-160" w:rightChars="-50" w:firstLine="0" w:firstLineChars="0"/>
              <w:jc w:val="center"/>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北江春暖雨声残，罢亚凌风露未干。</w:t>
            </w:r>
          </w:p>
          <w:p>
            <w:pPr>
              <w:pStyle w:val="31"/>
              <w:keepNext w:val="0"/>
              <w:keepLines w:val="0"/>
              <w:pageBreakBefore w:val="0"/>
              <w:widowControl w:val="0"/>
              <w:kinsoku/>
              <w:wordWrap/>
              <w:overflowPunct/>
              <w:topLinePunct w:val="0"/>
              <w:autoSpaceDE/>
              <w:autoSpaceDN/>
              <w:bidi w:val="0"/>
              <w:adjustRightInd/>
              <w:snapToGrid/>
              <w:spacing w:line="240" w:lineRule="auto"/>
              <w:ind w:left="0" w:leftChars="0" w:right="-160" w:rightChars="-50" w:firstLine="0" w:firstLineChars="0"/>
              <w:jc w:val="center"/>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水鸟不惊人语寂，夕阳无限野云寒。</w:t>
            </w:r>
          </w:p>
          <w:p>
            <w:pPr>
              <w:pStyle w:val="31"/>
              <w:keepNext w:val="0"/>
              <w:keepLines w:val="0"/>
              <w:pageBreakBefore w:val="0"/>
              <w:widowControl w:val="0"/>
              <w:kinsoku/>
              <w:wordWrap/>
              <w:overflowPunct/>
              <w:topLinePunct w:val="0"/>
              <w:autoSpaceDE/>
              <w:autoSpaceDN/>
              <w:bidi w:val="0"/>
              <w:adjustRightInd/>
              <w:snapToGrid/>
              <w:spacing w:line="240" w:lineRule="auto"/>
              <w:ind w:left="0" w:leftChars="0" w:right="-160" w:rightChars="-50" w:firstLine="0" w:firstLineChars="0"/>
              <w:jc w:val="center"/>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闲依弱翠眠芳草，静看鹪鹩下远滩。</w:t>
            </w:r>
          </w:p>
          <w:p>
            <w:pPr>
              <w:pStyle w:val="31"/>
              <w:keepNext w:val="0"/>
              <w:keepLines w:val="0"/>
              <w:pageBreakBefore w:val="0"/>
              <w:widowControl w:val="0"/>
              <w:kinsoku/>
              <w:wordWrap/>
              <w:overflowPunct/>
              <w:topLinePunct w:val="0"/>
              <w:autoSpaceDE/>
              <w:autoSpaceDN/>
              <w:bidi w:val="0"/>
              <w:adjustRightInd/>
              <w:snapToGrid/>
              <w:spacing w:line="240" w:lineRule="auto"/>
              <w:ind w:left="0" w:leftChars="0" w:right="-160" w:rightChars="-50" w:firstLine="0" w:firstLineChars="0"/>
              <w:jc w:val="center"/>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万里客来机事息，买田还把钓鱼竿。</w:t>
            </w:r>
          </w:p>
          <w:p>
            <w:pPr>
              <w:pStyle w:val="31"/>
              <w:keepNext w:val="0"/>
              <w:keepLines w:val="0"/>
              <w:pageBreakBefore w:val="0"/>
              <w:widowControl w:val="0"/>
              <w:kinsoku/>
              <w:wordWrap/>
              <w:overflowPunct/>
              <w:topLinePunct w:val="0"/>
              <w:autoSpaceDE/>
              <w:autoSpaceDN/>
              <w:bidi w:val="0"/>
              <w:adjustRightInd/>
              <w:snapToGrid/>
              <w:spacing w:line="240" w:lineRule="auto"/>
              <w:ind w:left="0" w:leftChars="0" w:right="-160" w:rightChars="-50" w:firstLine="0" w:firstLineChars="0"/>
              <w:jc w:val="center"/>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六景：竹篱啼鸟</w:t>
            </w:r>
          </w:p>
          <w:p>
            <w:pPr>
              <w:pStyle w:val="31"/>
              <w:keepNext w:val="0"/>
              <w:keepLines w:val="0"/>
              <w:pageBreakBefore w:val="0"/>
              <w:widowControl w:val="0"/>
              <w:kinsoku/>
              <w:wordWrap/>
              <w:overflowPunct/>
              <w:topLinePunct w:val="0"/>
              <w:autoSpaceDE/>
              <w:autoSpaceDN/>
              <w:bidi w:val="0"/>
              <w:adjustRightInd/>
              <w:snapToGrid/>
              <w:spacing w:line="240" w:lineRule="auto"/>
              <w:ind w:left="0" w:leftChars="0" w:right="-160" w:rightChars="-50" w:firstLine="0" w:firstLineChars="0"/>
              <w:jc w:val="center"/>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长栅连城护落晖，多情幽鸟韵依依。</w:t>
            </w:r>
          </w:p>
          <w:p>
            <w:pPr>
              <w:pStyle w:val="31"/>
              <w:keepNext w:val="0"/>
              <w:keepLines w:val="0"/>
              <w:pageBreakBefore w:val="0"/>
              <w:widowControl w:val="0"/>
              <w:kinsoku/>
              <w:wordWrap/>
              <w:overflowPunct/>
              <w:topLinePunct w:val="0"/>
              <w:autoSpaceDE/>
              <w:autoSpaceDN/>
              <w:bidi w:val="0"/>
              <w:adjustRightInd/>
              <w:snapToGrid/>
              <w:spacing w:line="240" w:lineRule="auto"/>
              <w:ind w:left="0" w:leftChars="0" w:right="-160" w:rightChars="-50" w:firstLine="0" w:firstLineChars="0"/>
              <w:jc w:val="center"/>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风清树杪鸣相应，雨过沙头立未归。</w:t>
            </w:r>
          </w:p>
          <w:p>
            <w:pPr>
              <w:pStyle w:val="31"/>
              <w:keepNext w:val="0"/>
              <w:keepLines w:val="0"/>
              <w:pageBreakBefore w:val="0"/>
              <w:widowControl w:val="0"/>
              <w:kinsoku/>
              <w:wordWrap/>
              <w:overflowPunct/>
              <w:topLinePunct w:val="0"/>
              <w:autoSpaceDE/>
              <w:autoSpaceDN/>
              <w:bidi w:val="0"/>
              <w:adjustRightInd/>
              <w:snapToGrid/>
              <w:spacing w:line="240" w:lineRule="auto"/>
              <w:ind w:left="0" w:leftChars="0" w:right="-160" w:rightChars="-50" w:firstLine="0" w:firstLineChars="0"/>
              <w:jc w:val="center"/>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鹦鹉乍随人共语，伯劳还与燕同飞。</w:t>
            </w:r>
          </w:p>
          <w:p>
            <w:pPr>
              <w:pStyle w:val="31"/>
              <w:keepNext w:val="0"/>
              <w:keepLines w:val="0"/>
              <w:pageBreakBefore w:val="0"/>
              <w:widowControl w:val="0"/>
              <w:kinsoku/>
              <w:wordWrap/>
              <w:overflowPunct/>
              <w:topLinePunct w:val="0"/>
              <w:autoSpaceDE/>
              <w:autoSpaceDN/>
              <w:bidi w:val="0"/>
              <w:adjustRightInd/>
              <w:snapToGrid/>
              <w:spacing w:line="240" w:lineRule="auto"/>
              <w:ind w:left="0" w:leftChars="0" w:right="-160" w:rightChars="-50" w:firstLine="0" w:firstLineChars="0"/>
              <w:jc w:val="center"/>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天边不识填河鹊，依旧秋横织女机。</w:t>
            </w:r>
          </w:p>
          <w:p>
            <w:pPr>
              <w:pStyle w:val="31"/>
              <w:keepNext w:val="0"/>
              <w:keepLines w:val="0"/>
              <w:pageBreakBefore w:val="0"/>
              <w:widowControl w:val="0"/>
              <w:kinsoku/>
              <w:wordWrap/>
              <w:overflowPunct/>
              <w:topLinePunct w:val="0"/>
              <w:autoSpaceDE/>
              <w:autoSpaceDN/>
              <w:bidi w:val="0"/>
              <w:adjustRightInd/>
              <w:snapToGrid/>
              <w:spacing w:line="240" w:lineRule="auto"/>
              <w:ind w:left="0" w:leftChars="0" w:right="-160" w:rightChars="-50" w:firstLine="0" w:firstLineChars="0"/>
              <w:jc w:val="center"/>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七景：南山秋蟾</w:t>
            </w:r>
          </w:p>
          <w:p>
            <w:pPr>
              <w:pStyle w:val="31"/>
              <w:keepNext w:val="0"/>
              <w:keepLines w:val="0"/>
              <w:pageBreakBefore w:val="0"/>
              <w:widowControl w:val="0"/>
              <w:kinsoku/>
              <w:wordWrap/>
              <w:overflowPunct/>
              <w:topLinePunct w:val="0"/>
              <w:autoSpaceDE/>
              <w:autoSpaceDN/>
              <w:bidi w:val="0"/>
              <w:adjustRightInd/>
              <w:snapToGrid/>
              <w:spacing w:line="240" w:lineRule="auto"/>
              <w:ind w:left="0" w:leftChars="0" w:right="-160" w:rightChars="-50" w:firstLine="0" w:firstLineChars="0"/>
              <w:jc w:val="center"/>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千林重叠岭陂陀，放出秋天月色多。</w:t>
            </w:r>
          </w:p>
          <w:p>
            <w:pPr>
              <w:pStyle w:val="31"/>
              <w:keepNext w:val="0"/>
              <w:keepLines w:val="0"/>
              <w:pageBreakBefore w:val="0"/>
              <w:widowControl w:val="0"/>
              <w:kinsoku/>
              <w:wordWrap/>
              <w:overflowPunct/>
              <w:topLinePunct w:val="0"/>
              <w:autoSpaceDE/>
              <w:autoSpaceDN/>
              <w:bidi w:val="0"/>
              <w:adjustRightInd/>
              <w:snapToGrid/>
              <w:spacing w:line="240" w:lineRule="auto"/>
              <w:ind w:left="0" w:leftChars="0" w:right="-160" w:rightChars="-50" w:firstLine="0" w:firstLineChars="0"/>
              <w:jc w:val="center"/>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海送潮声摇老桂，云随蟾影度明河。</w:t>
            </w:r>
          </w:p>
          <w:p>
            <w:pPr>
              <w:pStyle w:val="31"/>
              <w:keepNext w:val="0"/>
              <w:keepLines w:val="0"/>
              <w:pageBreakBefore w:val="0"/>
              <w:widowControl w:val="0"/>
              <w:kinsoku/>
              <w:wordWrap/>
              <w:overflowPunct/>
              <w:topLinePunct w:val="0"/>
              <w:autoSpaceDE/>
              <w:autoSpaceDN/>
              <w:bidi w:val="0"/>
              <w:adjustRightInd/>
              <w:snapToGrid/>
              <w:spacing w:line="240" w:lineRule="auto"/>
              <w:ind w:left="0" w:leftChars="0" w:right="-160" w:rightChars="-50" w:firstLine="0" w:firstLineChars="0"/>
              <w:jc w:val="center"/>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有时画角吹梅落，无处清樽下酒歌。</w:t>
            </w:r>
          </w:p>
          <w:p>
            <w:pPr>
              <w:pStyle w:val="31"/>
              <w:keepNext w:val="0"/>
              <w:keepLines w:val="0"/>
              <w:pageBreakBefore w:val="0"/>
              <w:widowControl w:val="0"/>
              <w:kinsoku/>
              <w:wordWrap/>
              <w:overflowPunct/>
              <w:topLinePunct w:val="0"/>
              <w:autoSpaceDE/>
              <w:autoSpaceDN/>
              <w:bidi w:val="0"/>
              <w:adjustRightInd/>
              <w:snapToGrid/>
              <w:spacing w:line="240" w:lineRule="auto"/>
              <w:ind w:left="0" w:leftChars="0" w:right="-160" w:rightChars="-50" w:firstLine="0" w:firstLineChars="0"/>
              <w:jc w:val="center"/>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天末晴光连绝岛．帝城曾识旧嫦娥。</w:t>
            </w:r>
          </w:p>
          <w:p>
            <w:pPr>
              <w:pStyle w:val="31"/>
              <w:keepNext w:val="0"/>
              <w:keepLines w:val="0"/>
              <w:pageBreakBefore w:val="0"/>
              <w:widowControl w:val="0"/>
              <w:kinsoku/>
              <w:wordWrap/>
              <w:overflowPunct/>
              <w:topLinePunct w:val="0"/>
              <w:autoSpaceDE/>
              <w:autoSpaceDN/>
              <w:bidi w:val="0"/>
              <w:adjustRightInd/>
              <w:snapToGrid/>
              <w:spacing w:line="240" w:lineRule="auto"/>
              <w:ind w:left="0" w:leftChars="0" w:right="-160" w:rightChars="-50" w:firstLine="0" w:firstLineChars="0"/>
              <w:jc w:val="center"/>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八景：牧原芳草</w:t>
            </w:r>
          </w:p>
          <w:p>
            <w:pPr>
              <w:pStyle w:val="31"/>
              <w:keepNext w:val="0"/>
              <w:keepLines w:val="0"/>
              <w:pageBreakBefore w:val="0"/>
              <w:widowControl w:val="0"/>
              <w:kinsoku/>
              <w:wordWrap/>
              <w:overflowPunct/>
              <w:topLinePunct w:val="0"/>
              <w:autoSpaceDE/>
              <w:autoSpaceDN/>
              <w:bidi w:val="0"/>
              <w:adjustRightInd/>
              <w:snapToGrid/>
              <w:spacing w:line="240" w:lineRule="auto"/>
              <w:ind w:left="0" w:leftChars="0" w:right="-160" w:rightChars="-50" w:firstLine="0" w:firstLineChars="0"/>
              <w:jc w:val="center"/>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曾识沙陀放马群，雨晴喜见满川云。</w:t>
            </w:r>
          </w:p>
          <w:p>
            <w:pPr>
              <w:pStyle w:val="31"/>
              <w:keepNext w:val="0"/>
              <w:keepLines w:val="0"/>
              <w:pageBreakBefore w:val="0"/>
              <w:widowControl w:val="0"/>
              <w:kinsoku/>
              <w:wordWrap/>
              <w:overflowPunct/>
              <w:topLinePunct w:val="0"/>
              <w:autoSpaceDE/>
              <w:autoSpaceDN/>
              <w:bidi w:val="0"/>
              <w:adjustRightInd/>
              <w:snapToGrid/>
              <w:spacing w:line="240" w:lineRule="auto"/>
              <w:ind w:left="0" w:leftChars="0" w:right="-160" w:rightChars="-50" w:firstLine="0" w:firstLineChars="0"/>
              <w:jc w:val="center"/>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四时芳草乎如剪，一气中原远不分。</w:t>
            </w:r>
          </w:p>
          <w:p>
            <w:pPr>
              <w:pStyle w:val="31"/>
              <w:keepNext w:val="0"/>
              <w:keepLines w:val="0"/>
              <w:pageBreakBefore w:val="0"/>
              <w:widowControl w:val="0"/>
              <w:kinsoku/>
              <w:wordWrap/>
              <w:overflowPunct/>
              <w:topLinePunct w:val="0"/>
              <w:autoSpaceDE/>
              <w:autoSpaceDN/>
              <w:bidi w:val="0"/>
              <w:adjustRightInd/>
              <w:snapToGrid/>
              <w:spacing w:line="240" w:lineRule="auto"/>
              <w:ind w:left="0" w:leftChars="0" w:right="-160" w:rightChars="-50" w:firstLine="0" w:firstLineChars="0"/>
              <w:jc w:val="center"/>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水际带沙青苒苒，山中和露碧氤氲。</w:t>
            </w:r>
          </w:p>
          <w:p>
            <w:pPr>
              <w:pStyle w:val="31"/>
              <w:keepNext w:val="0"/>
              <w:keepLines w:val="0"/>
              <w:pageBreakBefore w:val="0"/>
              <w:widowControl w:val="0"/>
              <w:kinsoku/>
              <w:wordWrap/>
              <w:overflowPunct/>
              <w:topLinePunct w:val="0"/>
              <w:autoSpaceDE/>
              <w:autoSpaceDN/>
              <w:bidi w:val="0"/>
              <w:adjustRightInd/>
              <w:snapToGrid/>
              <w:spacing w:line="240" w:lineRule="auto"/>
              <w:ind w:left="0" w:leftChars="0" w:right="-160" w:rightChars="-50" w:firstLine="0" w:firstLineChars="0"/>
              <w:jc w:val="center"/>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乘黄天上多鞿策，款段从教卧夕曛。</w:t>
            </w:r>
          </w:p>
        </w:tc>
        <w:tc>
          <w:tcPr>
            <w:tcW w:w="4261" w:type="dxa"/>
            <w:tcBorders>
              <w:top w:val="single" w:color="auto" w:sz="4" w:space="0"/>
              <w:bottom w:val="thickThinSmallGap" w:color="A4A4A4" w:sz="12" w:space="0"/>
            </w:tcBorders>
            <w:vAlign w:val="top"/>
          </w:tcPr>
          <w:p>
            <w:pPr>
              <w:pStyle w:val="31"/>
              <w:keepNext w:val="0"/>
              <w:keepLines w:val="0"/>
              <w:pageBreakBefore w:val="0"/>
              <w:widowControl w:val="0"/>
              <w:kinsoku/>
              <w:wordWrap/>
              <w:overflowPunct/>
              <w:topLinePunct w:val="0"/>
              <w:autoSpaceDE/>
              <w:autoSpaceDN/>
              <w:bidi w:val="0"/>
              <w:adjustRightInd/>
              <w:snapToGrid/>
              <w:spacing w:line="240" w:lineRule="auto"/>
              <w:ind w:left="0" w:leftChars="0" w:right="-160" w:rightChars="-50" w:firstLine="0" w:firstLineChars="0"/>
              <w:jc w:val="center"/>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《崖州新八景》</w:t>
            </w:r>
          </w:p>
          <w:p>
            <w:pPr>
              <w:pStyle w:val="31"/>
              <w:keepNext w:val="0"/>
              <w:keepLines w:val="0"/>
              <w:pageBreakBefore w:val="0"/>
              <w:widowControl w:val="0"/>
              <w:kinsoku/>
              <w:wordWrap/>
              <w:overflowPunct/>
              <w:topLinePunct w:val="0"/>
              <w:autoSpaceDE/>
              <w:autoSpaceDN/>
              <w:bidi w:val="0"/>
              <w:adjustRightInd/>
              <w:snapToGrid/>
              <w:spacing w:line="240" w:lineRule="auto"/>
              <w:ind w:left="0" w:leftChars="0" w:right="-160" w:rightChars="-50" w:firstLine="0" w:firstLineChars="0"/>
              <w:jc w:val="center"/>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（清</w:t>
            </w:r>
            <w:r>
              <w:rPr>
                <w:rFonts w:hint="eastAsia" w:cs="楷体"/>
                <w:b w:val="0"/>
                <w:bCs w:val="0"/>
                <w:sz w:val="24"/>
                <w:szCs w:val="24"/>
                <w:lang w:val="en-US" w:eastAsia="zh-CN"/>
              </w:rPr>
              <w:t xml:space="preserve"> </w:t>
            </w:r>
            <w:r>
              <w:rPr>
                <w:rFonts w:hint="eastAsia" w:ascii="楷体" w:hAnsi="楷体" w:eastAsia="楷体" w:cs="楷体"/>
                <w:b w:val="0"/>
                <w:bCs w:val="0"/>
                <w:sz w:val="24"/>
                <w:szCs w:val="24"/>
                <w:lang w:val="en-US" w:eastAsia="zh-CN"/>
              </w:rPr>
              <w:t>钟元棣</w:t>
            </w:r>
            <w:r>
              <w:rPr>
                <w:rFonts w:hint="eastAsia" w:cs="楷体"/>
                <w:b w:val="0"/>
                <w:bCs w:val="0"/>
                <w:sz w:val="24"/>
                <w:szCs w:val="24"/>
                <w:lang w:val="en-US" w:eastAsia="zh-CN"/>
              </w:rPr>
              <w:t xml:space="preserve"> </w:t>
            </w:r>
            <w:r>
              <w:rPr>
                <w:rFonts w:hint="eastAsia" w:ascii="楷体" w:hAnsi="楷体" w:eastAsia="楷体" w:cs="楷体"/>
                <w:b w:val="0"/>
                <w:bCs w:val="0"/>
                <w:sz w:val="24"/>
                <w:szCs w:val="24"/>
                <w:lang w:val="en-US" w:eastAsia="zh-CN"/>
              </w:rPr>
              <w:t>作于公元1899年）</w:t>
            </w:r>
          </w:p>
          <w:p>
            <w:pPr>
              <w:pStyle w:val="31"/>
              <w:keepNext w:val="0"/>
              <w:keepLines w:val="0"/>
              <w:pageBreakBefore w:val="0"/>
              <w:widowControl w:val="0"/>
              <w:kinsoku/>
              <w:wordWrap/>
              <w:overflowPunct/>
              <w:topLinePunct w:val="0"/>
              <w:autoSpaceDE/>
              <w:autoSpaceDN/>
              <w:bidi w:val="0"/>
              <w:adjustRightInd/>
              <w:snapToGrid/>
              <w:spacing w:line="240" w:lineRule="auto"/>
              <w:ind w:left="0" w:leftChars="0" w:right="-160" w:rightChars="-50" w:firstLine="0" w:firstLineChars="0"/>
              <w:jc w:val="center"/>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一景：鳌山叠翠</w:t>
            </w:r>
          </w:p>
          <w:p>
            <w:pPr>
              <w:pStyle w:val="31"/>
              <w:keepNext w:val="0"/>
              <w:keepLines w:val="0"/>
              <w:pageBreakBefore w:val="0"/>
              <w:widowControl w:val="0"/>
              <w:kinsoku/>
              <w:wordWrap/>
              <w:overflowPunct/>
              <w:topLinePunct w:val="0"/>
              <w:autoSpaceDE/>
              <w:autoSpaceDN/>
              <w:bidi w:val="0"/>
              <w:adjustRightInd/>
              <w:snapToGrid/>
              <w:spacing w:line="240" w:lineRule="auto"/>
              <w:ind w:left="0" w:leftChars="0" w:right="-160" w:rightChars="-50" w:firstLine="0" w:firstLineChars="0"/>
              <w:jc w:val="center"/>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一山横海镇中流，翡翠屏开护此州。</w:t>
            </w:r>
          </w:p>
          <w:p>
            <w:pPr>
              <w:pStyle w:val="31"/>
              <w:keepNext w:val="0"/>
              <w:keepLines w:val="0"/>
              <w:pageBreakBefore w:val="0"/>
              <w:widowControl w:val="0"/>
              <w:kinsoku/>
              <w:wordWrap/>
              <w:overflowPunct/>
              <w:topLinePunct w:val="0"/>
              <w:autoSpaceDE/>
              <w:autoSpaceDN/>
              <w:bidi w:val="0"/>
              <w:adjustRightInd/>
              <w:snapToGrid/>
              <w:spacing w:line="240" w:lineRule="auto"/>
              <w:ind w:left="0" w:leftChars="0" w:right="-160" w:rightChars="-50" w:firstLine="0" w:firstLineChars="0"/>
              <w:jc w:val="center"/>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破晓烟痕飞岭岫，入秋岚影罩城楼。</w:t>
            </w:r>
          </w:p>
          <w:p>
            <w:pPr>
              <w:pStyle w:val="31"/>
              <w:keepNext w:val="0"/>
              <w:keepLines w:val="0"/>
              <w:pageBreakBefore w:val="0"/>
              <w:widowControl w:val="0"/>
              <w:kinsoku/>
              <w:wordWrap/>
              <w:overflowPunct/>
              <w:topLinePunct w:val="0"/>
              <w:autoSpaceDE/>
              <w:autoSpaceDN/>
              <w:bidi w:val="0"/>
              <w:adjustRightInd/>
              <w:snapToGrid/>
              <w:spacing w:line="240" w:lineRule="auto"/>
              <w:ind w:left="0" w:leftChars="0" w:right="-160" w:rightChars="-50" w:firstLine="0" w:firstLineChars="0"/>
              <w:jc w:val="center"/>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云堆螺髻千层耸，雨洗娥眉半壁收。</w:t>
            </w:r>
          </w:p>
          <w:p>
            <w:pPr>
              <w:pStyle w:val="31"/>
              <w:keepNext w:val="0"/>
              <w:keepLines w:val="0"/>
              <w:pageBreakBefore w:val="0"/>
              <w:widowControl w:val="0"/>
              <w:kinsoku/>
              <w:wordWrap/>
              <w:overflowPunct/>
              <w:topLinePunct w:val="0"/>
              <w:autoSpaceDE/>
              <w:autoSpaceDN/>
              <w:bidi w:val="0"/>
              <w:adjustRightInd/>
              <w:snapToGrid/>
              <w:spacing w:line="240" w:lineRule="auto"/>
              <w:ind w:left="0" w:leftChars="0" w:right="-160" w:rightChars="-50" w:firstLine="0" w:firstLineChars="0"/>
              <w:jc w:val="center"/>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如此佳名如此景，问谁拾级到峰头?</w:t>
            </w:r>
          </w:p>
          <w:p>
            <w:pPr>
              <w:pStyle w:val="31"/>
              <w:keepNext w:val="0"/>
              <w:keepLines w:val="0"/>
              <w:pageBreakBefore w:val="0"/>
              <w:widowControl w:val="0"/>
              <w:kinsoku/>
              <w:wordWrap/>
              <w:overflowPunct/>
              <w:topLinePunct w:val="0"/>
              <w:autoSpaceDE/>
              <w:autoSpaceDN/>
              <w:bidi w:val="0"/>
              <w:adjustRightInd/>
              <w:snapToGrid/>
              <w:spacing w:line="240" w:lineRule="auto"/>
              <w:ind w:left="0" w:leftChars="0" w:right="-160" w:rightChars="-50" w:firstLine="0" w:firstLineChars="0"/>
              <w:jc w:val="center"/>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二景：抱郭双流</w:t>
            </w:r>
          </w:p>
          <w:p>
            <w:pPr>
              <w:pStyle w:val="31"/>
              <w:keepNext w:val="0"/>
              <w:keepLines w:val="0"/>
              <w:pageBreakBefore w:val="0"/>
              <w:widowControl w:val="0"/>
              <w:kinsoku/>
              <w:wordWrap/>
              <w:overflowPunct/>
              <w:topLinePunct w:val="0"/>
              <w:autoSpaceDE/>
              <w:autoSpaceDN/>
              <w:bidi w:val="0"/>
              <w:adjustRightInd/>
              <w:snapToGrid/>
              <w:spacing w:line="240" w:lineRule="auto"/>
              <w:ind w:left="0" w:leftChars="0" w:right="-160" w:rightChars="-50" w:firstLine="0" w:firstLineChars="0"/>
              <w:jc w:val="center"/>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五指源长两道横，天然回抱吉阳城。</w:t>
            </w:r>
          </w:p>
          <w:p>
            <w:pPr>
              <w:pStyle w:val="31"/>
              <w:keepNext w:val="0"/>
              <w:keepLines w:val="0"/>
              <w:pageBreakBefore w:val="0"/>
              <w:widowControl w:val="0"/>
              <w:kinsoku/>
              <w:wordWrap/>
              <w:overflowPunct/>
              <w:topLinePunct w:val="0"/>
              <w:autoSpaceDE/>
              <w:autoSpaceDN/>
              <w:bidi w:val="0"/>
              <w:adjustRightInd/>
              <w:snapToGrid/>
              <w:spacing w:line="240" w:lineRule="auto"/>
              <w:ind w:left="0" w:leftChars="0" w:right="-160" w:rightChars="-50" w:firstLine="0" w:firstLineChars="0"/>
              <w:jc w:val="center"/>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地灵借得双龙护，水秀分来百雉迎。</w:t>
            </w:r>
          </w:p>
          <w:p>
            <w:pPr>
              <w:pStyle w:val="31"/>
              <w:keepNext w:val="0"/>
              <w:keepLines w:val="0"/>
              <w:pageBreakBefore w:val="0"/>
              <w:widowControl w:val="0"/>
              <w:kinsoku/>
              <w:wordWrap/>
              <w:overflowPunct/>
              <w:topLinePunct w:val="0"/>
              <w:autoSpaceDE/>
              <w:autoSpaceDN/>
              <w:bidi w:val="0"/>
              <w:adjustRightInd/>
              <w:snapToGrid/>
              <w:spacing w:line="240" w:lineRule="auto"/>
              <w:ind w:left="0" w:leftChars="0" w:right="-160" w:rightChars="-50" w:firstLine="0" w:firstLineChars="0"/>
              <w:jc w:val="center"/>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夹岸常移楼塔影，流波时绕管弦声。</w:t>
            </w:r>
          </w:p>
          <w:p>
            <w:pPr>
              <w:pStyle w:val="31"/>
              <w:keepNext w:val="0"/>
              <w:keepLines w:val="0"/>
              <w:pageBreakBefore w:val="0"/>
              <w:widowControl w:val="0"/>
              <w:kinsoku/>
              <w:wordWrap/>
              <w:overflowPunct/>
              <w:topLinePunct w:val="0"/>
              <w:autoSpaceDE/>
              <w:autoSpaceDN/>
              <w:bidi w:val="0"/>
              <w:adjustRightInd/>
              <w:snapToGrid/>
              <w:spacing w:line="240" w:lineRule="auto"/>
              <w:ind w:left="0" w:leftChars="0" w:right="-160" w:rightChars="-50" w:firstLine="0" w:firstLineChars="0"/>
              <w:jc w:val="center"/>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珠崖从此金汤固，洗尽干戈不用兵。</w:t>
            </w:r>
          </w:p>
          <w:p>
            <w:pPr>
              <w:pStyle w:val="31"/>
              <w:keepNext w:val="0"/>
              <w:keepLines w:val="0"/>
              <w:pageBreakBefore w:val="0"/>
              <w:widowControl w:val="0"/>
              <w:kinsoku/>
              <w:wordWrap/>
              <w:overflowPunct/>
              <w:topLinePunct w:val="0"/>
              <w:autoSpaceDE/>
              <w:autoSpaceDN/>
              <w:bidi w:val="0"/>
              <w:adjustRightInd/>
              <w:snapToGrid/>
              <w:spacing w:line="240" w:lineRule="auto"/>
              <w:ind w:left="0" w:leftChars="0" w:right="-160" w:rightChars="-50" w:firstLine="0" w:firstLineChars="0"/>
              <w:jc w:val="center"/>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三景：洞天幽胜</w:t>
            </w:r>
          </w:p>
          <w:p>
            <w:pPr>
              <w:pStyle w:val="31"/>
              <w:keepNext w:val="0"/>
              <w:keepLines w:val="0"/>
              <w:pageBreakBefore w:val="0"/>
              <w:widowControl w:val="0"/>
              <w:kinsoku/>
              <w:wordWrap/>
              <w:overflowPunct/>
              <w:topLinePunct w:val="0"/>
              <w:autoSpaceDE/>
              <w:autoSpaceDN/>
              <w:bidi w:val="0"/>
              <w:adjustRightInd/>
              <w:snapToGrid/>
              <w:spacing w:line="240" w:lineRule="auto"/>
              <w:ind w:left="0" w:leftChars="0" w:right="-160" w:rightChars="-50" w:firstLine="0" w:firstLineChars="0"/>
              <w:jc w:val="center"/>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十万红尘末许参，此中天地好幽探。</w:t>
            </w:r>
          </w:p>
          <w:p>
            <w:pPr>
              <w:pStyle w:val="31"/>
              <w:keepNext w:val="0"/>
              <w:keepLines w:val="0"/>
              <w:pageBreakBefore w:val="0"/>
              <w:widowControl w:val="0"/>
              <w:kinsoku/>
              <w:wordWrap/>
              <w:overflowPunct/>
              <w:topLinePunct w:val="0"/>
              <w:autoSpaceDE/>
              <w:autoSpaceDN/>
              <w:bidi w:val="0"/>
              <w:adjustRightInd/>
              <w:snapToGrid/>
              <w:spacing w:line="240" w:lineRule="auto"/>
              <w:ind w:left="0" w:leftChars="0" w:right="-160" w:rightChars="-50" w:firstLine="0" w:firstLineChars="0"/>
              <w:jc w:val="center"/>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诗情悟到云门辟，仙梦邀来石蹬酣。</w:t>
            </w:r>
          </w:p>
          <w:p>
            <w:pPr>
              <w:pStyle w:val="31"/>
              <w:keepNext w:val="0"/>
              <w:keepLines w:val="0"/>
              <w:pageBreakBefore w:val="0"/>
              <w:widowControl w:val="0"/>
              <w:kinsoku/>
              <w:wordWrap/>
              <w:overflowPunct/>
              <w:topLinePunct w:val="0"/>
              <w:autoSpaceDE/>
              <w:autoSpaceDN/>
              <w:bidi w:val="0"/>
              <w:adjustRightInd/>
              <w:snapToGrid/>
              <w:spacing w:line="240" w:lineRule="auto"/>
              <w:ind w:left="0" w:leftChars="0" w:right="-160" w:rightChars="-50" w:firstLine="0" w:firstLineChars="0"/>
              <w:jc w:val="center"/>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峭壁高撑蝇一一，深林斜转径三三。</w:t>
            </w:r>
          </w:p>
          <w:p>
            <w:pPr>
              <w:pStyle w:val="31"/>
              <w:keepNext w:val="0"/>
              <w:keepLines w:val="0"/>
              <w:pageBreakBefore w:val="0"/>
              <w:widowControl w:val="0"/>
              <w:kinsoku/>
              <w:wordWrap/>
              <w:overflowPunct/>
              <w:topLinePunct w:val="0"/>
              <w:autoSpaceDE/>
              <w:autoSpaceDN/>
              <w:bidi w:val="0"/>
              <w:adjustRightInd/>
              <w:snapToGrid/>
              <w:spacing w:line="240" w:lineRule="auto"/>
              <w:ind w:left="0" w:leftChars="0" w:right="-160" w:rightChars="-50" w:firstLine="0" w:firstLineChars="0"/>
              <w:jc w:val="center"/>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行当寄语蓬莱客，胜境而今逊岭南。</w:t>
            </w:r>
          </w:p>
          <w:p>
            <w:pPr>
              <w:pStyle w:val="31"/>
              <w:keepNext w:val="0"/>
              <w:keepLines w:val="0"/>
              <w:pageBreakBefore w:val="0"/>
              <w:widowControl w:val="0"/>
              <w:kinsoku/>
              <w:wordWrap/>
              <w:overflowPunct/>
              <w:topLinePunct w:val="0"/>
              <w:autoSpaceDE/>
              <w:autoSpaceDN/>
              <w:bidi w:val="0"/>
              <w:adjustRightInd/>
              <w:snapToGrid/>
              <w:spacing w:line="240" w:lineRule="auto"/>
              <w:ind w:left="0" w:leftChars="0" w:right="-160" w:rightChars="-50" w:firstLine="0" w:firstLineChars="0"/>
              <w:jc w:val="center"/>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四景：落笔凌空</w:t>
            </w:r>
          </w:p>
          <w:p>
            <w:pPr>
              <w:pStyle w:val="31"/>
              <w:keepNext w:val="0"/>
              <w:keepLines w:val="0"/>
              <w:pageBreakBefore w:val="0"/>
              <w:widowControl w:val="0"/>
              <w:kinsoku/>
              <w:wordWrap/>
              <w:overflowPunct/>
              <w:topLinePunct w:val="0"/>
              <w:autoSpaceDE/>
              <w:autoSpaceDN/>
              <w:bidi w:val="0"/>
              <w:adjustRightInd/>
              <w:snapToGrid/>
              <w:spacing w:line="240" w:lineRule="auto"/>
              <w:ind w:left="0" w:leftChars="0" w:right="-160" w:rightChars="-50" w:firstLine="0" w:firstLineChars="0"/>
              <w:jc w:val="center"/>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信是仙家逞妙才，洞遗石笔绝尘埃。</w:t>
            </w:r>
          </w:p>
          <w:p>
            <w:pPr>
              <w:pStyle w:val="31"/>
              <w:keepNext w:val="0"/>
              <w:keepLines w:val="0"/>
              <w:pageBreakBefore w:val="0"/>
              <w:widowControl w:val="0"/>
              <w:kinsoku/>
              <w:wordWrap/>
              <w:overflowPunct/>
              <w:topLinePunct w:val="0"/>
              <w:autoSpaceDE/>
              <w:autoSpaceDN/>
              <w:bidi w:val="0"/>
              <w:adjustRightInd/>
              <w:snapToGrid/>
              <w:spacing w:line="240" w:lineRule="auto"/>
              <w:ind w:left="0" w:leftChars="0" w:right="-160" w:rightChars="-50" w:firstLine="0" w:firstLineChars="0"/>
              <w:jc w:val="center"/>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四围露液随时蘸，五色云笺任意裁。</w:t>
            </w:r>
          </w:p>
          <w:p>
            <w:pPr>
              <w:pStyle w:val="31"/>
              <w:keepNext w:val="0"/>
              <w:keepLines w:val="0"/>
              <w:pageBreakBefore w:val="0"/>
              <w:widowControl w:val="0"/>
              <w:kinsoku/>
              <w:wordWrap/>
              <w:overflowPunct/>
              <w:topLinePunct w:val="0"/>
              <w:autoSpaceDE/>
              <w:autoSpaceDN/>
              <w:bidi w:val="0"/>
              <w:adjustRightInd/>
              <w:snapToGrid/>
              <w:spacing w:line="240" w:lineRule="auto"/>
              <w:ind w:left="0" w:leftChars="0" w:right="-160" w:rightChars="-50" w:firstLine="0" w:firstLineChars="0"/>
              <w:jc w:val="center"/>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秀气先看峰上草，篆痕犹逗石间苔。</w:t>
            </w:r>
          </w:p>
          <w:p>
            <w:pPr>
              <w:pStyle w:val="31"/>
              <w:keepNext w:val="0"/>
              <w:keepLines w:val="0"/>
              <w:pageBreakBefore w:val="0"/>
              <w:widowControl w:val="0"/>
              <w:kinsoku/>
              <w:wordWrap/>
              <w:overflowPunct/>
              <w:topLinePunct w:val="0"/>
              <w:autoSpaceDE/>
              <w:autoSpaceDN/>
              <w:bidi w:val="0"/>
              <w:adjustRightInd/>
              <w:snapToGrid/>
              <w:spacing w:line="240" w:lineRule="auto"/>
              <w:ind w:left="0" w:leftChars="0" w:right="-160" w:rightChars="-50" w:firstLine="0" w:firstLineChars="0"/>
              <w:jc w:val="center"/>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琼南雁字书空少，端为灵区不敢来。</w:t>
            </w:r>
          </w:p>
          <w:p>
            <w:pPr>
              <w:pStyle w:val="31"/>
              <w:keepNext w:val="0"/>
              <w:keepLines w:val="0"/>
              <w:pageBreakBefore w:val="0"/>
              <w:widowControl w:val="0"/>
              <w:kinsoku/>
              <w:wordWrap/>
              <w:overflowPunct/>
              <w:topLinePunct w:val="0"/>
              <w:autoSpaceDE/>
              <w:autoSpaceDN/>
              <w:bidi w:val="0"/>
              <w:adjustRightInd/>
              <w:snapToGrid/>
              <w:spacing w:line="240" w:lineRule="auto"/>
              <w:ind w:left="0" w:leftChars="0" w:right="-160" w:rightChars="-50" w:firstLine="0" w:firstLineChars="0"/>
              <w:jc w:val="center"/>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五景：温泉漱玉</w:t>
            </w:r>
          </w:p>
          <w:p>
            <w:pPr>
              <w:pStyle w:val="31"/>
              <w:keepNext w:val="0"/>
              <w:keepLines w:val="0"/>
              <w:pageBreakBefore w:val="0"/>
              <w:widowControl w:val="0"/>
              <w:kinsoku/>
              <w:wordWrap/>
              <w:overflowPunct/>
              <w:topLinePunct w:val="0"/>
              <w:autoSpaceDE/>
              <w:autoSpaceDN/>
              <w:bidi w:val="0"/>
              <w:adjustRightInd/>
              <w:snapToGrid/>
              <w:spacing w:line="240" w:lineRule="auto"/>
              <w:ind w:left="0" w:leftChars="0" w:right="-160" w:rightChars="-50" w:firstLine="0" w:firstLineChars="0"/>
              <w:jc w:val="center"/>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天宝移来一脉泉，终朝掬手暖如煎。</w:t>
            </w:r>
          </w:p>
          <w:p>
            <w:pPr>
              <w:pStyle w:val="31"/>
              <w:keepNext w:val="0"/>
              <w:keepLines w:val="0"/>
              <w:pageBreakBefore w:val="0"/>
              <w:widowControl w:val="0"/>
              <w:kinsoku/>
              <w:wordWrap/>
              <w:overflowPunct/>
              <w:topLinePunct w:val="0"/>
              <w:autoSpaceDE/>
              <w:autoSpaceDN/>
              <w:bidi w:val="0"/>
              <w:adjustRightInd/>
              <w:snapToGrid/>
              <w:spacing w:line="240" w:lineRule="auto"/>
              <w:ind w:left="0" w:leftChars="0" w:right="-160" w:rightChars="-50" w:firstLine="0" w:firstLineChars="0"/>
              <w:jc w:val="center"/>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只宜细涤盘龙佩，未许轻投饮马钱。</w:t>
            </w:r>
          </w:p>
          <w:p>
            <w:pPr>
              <w:pStyle w:val="31"/>
              <w:keepNext w:val="0"/>
              <w:keepLines w:val="0"/>
              <w:pageBreakBefore w:val="0"/>
              <w:widowControl w:val="0"/>
              <w:kinsoku/>
              <w:wordWrap/>
              <w:overflowPunct/>
              <w:topLinePunct w:val="0"/>
              <w:autoSpaceDE/>
              <w:autoSpaceDN/>
              <w:bidi w:val="0"/>
              <w:adjustRightInd/>
              <w:snapToGrid/>
              <w:spacing w:line="240" w:lineRule="auto"/>
              <w:ind w:left="0" w:leftChars="0" w:right="-160" w:rightChars="-50" w:firstLine="0" w:firstLineChars="0"/>
              <w:jc w:val="center"/>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壮志励清盟白水，化工夺巧笑蓝田。</w:t>
            </w:r>
          </w:p>
          <w:p>
            <w:pPr>
              <w:pStyle w:val="31"/>
              <w:keepNext w:val="0"/>
              <w:keepLines w:val="0"/>
              <w:pageBreakBefore w:val="0"/>
              <w:widowControl w:val="0"/>
              <w:kinsoku/>
              <w:wordWrap/>
              <w:overflowPunct/>
              <w:topLinePunct w:val="0"/>
              <w:autoSpaceDE/>
              <w:autoSpaceDN/>
              <w:bidi w:val="0"/>
              <w:adjustRightInd/>
              <w:snapToGrid/>
              <w:spacing w:line="240" w:lineRule="auto"/>
              <w:ind w:left="0" w:leftChars="0" w:right="-160" w:rightChars="-50" w:firstLine="0" w:firstLineChars="0"/>
              <w:jc w:val="center"/>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卢仝当日寻游到，何止狂垂七碗涎?</w:t>
            </w:r>
          </w:p>
          <w:p>
            <w:pPr>
              <w:pStyle w:val="31"/>
              <w:keepNext w:val="0"/>
              <w:keepLines w:val="0"/>
              <w:pageBreakBefore w:val="0"/>
              <w:widowControl w:val="0"/>
              <w:kinsoku/>
              <w:wordWrap/>
              <w:overflowPunct/>
              <w:topLinePunct w:val="0"/>
              <w:autoSpaceDE/>
              <w:autoSpaceDN/>
              <w:bidi w:val="0"/>
              <w:adjustRightInd/>
              <w:snapToGrid/>
              <w:spacing w:line="240" w:lineRule="auto"/>
              <w:ind w:left="0" w:leftChars="0" w:right="-160" w:rightChars="-50" w:firstLine="0" w:firstLineChars="0"/>
              <w:jc w:val="center"/>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六景：镜湖秋月</w:t>
            </w:r>
          </w:p>
          <w:p>
            <w:pPr>
              <w:pStyle w:val="31"/>
              <w:keepNext w:val="0"/>
              <w:keepLines w:val="0"/>
              <w:pageBreakBefore w:val="0"/>
              <w:widowControl w:val="0"/>
              <w:kinsoku/>
              <w:wordWrap/>
              <w:overflowPunct/>
              <w:topLinePunct w:val="0"/>
              <w:autoSpaceDE/>
              <w:autoSpaceDN/>
              <w:bidi w:val="0"/>
              <w:adjustRightInd/>
              <w:snapToGrid/>
              <w:spacing w:line="240" w:lineRule="auto"/>
              <w:ind w:left="0" w:leftChars="0" w:right="-160" w:rightChars="-50" w:firstLine="0" w:firstLineChars="0"/>
              <w:jc w:val="center"/>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一色湖光槛外铺，秋来好景未容辜。</w:t>
            </w:r>
          </w:p>
          <w:p>
            <w:pPr>
              <w:pStyle w:val="31"/>
              <w:keepNext w:val="0"/>
              <w:keepLines w:val="0"/>
              <w:pageBreakBefore w:val="0"/>
              <w:widowControl w:val="0"/>
              <w:kinsoku/>
              <w:wordWrap/>
              <w:overflowPunct/>
              <w:topLinePunct w:val="0"/>
              <w:autoSpaceDE/>
              <w:autoSpaceDN/>
              <w:bidi w:val="0"/>
              <w:adjustRightInd/>
              <w:snapToGrid/>
              <w:spacing w:line="240" w:lineRule="auto"/>
              <w:ind w:left="0" w:leftChars="0" w:right="-160" w:rightChars="-50" w:firstLine="0" w:firstLineChars="0"/>
              <w:jc w:val="center"/>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瘴姻洗净开冰鉴，天水平分彻玉壶。</w:t>
            </w:r>
          </w:p>
          <w:p>
            <w:pPr>
              <w:pStyle w:val="31"/>
              <w:keepNext w:val="0"/>
              <w:keepLines w:val="0"/>
              <w:pageBreakBefore w:val="0"/>
              <w:widowControl w:val="0"/>
              <w:kinsoku/>
              <w:wordWrap/>
              <w:overflowPunct/>
              <w:topLinePunct w:val="0"/>
              <w:autoSpaceDE/>
              <w:autoSpaceDN/>
              <w:bidi w:val="0"/>
              <w:adjustRightInd/>
              <w:snapToGrid/>
              <w:spacing w:line="240" w:lineRule="auto"/>
              <w:ind w:left="0" w:leftChars="0" w:right="-160" w:rightChars="-50" w:firstLine="0" w:firstLineChars="0"/>
              <w:jc w:val="center"/>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逸韵时闻吹笛管，闲情常觉付蒲菰。</w:t>
            </w:r>
          </w:p>
          <w:p>
            <w:pPr>
              <w:pStyle w:val="31"/>
              <w:keepNext w:val="0"/>
              <w:keepLines w:val="0"/>
              <w:pageBreakBefore w:val="0"/>
              <w:widowControl w:val="0"/>
              <w:kinsoku/>
              <w:wordWrap/>
              <w:overflowPunct/>
              <w:topLinePunct w:val="0"/>
              <w:autoSpaceDE/>
              <w:autoSpaceDN/>
              <w:bidi w:val="0"/>
              <w:adjustRightInd/>
              <w:snapToGrid/>
              <w:spacing w:line="240" w:lineRule="auto"/>
              <w:ind w:left="0" w:leftChars="0" w:right="-160" w:rightChars="-50" w:firstLine="0" w:firstLineChars="0"/>
              <w:jc w:val="center"/>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崖西自有乘风子，不把扁舟系浅芦。</w:t>
            </w:r>
          </w:p>
          <w:p>
            <w:pPr>
              <w:pStyle w:val="31"/>
              <w:keepNext w:val="0"/>
              <w:keepLines w:val="0"/>
              <w:pageBreakBefore w:val="0"/>
              <w:widowControl w:val="0"/>
              <w:kinsoku/>
              <w:wordWrap/>
              <w:overflowPunct/>
              <w:topLinePunct w:val="0"/>
              <w:autoSpaceDE/>
              <w:autoSpaceDN/>
              <w:bidi w:val="0"/>
              <w:adjustRightInd/>
              <w:snapToGrid/>
              <w:spacing w:line="240" w:lineRule="auto"/>
              <w:ind w:left="0" w:leftChars="0" w:right="-160" w:rightChars="-50" w:firstLine="0" w:firstLineChars="0"/>
              <w:jc w:val="center"/>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七景：灵山腾云</w:t>
            </w:r>
          </w:p>
          <w:p>
            <w:pPr>
              <w:pStyle w:val="31"/>
              <w:keepNext w:val="0"/>
              <w:keepLines w:val="0"/>
              <w:pageBreakBefore w:val="0"/>
              <w:widowControl w:val="0"/>
              <w:kinsoku/>
              <w:wordWrap/>
              <w:overflowPunct/>
              <w:topLinePunct w:val="0"/>
              <w:autoSpaceDE/>
              <w:autoSpaceDN/>
              <w:bidi w:val="0"/>
              <w:adjustRightInd/>
              <w:snapToGrid/>
              <w:spacing w:line="240" w:lineRule="auto"/>
              <w:ind w:left="0" w:leftChars="0" w:right="-160" w:rightChars="-50" w:firstLine="0" w:firstLineChars="0"/>
              <w:jc w:val="center"/>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指点云山改旧容，一层微露一层封。</w:t>
            </w:r>
          </w:p>
          <w:p>
            <w:pPr>
              <w:pStyle w:val="31"/>
              <w:keepNext w:val="0"/>
              <w:keepLines w:val="0"/>
              <w:pageBreakBefore w:val="0"/>
              <w:widowControl w:val="0"/>
              <w:kinsoku/>
              <w:wordWrap/>
              <w:overflowPunct/>
              <w:topLinePunct w:val="0"/>
              <w:autoSpaceDE/>
              <w:autoSpaceDN/>
              <w:bidi w:val="0"/>
              <w:adjustRightInd/>
              <w:snapToGrid/>
              <w:spacing w:line="240" w:lineRule="auto"/>
              <w:ind w:left="0" w:leftChars="0" w:right="-160" w:rightChars="-50" w:firstLine="0" w:firstLineChars="0"/>
              <w:jc w:val="center"/>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眼前玳瑁成形幻，顶上芙蓉着色浓。</w:t>
            </w:r>
          </w:p>
          <w:p>
            <w:pPr>
              <w:pStyle w:val="31"/>
              <w:keepNext w:val="0"/>
              <w:keepLines w:val="0"/>
              <w:pageBreakBefore w:val="0"/>
              <w:widowControl w:val="0"/>
              <w:kinsoku/>
              <w:wordWrap/>
              <w:overflowPunct/>
              <w:topLinePunct w:val="0"/>
              <w:autoSpaceDE/>
              <w:autoSpaceDN/>
              <w:bidi w:val="0"/>
              <w:adjustRightInd/>
              <w:snapToGrid/>
              <w:spacing w:line="240" w:lineRule="auto"/>
              <w:ind w:left="0" w:leftChars="0" w:right="-160" w:rightChars="-50" w:firstLine="0" w:firstLineChars="0"/>
              <w:jc w:val="center"/>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出岫无心原淡淡，冲霄有志竟重重。</w:t>
            </w:r>
          </w:p>
          <w:p>
            <w:pPr>
              <w:pStyle w:val="31"/>
              <w:keepNext w:val="0"/>
              <w:keepLines w:val="0"/>
              <w:pageBreakBefore w:val="0"/>
              <w:widowControl w:val="0"/>
              <w:kinsoku/>
              <w:wordWrap/>
              <w:overflowPunct/>
              <w:topLinePunct w:val="0"/>
              <w:autoSpaceDE/>
              <w:autoSpaceDN/>
              <w:bidi w:val="0"/>
              <w:adjustRightInd/>
              <w:snapToGrid/>
              <w:spacing w:line="240" w:lineRule="auto"/>
              <w:ind w:left="0" w:leftChars="0" w:right="-160" w:rightChars="-50" w:firstLine="0" w:firstLineChars="0"/>
              <w:jc w:val="center"/>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此中定起从龙客，应羡名区气独钟。</w:t>
            </w:r>
          </w:p>
          <w:p>
            <w:pPr>
              <w:pStyle w:val="31"/>
              <w:keepNext w:val="0"/>
              <w:keepLines w:val="0"/>
              <w:pageBreakBefore w:val="0"/>
              <w:widowControl w:val="0"/>
              <w:kinsoku/>
              <w:wordWrap/>
              <w:overflowPunct/>
              <w:topLinePunct w:val="0"/>
              <w:autoSpaceDE/>
              <w:autoSpaceDN/>
              <w:bidi w:val="0"/>
              <w:adjustRightInd/>
              <w:snapToGrid/>
              <w:spacing w:line="240" w:lineRule="auto"/>
              <w:ind w:left="0" w:leftChars="0" w:right="-160" w:rightChars="-50" w:firstLine="0" w:firstLineChars="0"/>
              <w:jc w:val="center"/>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八景：峻岭回风</w:t>
            </w:r>
          </w:p>
          <w:p>
            <w:pPr>
              <w:pStyle w:val="31"/>
              <w:keepNext w:val="0"/>
              <w:keepLines w:val="0"/>
              <w:pageBreakBefore w:val="0"/>
              <w:widowControl w:val="0"/>
              <w:kinsoku/>
              <w:wordWrap/>
              <w:overflowPunct/>
              <w:topLinePunct w:val="0"/>
              <w:autoSpaceDE/>
              <w:autoSpaceDN/>
              <w:bidi w:val="0"/>
              <w:adjustRightInd/>
              <w:snapToGrid/>
              <w:spacing w:line="240" w:lineRule="auto"/>
              <w:ind w:left="0" w:leftChars="0" w:right="-160" w:rightChars="-50" w:firstLine="0" w:firstLineChars="0"/>
              <w:jc w:val="center"/>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飞来峻岭矗崖东，独擅炎州造化工。</w:t>
            </w:r>
          </w:p>
          <w:p>
            <w:pPr>
              <w:pStyle w:val="31"/>
              <w:keepNext w:val="0"/>
              <w:keepLines w:val="0"/>
              <w:pageBreakBefore w:val="0"/>
              <w:widowControl w:val="0"/>
              <w:kinsoku/>
              <w:wordWrap/>
              <w:overflowPunct/>
              <w:topLinePunct w:val="0"/>
              <w:autoSpaceDE/>
              <w:autoSpaceDN/>
              <w:bidi w:val="0"/>
              <w:adjustRightInd/>
              <w:snapToGrid/>
              <w:spacing w:line="240" w:lineRule="auto"/>
              <w:ind w:left="0" w:leftChars="0" w:right="-160" w:rightChars="-50" w:firstLine="0" w:firstLineChars="0"/>
              <w:jc w:val="center"/>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危耸应连群宿近，盘旋难逞大王雄。</w:t>
            </w:r>
          </w:p>
          <w:p>
            <w:pPr>
              <w:pStyle w:val="31"/>
              <w:keepNext w:val="0"/>
              <w:keepLines w:val="0"/>
              <w:pageBreakBefore w:val="0"/>
              <w:widowControl w:val="0"/>
              <w:kinsoku/>
              <w:wordWrap/>
              <w:overflowPunct/>
              <w:topLinePunct w:val="0"/>
              <w:autoSpaceDE/>
              <w:autoSpaceDN/>
              <w:bidi w:val="0"/>
              <w:adjustRightInd/>
              <w:snapToGrid/>
              <w:spacing w:line="240" w:lineRule="auto"/>
              <w:ind w:left="0" w:leftChars="0" w:right="-160" w:rightChars="-50" w:firstLine="0" w:firstLineChars="0"/>
              <w:jc w:val="center"/>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松涛到耳声三折，石壁当头势半空。</w:t>
            </w:r>
          </w:p>
          <w:p>
            <w:pPr>
              <w:pStyle w:val="31"/>
              <w:keepNext w:val="0"/>
              <w:keepLines w:val="0"/>
              <w:pageBreakBefore w:val="0"/>
              <w:widowControl w:val="0"/>
              <w:kinsoku/>
              <w:wordWrap/>
              <w:overflowPunct/>
              <w:topLinePunct w:val="0"/>
              <w:autoSpaceDE/>
              <w:autoSpaceDN/>
              <w:bidi w:val="0"/>
              <w:adjustRightInd/>
              <w:snapToGrid/>
              <w:spacing w:line="240" w:lineRule="auto"/>
              <w:ind w:left="0" w:leftChars="0" w:right="-160" w:rightChars="-50" w:firstLine="0" w:firstLineChars="0"/>
              <w:jc w:val="center"/>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一览众山齐失色，巍峨欲上太虚中。</w:t>
            </w:r>
          </w:p>
        </w:tc>
      </w:tr>
    </w:tbl>
    <w:p>
      <w:pPr>
        <w:pStyle w:val="5"/>
        <w:numPr>
          <w:ilvl w:val="0"/>
          <w:numId w:val="39"/>
        </w:numPr>
        <w:bidi w:val="0"/>
        <w:rPr>
          <w:rFonts w:hint="default"/>
          <w:lang w:val="en-US" w:eastAsia="zh-CN"/>
        </w:rPr>
      </w:pPr>
      <w:bookmarkStart w:id="460" w:name="_Toc10519"/>
      <w:bookmarkStart w:id="461" w:name="_Toc9173"/>
      <w:r>
        <w:rPr>
          <w:rFonts w:hint="eastAsia"/>
          <w:lang w:val="en-US" w:eastAsia="zh-CN"/>
        </w:rPr>
        <w:t>推动南山和洞天业态升级，打造宗教文化旅游目的地</w:t>
      </w:r>
      <w:bookmarkEnd w:id="460"/>
      <w:bookmarkEnd w:id="461"/>
    </w:p>
    <w:p>
      <w:pPr>
        <w:rPr>
          <w:rFonts w:hint="default"/>
          <w:lang w:val="en-US" w:eastAsia="zh-CN"/>
        </w:rPr>
      </w:pPr>
      <w:r>
        <w:rPr>
          <w:rFonts w:hint="eastAsia"/>
          <w:b/>
          <w:bCs/>
          <w:lang w:val="en-US" w:eastAsia="zh-CN"/>
        </w:rPr>
        <w:t>一是推动南山文化旅游区实施“大文化”开发。</w:t>
      </w:r>
      <w:r>
        <w:rPr>
          <w:rFonts w:hint="eastAsia" w:ascii="仿宋_GB2312" w:eastAsia="仿宋_GB2312"/>
          <w:lang w:val="en-US" w:eastAsia="zh-CN"/>
        </w:rPr>
        <w:t>南山文化旅游区</w:t>
      </w:r>
      <w:r>
        <w:rPr>
          <w:rFonts w:hint="eastAsia"/>
          <w:lang w:val="en-US" w:eastAsia="zh-CN"/>
        </w:rPr>
        <w:t>着力实施南山</w:t>
      </w:r>
      <w:r>
        <w:rPr>
          <w:rFonts w:hint="eastAsia" w:ascii="仿宋_GB2312" w:eastAsia="仿宋_GB2312"/>
          <w:lang w:val="en-US" w:eastAsia="zh-CN"/>
        </w:rPr>
        <w:t>“大文化”战略</w:t>
      </w:r>
      <w:r>
        <w:rPr>
          <w:rFonts w:hint="eastAsia"/>
          <w:lang w:val="en-US" w:eastAsia="zh-CN"/>
        </w:rPr>
        <w:t>、延长旅游产业链，</w:t>
      </w:r>
      <w:r>
        <w:rPr>
          <w:rFonts w:hint="eastAsia" w:ascii="仿宋_GB2312" w:eastAsia="仿宋_GB2312"/>
          <w:lang w:val="en-US" w:eastAsia="zh-CN"/>
        </w:rPr>
        <w:t>聚焦“旅游+”转型，</w:t>
      </w:r>
      <w:r>
        <w:rPr>
          <w:rFonts w:hint="eastAsia"/>
          <w:lang w:val="en-US" w:eastAsia="zh-CN"/>
        </w:rPr>
        <w:t>提升</w:t>
      </w:r>
      <w:r>
        <w:rPr>
          <w:rFonts w:hint="eastAsia" w:ascii="仿宋_GB2312" w:eastAsia="仿宋_GB2312"/>
          <w:lang w:val="en-US" w:eastAsia="zh-CN"/>
        </w:rPr>
        <w:t>一寺</w:t>
      </w:r>
      <w:r>
        <w:rPr>
          <w:rFonts w:hint="eastAsia"/>
          <w:lang w:val="en-US" w:eastAsia="zh-CN"/>
        </w:rPr>
        <w:t>、</w:t>
      </w:r>
      <w:r>
        <w:rPr>
          <w:rFonts w:hint="eastAsia" w:ascii="仿宋_GB2312" w:eastAsia="仿宋_GB2312"/>
          <w:lang w:val="en-US" w:eastAsia="zh-CN"/>
        </w:rPr>
        <w:t>一佛、两园、一谷、一湾旅游景观群</w:t>
      </w:r>
      <w:r>
        <w:rPr>
          <w:rFonts w:hint="eastAsia"/>
          <w:lang w:val="en-US" w:eastAsia="zh-CN"/>
        </w:rPr>
        <w:t>，丰富文化</w:t>
      </w:r>
      <w:r>
        <w:rPr>
          <w:rFonts w:hint="eastAsia" w:ascii="仿宋_GB2312" w:eastAsia="仿宋_GB2312"/>
          <w:lang w:val="en-US" w:eastAsia="zh-CN"/>
        </w:rPr>
        <w:t>观光、</w:t>
      </w:r>
      <w:r>
        <w:rPr>
          <w:rFonts w:hint="eastAsia"/>
          <w:lang w:val="en-US" w:eastAsia="zh-CN"/>
        </w:rPr>
        <w:t>交流培训</w:t>
      </w:r>
      <w:r>
        <w:rPr>
          <w:rFonts w:hint="eastAsia" w:ascii="仿宋_GB2312" w:eastAsia="仿宋_GB2312"/>
          <w:lang w:val="en-US" w:eastAsia="zh-CN"/>
        </w:rPr>
        <w:t>、</w:t>
      </w:r>
      <w:r>
        <w:rPr>
          <w:rFonts w:hint="eastAsia"/>
          <w:lang w:val="en-US" w:eastAsia="zh-CN"/>
        </w:rPr>
        <w:t>佛事体验、</w:t>
      </w:r>
      <w:r>
        <w:rPr>
          <w:rFonts w:hint="eastAsia" w:ascii="仿宋_GB2312" w:eastAsia="仿宋_GB2312"/>
          <w:lang w:val="en-US" w:eastAsia="zh-CN"/>
        </w:rPr>
        <w:t>会议接待</w:t>
      </w:r>
      <w:r>
        <w:rPr>
          <w:rFonts w:hint="eastAsia"/>
          <w:lang w:val="en-US" w:eastAsia="zh-CN"/>
        </w:rPr>
        <w:t>、</w:t>
      </w:r>
      <w:r>
        <w:rPr>
          <w:rFonts w:hint="eastAsia" w:ascii="仿宋_GB2312" w:eastAsia="仿宋_GB2312"/>
          <w:lang w:val="en-US" w:eastAsia="zh-CN"/>
        </w:rPr>
        <w:t>休闲度假</w:t>
      </w:r>
      <w:r>
        <w:rPr>
          <w:rFonts w:hint="eastAsia"/>
          <w:lang w:val="en-US" w:eastAsia="zh-CN"/>
        </w:rPr>
        <w:t>等</w:t>
      </w:r>
      <w:r>
        <w:rPr>
          <w:rFonts w:hint="eastAsia" w:ascii="仿宋_GB2312" w:eastAsia="仿宋_GB2312"/>
          <w:lang w:val="en-US" w:eastAsia="zh-CN"/>
        </w:rPr>
        <w:t>服务功能</w:t>
      </w:r>
      <w:r>
        <w:rPr>
          <w:rFonts w:hint="eastAsia"/>
          <w:lang w:val="en-US" w:eastAsia="zh-CN"/>
        </w:rPr>
        <w:t>，办好长寿文化节、太极文化节等活动，</w:t>
      </w:r>
      <w:r>
        <w:rPr>
          <w:rFonts w:hint="eastAsia" w:ascii="仿宋_GB2312" w:eastAsia="仿宋_GB2312"/>
          <w:lang w:val="en-US" w:eastAsia="zh-CN"/>
        </w:rPr>
        <w:t>打造实力南山、活力南山、美丽南山、文化南山、和谐南山的旅游整体形象</w:t>
      </w:r>
      <w:r>
        <w:rPr>
          <w:rFonts w:hint="eastAsia"/>
          <w:lang w:val="en-US" w:eastAsia="zh-CN"/>
        </w:rPr>
        <w:t>。</w:t>
      </w:r>
    </w:p>
    <w:p>
      <w:pPr>
        <w:rPr>
          <w:rFonts w:hint="eastAsia"/>
          <w:lang w:val="en-US" w:eastAsia="zh-CN"/>
        </w:rPr>
      </w:pPr>
      <w:r>
        <w:rPr>
          <w:rFonts w:hint="eastAsia"/>
          <w:b/>
          <w:bCs/>
          <w:lang w:val="en-US" w:eastAsia="zh-CN"/>
        </w:rPr>
        <w:t>二是推动大小洞天风景区丰富产品服务。</w:t>
      </w:r>
      <w:r>
        <w:rPr>
          <w:rFonts w:hint="eastAsia"/>
          <w:lang w:val="en-US" w:eastAsia="zh-CN"/>
        </w:rPr>
        <w:t>积极延伸文化旅游产业链，挖掘婚庆文化、长寿文化、中华龙文化、诗词文化、古生物科普等文化旅游新品，做好旅游产品供给侧改革。实施好婚拍场景建设与更新、户外摄影服务等工作，持续打造婚拍旅拍网红“打卡地”，深耕幸福产业，做大“甜蜜蛋糕”。</w:t>
      </w:r>
    </w:p>
    <w:p>
      <w:pPr>
        <w:rPr>
          <w:rFonts w:hint="eastAsia" w:ascii="仿宋_GB2312" w:eastAsia="仿宋_GB2312"/>
          <w:b w:val="0"/>
          <w:bCs w:val="0"/>
          <w:lang w:val="en-US" w:eastAsia="zh-CN"/>
        </w:rPr>
      </w:pPr>
      <w:r>
        <w:rPr>
          <w:rFonts w:hint="eastAsia"/>
          <w:b/>
          <w:bCs/>
          <w:lang w:val="en-US" w:eastAsia="zh-CN"/>
        </w:rPr>
        <w:t>三是积极为崖州区内引流。</w:t>
      </w:r>
      <w:r>
        <w:rPr>
          <w:rFonts w:hint="eastAsia" w:ascii="仿宋_GB2312" w:eastAsia="仿宋_GB2312"/>
          <w:lang w:val="en-US" w:eastAsia="zh-CN"/>
        </w:rPr>
        <w:t>南山和大小洞天</w:t>
      </w:r>
      <w:r>
        <w:rPr>
          <w:rFonts w:hint="eastAsia" w:ascii="仿宋_GB2312" w:eastAsia="仿宋_GB2312"/>
          <w:b w:val="0"/>
          <w:bCs w:val="0"/>
          <w:lang w:val="en-US" w:eastAsia="zh-CN"/>
        </w:rPr>
        <w:t>与崖州</w:t>
      </w:r>
      <w:r>
        <w:rPr>
          <w:rFonts w:hint="eastAsia"/>
          <w:b w:val="0"/>
          <w:bCs w:val="0"/>
          <w:lang w:val="en-US" w:eastAsia="zh-CN"/>
        </w:rPr>
        <w:t>区内</w:t>
      </w:r>
      <w:r>
        <w:rPr>
          <w:rFonts w:hint="eastAsia" w:ascii="仿宋_GB2312" w:eastAsia="仿宋_GB2312"/>
          <w:b w:val="0"/>
          <w:bCs w:val="0"/>
          <w:lang w:val="en-US" w:eastAsia="zh-CN"/>
        </w:rPr>
        <w:t>旅游具有互补性，是崖州旅游十分可观的游客蓄水池，努力吸引游客向西再进一步，领略崖州南海文化魅力。强化推介宣传</w:t>
      </w:r>
      <w:r>
        <w:rPr>
          <w:rFonts w:hint="eastAsia"/>
          <w:b w:val="0"/>
          <w:bCs w:val="0"/>
          <w:lang w:val="en-US" w:eastAsia="zh-CN"/>
        </w:rPr>
        <w:t>，</w:t>
      </w:r>
      <w:r>
        <w:rPr>
          <w:rFonts w:hint="eastAsia" w:ascii="仿宋_GB2312" w:eastAsia="仿宋_GB2312"/>
          <w:b w:val="0"/>
          <w:bCs w:val="0"/>
          <w:lang w:val="en-US" w:eastAsia="zh-CN"/>
        </w:rPr>
        <w:t>利用南山和大小洞天的景区游客服务中心，突出推介宣传崖州，吸引游客进入崖州旅游。推出整体旅游路线</w:t>
      </w:r>
      <w:r>
        <w:rPr>
          <w:rFonts w:hint="eastAsia"/>
          <w:b w:val="0"/>
          <w:bCs w:val="0"/>
          <w:lang w:val="en-US" w:eastAsia="zh-CN"/>
        </w:rPr>
        <w:t>，</w:t>
      </w:r>
      <w:r>
        <w:rPr>
          <w:rFonts w:hint="eastAsia" w:ascii="仿宋_GB2312" w:eastAsia="仿宋_GB2312"/>
          <w:b w:val="0"/>
          <w:bCs w:val="0"/>
          <w:lang w:val="en-US" w:eastAsia="zh-CN"/>
        </w:rPr>
        <w:t>策划以南山、大小洞天为头部，以崖州历史文化、休闲农业补充的旅游线路，吸引旅行社团队游客进入崖州体验古城文化和南海民俗文化。</w:t>
      </w:r>
    </w:p>
    <w:p>
      <w:pPr>
        <w:pStyle w:val="5"/>
        <w:numPr>
          <w:ilvl w:val="0"/>
          <w:numId w:val="39"/>
        </w:numPr>
        <w:bidi w:val="0"/>
        <w:rPr>
          <w:rFonts w:hint="default"/>
          <w:lang w:val="en-US" w:eastAsia="zh-CN"/>
        </w:rPr>
      </w:pPr>
      <w:bookmarkStart w:id="462" w:name="_Toc10189"/>
      <w:bookmarkStart w:id="463" w:name="_Toc31988"/>
      <w:r>
        <w:rPr>
          <w:rFonts w:hint="eastAsia"/>
          <w:lang w:val="en-US" w:eastAsia="zh-CN"/>
        </w:rPr>
        <w:t>发挥南繁和深海特殊优势，打造</w:t>
      </w:r>
      <w:r>
        <w:rPr>
          <w:rFonts w:hint="default"/>
          <w:lang w:val="en-US" w:eastAsia="zh-CN"/>
        </w:rPr>
        <w:t>科普研学旅游目的地</w:t>
      </w:r>
      <w:bookmarkEnd w:id="462"/>
      <w:bookmarkEnd w:id="463"/>
    </w:p>
    <w:p>
      <w:pPr>
        <w:rPr>
          <w:rFonts w:hint="eastAsia"/>
          <w:lang w:val="en-US" w:eastAsia="zh-CN"/>
        </w:rPr>
      </w:pPr>
      <w:r>
        <w:rPr>
          <w:rFonts w:hint="eastAsia"/>
          <w:b/>
          <w:bCs/>
          <w:lang w:val="en-US" w:eastAsia="zh-CN"/>
        </w:rPr>
        <w:t>一是大力发展南繁科普、研学、体验、度假产业。</w:t>
      </w:r>
      <w:r>
        <w:rPr>
          <w:rFonts w:hint="default"/>
          <w:lang w:val="en-US" w:eastAsia="zh-CN"/>
        </w:rPr>
        <w:t>加快</w:t>
      </w:r>
      <w:r>
        <w:rPr>
          <w:rFonts w:hint="eastAsia"/>
          <w:lang w:val="en-US" w:eastAsia="zh-CN"/>
        </w:rPr>
        <w:t>中国</w:t>
      </w:r>
      <w:r>
        <w:rPr>
          <w:rFonts w:hint="default"/>
          <w:lang w:val="en-US" w:eastAsia="zh-CN"/>
        </w:rPr>
        <w:t>南繁博物馆</w:t>
      </w:r>
      <w:r>
        <w:rPr>
          <w:rFonts w:hint="eastAsia"/>
          <w:lang w:val="en-US" w:eastAsia="zh-CN"/>
        </w:rPr>
        <w:t>（国家一级博物馆）</w:t>
      </w:r>
      <w:r>
        <w:rPr>
          <w:rFonts w:hint="default"/>
          <w:lang w:val="en-US" w:eastAsia="zh-CN"/>
        </w:rPr>
        <w:t>、热带农业科学公园（热带农业青少年科普基地）</w:t>
      </w:r>
      <w:r>
        <w:rPr>
          <w:rFonts w:hint="eastAsia"/>
          <w:lang w:val="en-US" w:eastAsia="zh-CN"/>
        </w:rPr>
        <w:t>、</w:t>
      </w:r>
      <w:r>
        <w:rPr>
          <w:rFonts w:hint="default"/>
          <w:lang w:val="en-US" w:eastAsia="zh-CN"/>
        </w:rPr>
        <w:t>南繁植物</w:t>
      </w:r>
      <w:r>
        <w:rPr>
          <w:rFonts w:hint="eastAsia"/>
          <w:lang w:val="en-US" w:eastAsia="zh-CN"/>
        </w:rPr>
        <w:t>王国</w:t>
      </w:r>
      <w:r>
        <w:rPr>
          <w:rFonts w:hint="default"/>
          <w:lang w:val="en-US" w:eastAsia="zh-CN"/>
        </w:rPr>
        <w:t>主题公园（南滨田园综合体）项目</w:t>
      </w:r>
      <w:r>
        <w:rPr>
          <w:rFonts w:hint="eastAsia"/>
          <w:lang w:val="en-US" w:eastAsia="zh-CN"/>
        </w:rPr>
        <w:t>谋划</w:t>
      </w:r>
      <w:r>
        <w:rPr>
          <w:rFonts w:hint="default"/>
          <w:lang w:val="en-US" w:eastAsia="zh-CN"/>
        </w:rPr>
        <w:t>建设</w:t>
      </w:r>
      <w:r>
        <w:rPr>
          <w:rFonts w:hint="eastAsia"/>
          <w:lang w:val="en-US" w:eastAsia="zh-CN"/>
        </w:rPr>
        <w:t>，推出南繁科普研学、现代农业观光、育种工作体验、农事采摘体验、田园度假康养等特色旅游产品，打造科普研学型、亲子体验型、度假康养型旅游路线，抓住青少年科普旅游和亲子旅游广阔市场。打造</w:t>
      </w:r>
      <w:r>
        <w:rPr>
          <w:rFonts w:hint="default"/>
          <w:lang w:val="en-US" w:eastAsia="zh-CN"/>
        </w:rPr>
        <w:t>南繁小镇</w:t>
      </w:r>
      <w:r>
        <w:rPr>
          <w:rFonts w:hint="eastAsia"/>
          <w:lang w:val="en-US" w:eastAsia="zh-CN"/>
        </w:rPr>
        <w:t>，</w:t>
      </w:r>
      <w:r>
        <w:rPr>
          <w:rFonts w:hint="default"/>
          <w:lang w:val="en-US" w:eastAsia="zh-CN"/>
        </w:rPr>
        <w:t>发展生态艺术酒店、南繁主题网红民宿、琼南特色共享农庄、休闲养生度假公寓、南繁种植文化展示、经济作物种植采摘等产品，打造南繁田园综合体小镇，建设田园度假休闲康养基地。</w:t>
      </w:r>
    </w:p>
    <w:p>
      <w:pPr>
        <w:rPr>
          <w:rFonts w:hint="eastAsia"/>
          <w:lang w:val="en-US" w:eastAsia="zh-CN"/>
        </w:rPr>
      </w:pPr>
      <w:r>
        <w:rPr>
          <w:rFonts w:hint="eastAsia"/>
          <w:b/>
          <w:bCs/>
          <w:lang w:val="en-US" w:eastAsia="zh-CN"/>
        </w:rPr>
        <w:t>二是大力发展深海科普、研学产业。</w:t>
      </w:r>
      <w:r>
        <w:rPr>
          <w:rFonts w:hint="eastAsia"/>
          <w:lang w:val="en-US" w:eastAsia="zh-CN"/>
        </w:rPr>
        <w:t>加快中国深海博物馆（国家一级博物馆）、海洋科技展览馆等项目谋划建设，围绕深海科技、海洋产业、南海开发等崖州特色主题推出科普、研学旅游产品，打造“寓教于乐”的海洋主题游乐园，推动大白鲸海洋世界等已有科教项目发挥更大作用，把崖州建成世界一流的综合性海洋科普基地，成为全国知名的研学和亲子旅游目的地。</w:t>
      </w:r>
    </w:p>
    <w:p>
      <w:pPr>
        <w:pStyle w:val="5"/>
        <w:numPr>
          <w:ilvl w:val="0"/>
          <w:numId w:val="39"/>
        </w:numPr>
        <w:bidi w:val="0"/>
        <w:rPr>
          <w:rFonts w:hint="eastAsia"/>
          <w:lang w:val="en-US" w:eastAsia="zh-CN"/>
        </w:rPr>
      </w:pPr>
      <w:bookmarkStart w:id="464" w:name="_Toc15594"/>
      <w:bookmarkStart w:id="465" w:name="_Toc7281"/>
      <w:r>
        <w:rPr>
          <w:rFonts w:hint="eastAsia"/>
          <w:lang w:val="en-US" w:eastAsia="zh-CN"/>
        </w:rPr>
        <w:t>做好休闲农业和休闲渔业，打造农旅度假康养目的地</w:t>
      </w:r>
      <w:bookmarkEnd w:id="464"/>
      <w:bookmarkEnd w:id="465"/>
    </w:p>
    <w:p>
      <w:pPr>
        <w:rPr>
          <w:rFonts w:hint="default" w:ascii="仿宋_GB2312" w:eastAsia="仿宋_GB2312"/>
          <w:lang w:val="en-US" w:eastAsia="zh-CN"/>
        </w:rPr>
      </w:pPr>
      <w:r>
        <w:rPr>
          <w:rFonts w:hint="default"/>
          <w:b/>
          <w:bCs/>
          <w:lang w:val="en-US" w:eastAsia="zh-CN"/>
        </w:rPr>
        <w:t>一是</w:t>
      </w:r>
      <w:r>
        <w:rPr>
          <w:rFonts w:hint="eastAsia" w:ascii="仿宋_GB2312" w:eastAsia="仿宋_GB2312"/>
          <w:b/>
          <w:bCs/>
          <w:lang w:val="en-US" w:eastAsia="zh-CN"/>
        </w:rPr>
        <w:t>突出农旅融合</w:t>
      </w:r>
      <w:r>
        <w:rPr>
          <w:rFonts w:hint="eastAsia"/>
          <w:b/>
          <w:bCs/>
          <w:lang w:val="en-US" w:eastAsia="zh-CN"/>
        </w:rPr>
        <w:t>、</w:t>
      </w:r>
      <w:r>
        <w:rPr>
          <w:rFonts w:hint="eastAsia" w:ascii="仿宋_GB2312" w:eastAsia="仿宋_GB2312"/>
          <w:b/>
          <w:bCs/>
          <w:lang w:val="en-US" w:eastAsia="zh-CN"/>
        </w:rPr>
        <w:t>联村串景打造精品农旅路线</w:t>
      </w:r>
      <w:r>
        <w:rPr>
          <w:rFonts w:hint="eastAsia"/>
          <w:b/>
          <w:bCs/>
          <w:lang w:val="en-US" w:eastAsia="zh-CN"/>
        </w:rPr>
        <w:t>。</w:t>
      </w:r>
      <w:r>
        <w:rPr>
          <w:rFonts w:hint="default" w:ascii="仿宋_GB2312" w:eastAsia="仿宋_GB2312"/>
          <w:lang w:val="en-US" w:eastAsia="zh-CN"/>
        </w:rPr>
        <w:t>摆脱</w:t>
      </w:r>
      <w:r>
        <w:rPr>
          <w:rFonts w:hint="eastAsia" w:ascii="仿宋_GB2312" w:eastAsia="仿宋_GB2312"/>
          <w:lang w:val="en-US" w:eastAsia="zh-CN"/>
        </w:rPr>
        <w:t>农旅</w:t>
      </w:r>
      <w:r>
        <w:rPr>
          <w:rFonts w:hint="default" w:ascii="仿宋_GB2312" w:eastAsia="仿宋_GB2312"/>
          <w:lang w:val="en-US" w:eastAsia="zh-CN"/>
        </w:rPr>
        <w:t>单一化旅游模式，推出特色休闲农业旅游线路</w:t>
      </w:r>
      <w:r>
        <w:rPr>
          <w:rFonts w:hint="eastAsia" w:ascii="仿宋_GB2312" w:eastAsia="仿宋_GB2312"/>
          <w:lang w:val="en-US" w:eastAsia="zh-CN"/>
        </w:rPr>
        <w:t>，北部</w:t>
      </w:r>
      <w:r>
        <w:rPr>
          <w:rFonts w:hint="default" w:ascii="仿宋_GB2312" w:eastAsia="仿宋_GB2312"/>
          <w:lang w:val="en-US" w:eastAsia="zh-CN"/>
        </w:rPr>
        <w:t>发展抱古、赤草、北岭“赏莲花+品羊肉+住赤草”休闲康养路线</w:t>
      </w:r>
      <w:r>
        <w:rPr>
          <w:rFonts w:hint="eastAsia" w:ascii="仿宋_GB2312" w:eastAsia="仿宋_GB2312"/>
          <w:lang w:val="en-US" w:eastAsia="zh-CN"/>
        </w:rPr>
        <w:t>，南部发展</w:t>
      </w:r>
      <w:r>
        <w:rPr>
          <w:rFonts w:hint="default" w:ascii="仿宋_GB2312" w:eastAsia="仿宋_GB2312"/>
          <w:lang w:val="en-US" w:eastAsia="zh-CN"/>
        </w:rPr>
        <w:t>雀信、乾隆、东京、中和、龙港、文明等“滨海风光+海鲜+海钓+海边民宿”渔家风情路线</w:t>
      </w:r>
      <w:r>
        <w:rPr>
          <w:rFonts w:hint="eastAsia" w:ascii="仿宋_GB2312" w:eastAsia="仿宋_GB2312"/>
          <w:lang w:val="en-US" w:eastAsia="zh-CN"/>
        </w:rPr>
        <w:t>，西部发展</w:t>
      </w:r>
      <w:r>
        <w:rPr>
          <w:rFonts w:hint="default" w:ascii="仿宋_GB2312" w:eastAsia="仿宋_GB2312"/>
          <w:lang w:val="en-US" w:eastAsia="zh-CN"/>
        </w:rPr>
        <w:t>梅联、梅东、梅西、长山等“梅山八人桥坡+高山窟址”红色旅游路线。</w:t>
      </w:r>
      <w:r>
        <w:rPr>
          <w:rFonts w:hint="default"/>
          <w:lang w:val="en-US" w:eastAsia="zh-CN"/>
        </w:rPr>
        <w:t>突出主题式农业旅游，推进农业项目景观化、主体化建设，发展热带水果、设施农业、共享农庄、特色民宿、田洋风光、乡村游学等特色鲜</w:t>
      </w:r>
      <w:r>
        <w:rPr>
          <w:rFonts w:hint="eastAsia"/>
          <w:lang w:val="en-US" w:eastAsia="zh-CN"/>
        </w:rPr>
        <w:t>明</w:t>
      </w:r>
      <w:r>
        <w:rPr>
          <w:rFonts w:hint="default"/>
          <w:lang w:val="en-US" w:eastAsia="zh-CN"/>
        </w:rPr>
        <w:t>的农旅休闲体验观光游。</w:t>
      </w:r>
    </w:p>
    <w:tbl>
      <w:tblPr>
        <w:tblStyle w:val="19"/>
        <w:tblW w:w="5000" w:type="pct"/>
        <w:tblInd w:w="0" w:type="dxa"/>
        <w:tblBorders>
          <w:top w:val="thinThickSmallGap" w:color="auto" w:sz="2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thinThickSmallGap" w:color="auto" w:sz="2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22" w:type="dxa"/>
            <w:tcBorders>
              <w:top w:val="thinThickSmallGap" w:color="A4A4A4" w:sz="12" w:space="0"/>
              <w:bottom w:val="thickThinSmallGap" w:color="A4A4A4" w:sz="12" w:space="0"/>
            </w:tcBorders>
          </w:tcPr>
          <w:p>
            <w:pPr>
              <w:pStyle w:val="31"/>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b/>
                <w:bCs/>
                <w:sz w:val="24"/>
                <w:szCs w:val="24"/>
                <w:highlight w:val="none"/>
                <w:lang w:val="en-US" w:eastAsia="zh-CN"/>
              </w:rPr>
            </w:pPr>
            <w:r>
              <w:rPr>
                <w:rFonts w:hint="eastAsia"/>
                <w:b/>
                <w:bCs/>
                <w:sz w:val="24"/>
                <w:szCs w:val="24"/>
                <w:highlight w:val="none"/>
                <w:lang w:val="en-US" w:eastAsia="zh-CN"/>
              </w:rPr>
              <w:t>专栏24  打造农旅联动全域旅游精品路线</w:t>
            </w:r>
          </w:p>
          <w:p>
            <w:pPr>
              <w:pStyle w:val="3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b w:val="0"/>
                <w:bCs w:val="0"/>
                <w:sz w:val="24"/>
                <w:szCs w:val="24"/>
                <w:lang w:val="en-US" w:eastAsia="zh-CN"/>
              </w:rPr>
            </w:pPr>
            <w:r>
              <w:rPr>
                <w:rFonts w:hint="eastAsia"/>
                <w:b w:val="0"/>
                <w:bCs w:val="0"/>
                <w:sz w:val="24"/>
                <w:szCs w:val="24"/>
                <w:lang w:val="en-US" w:eastAsia="zh-CN"/>
              </w:rPr>
              <w:t>（1）</w:t>
            </w:r>
            <w:r>
              <w:rPr>
                <w:rFonts w:hint="default"/>
                <w:b w:val="0"/>
                <w:bCs w:val="0"/>
                <w:sz w:val="24"/>
                <w:szCs w:val="24"/>
                <w:lang w:val="en-US" w:eastAsia="zh-CN"/>
              </w:rPr>
              <w:t>抱古</w:t>
            </w:r>
            <w:r>
              <w:rPr>
                <w:rFonts w:hint="eastAsia"/>
                <w:b w:val="0"/>
                <w:bCs w:val="0"/>
                <w:sz w:val="24"/>
                <w:szCs w:val="24"/>
                <w:lang w:val="en-US" w:eastAsia="zh-CN"/>
              </w:rPr>
              <w:t>-</w:t>
            </w:r>
            <w:r>
              <w:rPr>
                <w:rFonts w:hint="default"/>
                <w:b w:val="0"/>
                <w:bCs w:val="0"/>
                <w:sz w:val="24"/>
                <w:szCs w:val="24"/>
                <w:lang w:val="en-US" w:eastAsia="zh-CN"/>
              </w:rPr>
              <w:t>赤草</w:t>
            </w:r>
            <w:r>
              <w:rPr>
                <w:rFonts w:hint="eastAsia"/>
                <w:b w:val="0"/>
                <w:bCs w:val="0"/>
                <w:sz w:val="24"/>
                <w:szCs w:val="24"/>
                <w:lang w:val="en-US" w:eastAsia="zh-CN"/>
              </w:rPr>
              <w:t>-</w:t>
            </w:r>
            <w:r>
              <w:rPr>
                <w:rFonts w:hint="default"/>
                <w:b w:val="0"/>
                <w:bCs w:val="0"/>
                <w:sz w:val="24"/>
                <w:szCs w:val="24"/>
                <w:lang w:val="en-US" w:eastAsia="zh-CN"/>
              </w:rPr>
              <w:t>北岭“赏莲花+品羊肉+住赤草”</w:t>
            </w:r>
            <w:r>
              <w:rPr>
                <w:rFonts w:hint="eastAsia"/>
                <w:b w:val="0"/>
                <w:bCs w:val="0"/>
                <w:sz w:val="24"/>
                <w:szCs w:val="24"/>
                <w:lang w:val="en-US" w:eastAsia="zh-CN"/>
              </w:rPr>
              <w:t>：</w:t>
            </w:r>
            <w:r>
              <w:rPr>
                <w:rFonts w:hint="default"/>
                <w:b w:val="0"/>
                <w:bCs w:val="0"/>
                <w:sz w:val="24"/>
                <w:szCs w:val="24"/>
                <w:lang w:val="en-US" w:eastAsia="zh-CN"/>
              </w:rPr>
              <w:t>休闲康养精品线路</w:t>
            </w:r>
          </w:p>
          <w:p>
            <w:pPr>
              <w:pStyle w:val="3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b w:val="0"/>
                <w:bCs w:val="0"/>
                <w:sz w:val="24"/>
                <w:szCs w:val="24"/>
                <w:lang w:val="en-US" w:eastAsia="zh-CN"/>
              </w:rPr>
            </w:pPr>
            <w:r>
              <w:rPr>
                <w:rFonts w:hint="default"/>
                <w:b w:val="0"/>
                <w:bCs w:val="0"/>
                <w:sz w:val="24"/>
                <w:szCs w:val="24"/>
                <w:lang w:val="en-US" w:eastAsia="zh-CN"/>
              </w:rPr>
              <w:t>抱古、赤草、北岭位于崖州区北部，自然资源丰富，以联动互助为思路，将抱古村莲花、北岭村黑山羊、赤草村民宿联动发展，设计一条休闲康养路线。</w:t>
            </w:r>
          </w:p>
          <w:p>
            <w:pPr>
              <w:pStyle w:val="3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b w:val="0"/>
                <w:bCs w:val="0"/>
                <w:sz w:val="24"/>
                <w:szCs w:val="24"/>
                <w:lang w:val="en-US" w:eastAsia="zh-CN"/>
              </w:rPr>
            </w:pPr>
            <w:r>
              <w:rPr>
                <w:rFonts w:hint="default"/>
                <w:b w:val="0"/>
                <w:bCs w:val="0"/>
                <w:sz w:val="24"/>
                <w:szCs w:val="24"/>
                <w:lang w:val="en-US" w:eastAsia="zh-CN"/>
              </w:rPr>
              <w:t>抱古村睡莲具有一定种植规模，呈现景观化，开展睡莲观赏、采摘活动，举办“抱古莲花节”</w:t>
            </w:r>
            <w:r>
              <w:rPr>
                <w:rFonts w:hint="eastAsia"/>
                <w:b w:val="0"/>
                <w:bCs w:val="0"/>
                <w:sz w:val="24"/>
                <w:szCs w:val="24"/>
                <w:lang w:val="en-US" w:eastAsia="zh-CN"/>
              </w:rPr>
              <w:t>，</w:t>
            </w:r>
            <w:r>
              <w:rPr>
                <w:rFonts w:hint="default"/>
                <w:b w:val="0"/>
                <w:bCs w:val="0"/>
                <w:sz w:val="24"/>
                <w:szCs w:val="24"/>
                <w:lang w:val="en-US" w:eastAsia="zh-CN"/>
              </w:rPr>
              <w:t>结合南海观音文化开设睡莲讲堂，出售睡莲永生花、摆件等</w:t>
            </w:r>
            <w:r>
              <w:rPr>
                <w:rFonts w:hint="eastAsia"/>
                <w:b w:val="0"/>
                <w:bCs w:val="0"/>
                <w:sz w:val="24"/>
                <w:szCs w:val="24"/>
                <w:lang w:val="en-US" w:eastAsia="zh-CN"/>
              </w:rPr>
              <w:t>宗教周边</w:t>
            </w:r>
            <w:r>
              <w:rPr>
                <w:rFonts w:hint="default"/>
                <w:b w:val="0"/>
                <w:bCs w:val="0"/>
                <w:sz w:val="24"/>
                <w:szCs w:val="24"/>
                <w:lang w:val="en-US" w:eastAsia="zh-CN"/>
              </w:rPr>
              <w:t>产品。北岭村黑山羊养殖带动村民增收，</w:t>
            </w:r>
            <w:r>
              <w:rPr>
                <w:rFonts w:hint="eastAsia"/>
                <w:b w:val="0"/>
                <w:bCs w:val="0"/>
                <w:sz w:val="24"/>
                <w:szCs w:val="24"/>
                <w:lang w:val="en-US" w:eastAsia="zh-CN"/>
              </w:rPr>
              <w:t>扩大</w:t>
            </w:r>
            <w:r>
              <w:rPr>
                <w:rFonts w:hint="default"/>
                <w:b w:val="0"/>
                <w:bCs w:val="0"/>
                <w:sz w:val="24"/>
                <w:szCs w:val="24"/>
                <w:lang w:val="en-US" w:eastAsia="zh-CN"/>
              </w:rPr>
              <w:t>北岭黑山羊养殖</w:t>
            </w:r>
            <w:r>
              <w:rPr>
                <w:rFonts w:hint="eastAsia"/>
                <w:b w:val="0"/>
                <w:bCs w:val="0"/>
                <w:sz w:val="24"/>
                <w:szCs w:val="24"/>
                <w:lang w:val="en-US" w:eastAsia="zh-CN"/>
              </w:rPr>
              <w:t>规模</w:t>
            </w:r>
            <w:r>
              <w:rPr>
                <w:rFonts w:hint="default"/>
                <w:b w:val="0"/>
                <w:bCs w:val="0"/>
                <w:sz w:val="24"/>
                <w:szCs w:val="24"/>
                <w:lang w:val="en-US" w:eastAsia="zh-CN"/>
              </w:rPr>
              <w:t>，以绿色生态有机为卖点，打造</w:t>
            </w:r>
            <w:r>
              <w:rPr>
                <w:rFonts w:hint="eastAsia"/>
                <w:b w:val="0"/>
                <w:bCs w:val="0"/>
                <w:sz w:val="24"/>
                <w:szCs w:val="24"/>
                <w:lang w:val="en-US" w:eastAsia="zh-CN"/>
              </w:rPr>
              <w:t>亲自然生态</w:t>
            </w:r>
            <w:r>
              <w:rPr>
                <w:rFonts w:hint="default"/>
                <w:b w:val="0"/>
                <w:bCs w:val="0"/>
                <w:sz w:val="24"/>
                <w:szCs w:val="24"/>
                <w:lang w:val="en-US" w:eastAsia="zh-CN"/>
              </w:rPr>
              <w:t>餐厅，</w:t>
            </w:r>
            <w:r>
              <w:rPr>
                <w:rFonts w:hint="eastAsia"/>
                <w:b w:val="0"/>
                <w:bCs w:val="0"/>
                <w:sz w:val="24"/>
                <w:szCs w:val="24"/>
                <w:lang w:val="en-US" w:eastAsia="zh-CN"/>
              </w:rPr>
              <w:t>主打</w:t>
            </w:r>
            <w:r>
              <w:rPr>
                <w:rFonts w:hint="default"/>
                <w:b w:val="0"/>
                <w:bCs w:val="0"/>
                <w:sz w:val="24"/>
                <w:szCs w:val="24"/>
                <w:lang w:val="en-US" w:eastAsia="zh-CN"/>
              </w:rPr>
              <w:t>黑山羊新鲜食材，</w:t>
            </w:r>
            <w:r>
              <w:rPr>
                <w:rFonts w:hint="eastAsia"/>
                <w:b w:val="0"/>
                <w:bCs w:val="0"/>
                <w:sz w:val="24"/>
                <w:szCs w:val="24"/>
                <w:lang w:val="en-US" w:eastAsia="zh-CN"/>
              </w:rPr>
              <w:t>做好</w:t>
            </w:r>
            <w:r>
              <w:rPr>
                <w:rFonts w:hint="default"/>
                <w:b w:val="0"/>
                <w:bCs w:val="0"/>
                <w:sz w:val="24"/>
                <w:szCs w:val="24"/>
                <w:lang w:val="en-US" w:eastAsia="zh-CN"/>
              </w:rPr>
              <w:t>“传统菜肴+创意料理”的模式。打造赤草黎族风情康养度假小镇，</w:t>
            </w:r>
            <w:r>
              <w:rPr>
                <w:rFonts w:hint="eastAsia"/>
                <w:b w:val="0"/>
                <w:bCs w:val="0"/>
                <w:sz w:val="24"/>
                <w:szCs w:val="24"/>
                <w:lang w:val="en-US" w:eastAsia="zh-CN"/>
              </w:rPr>
              <w:t>发挥</w:t>
            </w:r>
            <w:r>
              <w:rPr>
                <w:rFonts w:hint="default"/>
                <w:b w:val="0"/>
                <w:bCs w:val="0"/>
                <w:sz w:val="24"/>
                <w:szCs w:val="24"/>
                <w:lang w:val="en-US" w:eastAsia="zh-CN"/>
              </w:rPr>
              <w:t>热带水果优势，做</w:t>
            </w:r>
            <w:r>
              <w:rPr>
                <w:rFonts w:hint="eastAsia"/>
                <w:b w:val="0"/>
                <w:bCs w:val="0"/>
                <w:sz w:val="24"/>
                <w:szCs w:val="24"/>
                <w:lang w:val="en-US" w:eastAsia="zh-CN"/>
              </w:rPr>
              <w:t>好</w:t>
            </w:r>
            <w:r>
              <w:rPr>
                <w:rFonts w:hint="default"/>
                <w:b w:val="0"/>
                <w:bCs w:val="0"/>
                <w:sz w:val="24"/>
                <w:szCs w:val="24"/>
                <w:lang w:val="en-US" w:eastAsia="zh-CN"/>
              </w:rPr>
              <w:t>农业体验，因地制宜建设“天然氧吧”康养小镇</w:t>
            </w:r>
            <w:r>
              <w:rPr>
                <w:rFonts w:hint="eastAsia"/>
                <w:b w:val="0"/>
                <w:bCs w:val="0"/>
                <w:sz w:val="24"/>
                <w:szCs w:val="24"/>
                <w:lang w:val="en-US" w:eastAsia="zh-CN"/>
              </w:rPr>
              <w:t>，</w:t>
            </w:r>
            <w:r>
              <w:rPr>
                <w:rFonts w:hint="default"/>
                <w:b w:val="0"/>
                <w:bCs w:val="0"/>
                <w:sz w:val="24"/>
                <w:szCs w:val="24"/>
                <w:lang w:val="en-US" w:eastAsia="zh-CN"/>
              </w:rPr>
              <w:t>打造生态度假旅游型村庄。</w:t>
            </w:r>
          </w:p>
          <w:p>
            <w:pPr>
              <w:pStyle w:val="3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b w:val="0"/>
                <w:bCs w:val="0"/>
                <w:sz w:val="24"/>
                <w:szCs w:val="24"/>
                <w:lang w:val="en-US" w:eastAsia="zh-CN"/>
              </w:rPr>
            </w:pPr>
            <w:r>
              <w:rPr>
                <w:rFonts w:hint="eastAsia"/>
                <w:b w:val="0"/>
                <w:bCs w:val="0"/>
                <w:sz w:val="24"/>
                <w:szCs w:val="24"/>
                <w:lang w:val="en-US" w:eastAsia="zh-CN"/>
              </w:rPr>
              <w:t>（2）</w:t>
            </w:r>
            <w:r>
              <w:rPr>
                <w:rFonts w:hint="default"/>
                <w:b w:val="0"/>
                <w:bCs w:val="0"/>
                <w:sz w:val="24"/>
                <w:szCs w:val="24"/>
                <w:lang w:val="en-US" w:eastAsia="zh-CN"/>
              </w:rPr>
              <w:t>雀信</w:t>
            </w:r>
            <w:r>
              <w:rPr>
                <w:rFonts w:hint="eastAsia"/>
                <w:b w:val="0"/>
                <w:bCs w:val="0"/>
                <w:sz w:val="24"/>
                <w:szCs w:val="24"/>
                <w:lang w:val="en-US" w:eastAsia="zh-CN"/>
              </w:rPr>
              <w:t>-</w:t>
            </w:r>
            <w:r>
              <w:rPr>
                <w:rFonts w:hint="default"/>
                <w:b w:val="0"/>
                <w:bCs w:val="0"/>
                <w:sz w:val="24"/>
                <w:szCs w:val="24"/>
                <w:lang w:val="en-US" w:eastAsia="zh-CN"/>
              </w:rPr>
              <w:t>乾隆</w:t>
            </w:r>
            <w:r>
              <w:rPr>
                <w:rFonts w:hint="eastAsia"/>
                <w:b w:val="0"/>
                <w:bCs w:val="0"/>
                <w:sz w:val="24"/>
                <w:szCs w:val="24"/>
                <w:lang w:val="en-US" w:eastAsia="zh-CN"/>
              </w:rPr>
              <w:t>-</w:t>
            </w:r>
            <w:r>
              <w:rPr>
                <w:rFonts w:hint="default"/>
                <w:b w:val="0"/>
                <w:bCs w:val="0"/>
                <w:sz w:val="24"/>
                <w:szCs w:val="24"/>
                <w:lang w:val="en-US" w:eastAsia="zh-CN"/>
              </w:rPr>
              <w:t>东京</w:t>
            </w:r>
            <w:r>
              <w:rPr>
                <w:rFonts w:hint="eastAsia"/>
                <w:b w:val="0"/>
                <w:bCs w:val="0"/>
                <w:sz w:val="24"/>
                <w:szCs w:val="24"/>
                <w:lang w:val="en-US" w:eastAsia="zh-CN"/>
              </w:rPr>
              <w:t>-</w:t>
            </w:r>
            <w:r>
              <w:rPr>
                <w:rFonts w:hint="default"/>
                <w:b w:val="0"/>
                <w:bCs w:val="0"/>
                <w:sz w:val="24"/>
                <w:szCs w:val="24"/>
                <w:lang w:val="en-US" w:eastAsia="zh-CN"/>
              </w:rPr>
              <w:t>中和</w:t>
            </w:r>
            <w:r>
              <w:rPr>
                <w:rFonts w:hint="eastAsia"/>
                <w:b w:val="0"/>
                <w:bCs w:val="0"/>
                <w:sz w:val="24"/>
                <w:szCs w:val="24"/>
                <w:lang w:val="en-US" w:eastAsia="zh-CN"/>
              </w:rPr>
              <w:t>-</w:t>
            </w:r>
            <w:r>
              <w:rPr>
                <w:rFonts w:hint="default"/>
                <w:b w:val="0"/>
                <w:bCs w:val="0"/>
                <w:sz w:val="24"/>
                <w:szCs w:val="24"/>
                <w:lang w:val="en-US" w:eastAsia="zh-CN"/>
              </w:rPr>
              <w:t>龙港</w:t>
            </w:r>
            <w:r>
              <w:rPr>
                <w:rFonts w:hint="eastAsia"/>
                <w:b w:val="0"/>
                <w:bCs w:val="0"/>
                <w:sz w:val="24"/>
                <w:szCs w:val="24"/>
                <w:lang w:val="en-US" w:eastAsia="zh-CN"/>
              </w:rPr>
              <w:t>-</w:t>
            </w:r>
            <w:r>
              <w:rPr>
                <w:rFonts w:hint="default"/>
                <w:b w:val="0"/>
                <w:bCs w:val="0"/>
                <w:sz w:val="24"/>
                <w:szCs w:val="24"/>
                <w:lang w:val="en-US" w:eastAsia="zh-CN"/>
              </w:rPr>
              <w:t>文明</w:t>
            </w:r>
            <w:r>
              <w:rPr>
                <w:rFonts w:hint="eastAsia"/>
                <w:b w:val="0"/>
                <w:bCs w:val="0"/>
                <w:sz w:val="24"/>
                <w:szCs w:val="24"/>
                <w:lang w:val="en-US" w:eastAsia="zh-CN"/>
              </w:rPr>
              <w:t>：休闲渔业精品线路</w:t>
            </w:r>
          </w:p>
          <w:p>
            <w:pPr>
              <w:pStyle w:val="3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b w:val="0"/>
                <w:bCs w:val="0"/>
                <w:sz w:val="24"/>
                <w:szCs w:val="24"/>
                <w:lang w:val="en-US" w:eastAsia="zh-CN"/>
              </w:rPr>
            </w:pPr>
            <w:r>
              <w:rPr>
                <w:rFonts w:hint="default"/>
                <w:b w:val="0"/>
                <w:bCs w:val="0"/>
                <w:sz w:val="24"/>
                <w:szCs w:val="24"/>
                <w:lang w:val="en-US" w:eastAsia="zh-CN"/>
              </w:rPr>
              <w:t>崖州中心渔港作为我国最南端规模最大的渔港，是集生产、补给、加工、交易、储藏、避风、休闲旅游于一体的多功能中心渔港，雀信、乾隆、东京、中和、龙港、文明6个社区（村）</w:t>
            </w:r>
            <w:r>
              <w:rPr>
                <w:rFonts w:hint="eastAsia"/>
                <w:b w:val="0"/>
                <w:bCs w:val="0"/>
                <w:sz w:val="24"/>
                <w:szCs w:val="24"/>
                <w:lang w:val="en-US" w:eastAsia="zh-CN"/>
              </w:rPr>
              <w:t>围绕中心渔港</w:t>
            </w:r>
            <w:r>
              <w:rPr>
                <w:rFonts w:hint="default"/>
                <w:b w:val="0"/>
                <w:bCs w:val="0"/>
                <w:sz w:val="24"/>
                <w:szCs w:val="24"/>
                <w:lang w:val="en-US" w:eastAsia="zh-CN"/>
              </w:rPr>
              <w:t>联动</w:t>
            </w:r>
            <w:r>
              <w:rPr>
                <w:rFonts w:hint="eastAsia"/>
                <w:b w:val="0"/>
                <w:bCs w:val="0"/>
                <w:sz w:val="24"/>
                <w:szCs w:val="24"/>
                <w:lang w:val="en-US" w:eastAsia="zh-CN"/>
              </w:rPr>
              <w:t>组合</w:t>
            </w:r>
            <w:r>
              <w:rPr>
                <w:rFonts w:hint="default"/>
                <w:b w:val="0"/>
                <w:bCs w:val="0"/>
                <w:sz w:val="24"/>
                <w:szCs w:val="24"/>
                <w:lang w:val="en-US" w:eastAsia="zh-CN"/>
              </w:rPr>
              <w:t>，打造海洋与渔业文化、旅游观光、休闲养生“三位一体”的休闲渔业特色小镇</w:t>
            </w:r>
            <w:r>
              <w:rPr>
                <w:rFonts w:hint="eastAsia"/>
                <w:b w:val="0"/>
                <w:bCs w:val="0"/>
                <w:sz w:val="24"/>
                <w:szCs w:val="24"/>
                <w:lang w:val="en-US" w:eastAsia="zh-CN"/>
              </w:rPr>
              <w:t>，</w:t>
            </w:r>
            <w:r>
              <w:rPr>
                <w:rFonts w:hint="default"/>
                <w:b w:val="0"/>
                <w:bCs w:val="0"/>
                <w:sz w:val="24"/>
                <w:szCs w:val="24"/>
                <w:lang w:val="en-US" w:eastAsia="zh-CN"/>
              </w:rPr>
              <w:t>整合渔业、休闲、旅游、美食等元素发展运动休闲垂钓、赛事节庆活动、渔事体验观光、渔人码头餐饮、疍家特色民宿</w:t>
            </w:r>
            <w:r>
              <w:rPr>
                <w:rFonts w:hint="eastAsia"/>
                <w:b w:val="0"/>
                <w:bCs w:val="0"/>
                <w:sz w:val="24"/>
                <w:szCs w:val="24"/>
                <w:lang w:val="en-US" w:eastAsia="zh-CN"/>
              </w:rPr>
              <w:t>、海鲜干货百货、海鲜市场</w:t>
            </w:r>
            <w:r>
              <w:rPr>
                <w:rFonts w:hint="default"/>
                <w:b w:val="0"/>
                <w:bCs w:val="0"/>
                <w:sz w:val="24"/>
                <w:szCs w:val="24"/>
                <w:lang w:val="en-US" w:eastAsia="zh-CN"/>
              </w:rPr>
              <w:t>等业态。</w:t>
            </w:r>
          </w:p>
          <w:p>
            <w:pPr>
              <w:pStyle w:val="3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b w:val="0"/>
                <w:bCs w:val="0"/>
                <w:sz w:val="24"/>
                <w:szCs w:val="24"/>
                <w:lang w:val="en-US" w:eastAsia="zh-CN"/>
              </w:rPr>
            </w:pPr>
            <w:r>
              <w:rPr>
                <w:rFonts w:hint="eastAsia"/>
                <w:b w:val="0"/>
                <w:bCs w:val="0"/>
                <w:sz w:val="24"/>
                <w:szCs w:val="24"/>
                <w:lang w:val="en-US" w:eastAsia="zh-CN"/>
              </w:rPr>
              <w:t>（3）</w:t>
            </w:r>
            <w:r>
              <w:rPr>
                <w:rFonts w:hint="default"/>
                <w:b w:val="0"/>
                <w:bCs w:val="0"/>
                <w:sz w:val="24"/>
                <w:szCs w:val="24"/>
                <w:lang w:val="en-US" w:eastAsia="zh-CN"/>
              </w:rPr>
              <w:t>镇海村</w:t>
            </w:r>
            <w:r>
              <w:rPr>
                <w:rFonts w:hint="eastAsia"/>
                <w:b w:val="0"/>
                <w:bCs w:val="0"/>
                <w:sz w:val="24"/>
                <w:szCs w:val="24"/>
                <w:lang w:val="en-US" w:eastAsia="zh-CN"/>
              </w:rPr>
              <w:t>：</w:t>
            </w:r>
            <w:r>
              <w:rPr>
                <w:rFonts w:hint="default"/>
                <w:b w:val="0"/>
                <w:bCs w:val="0"/>
                <w:sz w:val="24"/>
                <w:szCs w:val="24"/>
                <w:lang w:val="en-US" w:eastAsia="zh-CN"/>
              </w:rPr>
              <w:t>南海渔家文化体验村</w:t>
            </w:r>
          </w:p>
          <w:p>
            <w:pPr>
              <w:pStyle w:val="3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b w:val="0"/>
                <w:bCs w:val="0"/>
                <w:sz w:val="24"/>
                <w:szCs w:val="24"/>
                <w:lang w:val="en-US" w:eastAsia="zh-CN"/>
              </w:rPr>
            </w:pPr>
            <w:r>
              <w:rPr>
                <w:rFonts w:hint="default"/>
                <w:b w:val="0"/>
                <w:bCs w:val="0"/>
                <w:sz w:val="24"/>
                <w:szCs w:val="24"/>
                <w:lang w:val="en-US" w:eastAsia="zh-CN"/>
              </w:rPr>
              <w:t>镇海村南临</w:t>
            </w:r>
            <w:r>
              <w:rPr>
                <w:rFonts w:hint="eastAsia"/>
                <w:b w:val="0"/>
                <w:bCs w:val="0"/>
                <w:sz w:val="24"/>
                <w:szCs w:val="24"/>
                <w:lang w:val="en-US" w:eastAsia="zh-CN"/>
              </w:rPr>
              <w:t>滨</w:t>
            </w:r>
            <w:r>
              <w:rPr>
                <w:rFonts w:hint="default"/>
                <w:b w:val="0"/>
                <w:bCs w:val="0"/>
                <w:sz w:val="24"/>
                <w:szCs w:val="24"/>
                <w:lang w:val="en-US" w:eastAsia="zh-CN"/>
              </w:rPr>
              <w:t>海</w:t>
            </w:r>
            <w:r>
              <w:rPr>
                <w:rFonts w:hint="eastAsia"/>
                <w:b w:val="0"/>
                <w:bCs w:val="0"/>
                <w:sz w:val="24"/>
                <w:szCs w:val="24"/>
                <w:lang w:val="en-US" w:eastAsia="zh-CN"/>
              </w:rPr>
              <w:t>、</w:t>
            </w:r>
            <w:r>
              <w:rPr>
                <w:rFonts w:hint="default"/>
                <w:b w:val="0"/>
                <w:bCs w:val="0"/>
                <w:sz w:val="24"/>
                <w:szCs w:val="24"/>
                <w:lang w:val="en-US" w:eastAsia="zh-CN"/>
              </w:rPr>
              <w:t>北</w:t>
            </w:r>
            <w:r>
              <w:rPr>
                <w:rFonts w:hint="eastAsia"/>
                <w:b w:val="0"/>
                <w:bCs w:val="0"/>
                <w:sz w:val="24"/>
                <w:szCs w:val="24"/>
                <w:lang w:val="en-US" w:eastAsia="zh-CN"/>
              </w:rPr>
              <w:t>部</w:t>
            </w:r>
            <w:r>
              <w:rPr>
                <w:rFonts w:hint="default"/>
                <w:b w:val="0"/>
                <w:bCs w:val="0"/>
                <w:sz w:val="24"/>
                <w:szCs w:val="24"/>
                <w:lang w:val="en-US" w:eastAsia="zh-CN"/>
              </w:rPr>
              <w:t>国道贯穿而过，不同于崖州区其他村，</w:t>
            </w:r>
            <w:r>
              <w:rPr>
                <w:rFonts w:hint="eastAsia"/>
                <w:b w:val="0"/>
                <w:bCs w:val="0"/>
                <w:sz w:val="24"/>
                <w:szCs w:val="24"/>
                <w:lang w:val="en-US" w:eastAsia="zh-CN"/>
              </w:rPr>
              <w:t>在</w:t>
            </w:r>
            <w:r>
              <w:rPr>
                <w:rFonts w:hint="default"/>
                <w:b w:val="0"/>
                <w:bCs w:val="0"/>
                <w:sz w:val="24"/>
                <w:szCs w:val="24"/>
                <w:lang w:val="en-US" w:eastAsia="zh-CN"/>
              </w:rPr>
              <w:t>500</w:t>
            </w:r>
            <w:r>
              <w:rPr>
                <w:rFonts w:hint="eastAsia"/>
                <w:b w:val="0"/>
                <w:bCs w:val="0"/>
                <w:sz w:val="24"/>
                <w:szCs w:val="24"/>
                <w:lang w:val="en-US" w:eastAsia="zh-CN"/>
              </w:rPr>
              <w:t>米</w:t>
            </w:r>
            <w:r>
              <w:rPr>
                <w:rFonts w:hint="default"/>
                <w:b w:val="0"/>
                <w:bCs w:val="0"/>
                <w:sz w:val="24"/>
                <w:szCs w:val="24"/>
                <w:lang w:val="en-US" w:eastAsia="zh-CN"/>
              </w:rPr>
              <w:t>海岸线内已有部分民居，结合资源</w:t>
            </w:r>
            <w:r>
              <w:rPr>
                <w:rFonts w:hint="eastAsia"/>
                <w:b w:val="0"/>
                <w:bCs w:val="0"/>
                <w:sz w:val="24"/>
                <w:szCs w:val="24"/>
                <w:lang w:val="en-US" w:eastAsia="zh-CN"/>
              </w:rPr>
              <w:t>和</w:t>
            </w:r>
            <w:r>
              <w:rPr>
                <w:rFonts w:hint="default"/>
                <w:b w:val="0"/>
                <w:bCs w:val="0"/>
                <w:sz w:val="24"/>
                <w:szCs w:val="24"/>
                <w:lang w:val="en-US" w:eastAsia="zh-CN"/>
              </w:rPr>
              <w:t>地理优势，打造</w:t>
            </w:r>
            <w:r>
              <w:rPr>
                <w:rFonts w:hint="eastAsia"/>
                <w:b w:val="0"/>
                <w:bCs w:val="0"/>
                <w:sz w:val="24"/>
                <w:szCs w:val="24"/>
                <w:lang w:val="en-US" w:eastAsia="zh-CN"/>
              </w:rPr>
              <w:t>南海</w:t>
            </w:r>
            <w:r>
              <w:rPr>
                <w:rFonts w:hint="default"/>
                <w:b w:val="0"/>
                <w:bCs w:val="0"/>
                <w:sz w:val="24"/>
                <w:szCs w:val="24"/>
                <w:lang w:val="en-US" w:eastAsia="zh-CN"/>
              </w:rPr>
              <w:t>渔家文化体验村。改造临海民居，以渔村深度体宣传特色，以</w:t>
            </w:r>
            <w:r>
              <w:rPr>
                <w:rFonts w:hint="eastAsia"/>
                <w:b w:val="0"/>
                <w:bCs w:val="0"/>
                <w:sz w:val="24"/>
                <w:szCs w:val="24"/>
                <w:lang w:val="en-US" w:eastAsia="zh-CN"/>
              </w:rPr>
              <w:t>滨海休闲、</w:t>
            </w:r>
            <w:r>
              <w:rPr>
                <w:rFonts w:hint="default"/>
                <w:b w:val="0"/>
                <w:bCs w:val="0"/>
                <w:sz w:val="24"/>
                <w:szCs w:val="24"/>
                <w:lang w:val="en-US" w:eastAsia="zh-CN"/>
              </w:rPr>
              <w:t>美食餐饮、娱乐运动、</w:t>
            </w:r>
            <w:r>
              <w:rPr>
                <w:rFonts w:hint="eastAsia"/>
                <w:b w:val="0"/>
                <w:bCs w:val="0"/>
                <w:sz w:val="24"/>
                <w:szCs w:val="24"/>
                <w:lang w:val="en-US" w:eastAsia="zh-CN"/>
              </w:rPr>
              <w:t>渔猎</w:t>
            </w:r>
            <w:r>
              <w:rPr>
                <w:rFonts w:hint="default"/>
                <w:b w:val="0"/>
                <w:bCs w:val="0"/>
                <w:sz w:val="24"/>
                <w:szCs w:val="24"/>
                <w:lang w:val="en-US" w:eastAsia="zh-CN"/>
              </w:rPr>
              <w:t>体验、文化漫游为主线，在村庄内形成多种形式的主题活动</w:t>
            </w:r>
            <w:r>
              <w:rPr>
                <w:rFonts w:hint="eastAsia"/>
                <w:b w:val="0"/>
                <w:bCs w:val="0"/>
                <w:sz w:val="24"/>
                <w:szCs w:val="24"/>
                <w:lang w:val="en-US" w:eastAsia="zh-CN"/>
              </w:rPr>
              <w:t>和</w:t>
            </w:r>
            <w:r>
              <w:rPr>
                <w:rFonts w:hint="default"/>
                <w:b w:val="0"/>
                <w:bCs w:val="0"/>
                <w:sz w:val="24"/>
                <w:szCs w:val="24"/>
                <w:lang w:val="en-US" w:eastAsia="zh-CN"/>
              </w:rPr>
              <w:t>渔村深度体验活动。</w:t>
            </w:r>
            <w:r>
              <w:rPr>
                <w:rFonts w:hint="eastAsia"/>
                <w:b w:val="0"/>
                <w:bCs w:val="0"/>
                <w:sz w:val="24"/>
                <w:szCs w:val="24"/>
                <w:lang w:val="en-US" w:eastAsia="zh-CN"/>
              </w:rPr>
              <w:t>发扬光大</w:t>
            </w:r>
            <w:r>
              <w:rPr>
                <w:rFonts w:hint="default"/>
                <w:b w:val="0"/>
                <w:bCs w:val="0"/>
                <w:sz w:val="24"/>
                <w:szCs w:val="24"/>
                <w:lang w:val="en-US" w:eastAsia="zh-CN"/>
              </w:rPr>
              <w:t>“云天谣/镇海渔歌”</w:t>
            </w:r>
            <w:r>
              <w:rPr>
                <w:rFonts w:hint="eastAsia"/>
                <w:b w:val="0"/>
                <w:bCs w:val="0"/>
                <w:sz w:val="24"/>
                <w:szCs w:val="24"/>
                <w:lang w:val="en-US" w:eastAsia="zh-CN"/>
              </w:rPr>
              <w:t>文化</w:t>
            </w:r>
            <w:r>
              <w:rPr>
                <w:rFonts w:hint="default"/>
                <w:b w:val="0"/>
                <w:bCs w:val="0"/>
                <w:sz w:val="24"/>
                <w:szCs w:val="24"/>
                <w:lang w:val="en-US" w:eastAsia="zh-CN"/>
              </w:rPr>
              <w:t>主题，打造</w:t>
            </w:r>
            <w:r>
              <w:rPr>
                <w:rFonts w:hint="eastAsia"/>
                <w:b w:val="0"/>
                <w:bCs w:val="0"/>
                <w:sz w:val="24"/>
                <w:szCs w:val="24"/>
                <w:lang w:val="en-US" w:eastAsia="zh-CN"/>
              </w:rPr>
              <w:t>南海</w:t>
            </w:r>
            <w:r>
              <w:rPr>
                <w:rFonts w:hint="default"/>
                <w:b w:val="0"/>
                <w:bCs w:val="0"/>
                <w:sz w:val="24"/>
                <w:szCs w:val="24"/>
                <w:lang w:val="en-US" w:eastAsia="zh-CN"/>
              </w:rPr>
              <w:t>民谣第一街</w:t>
            </w:r>
            <w:r>
              <w:rPr>
                <w:rFonts w:hint="eastAsia"/>
                <w:b w:val="0"/>
                <w:bCs w:val="0"/>
                <w:sz w:val="24"/>
                <w:szCs w:val="24"/>
                <w:lang w:val="en-US" w:eastAsia="zh-CN"/>
              </w:rPr>
              <w:t>和</w:t>
            </w:r>
            <w:r>
              <w:rPr>
                <w:rFonts w:hint="default"/>
                <w:b w:val="0"/>
                <w:bCs w:val="0"/>
                <w:sz w:val="24"/>
                <w:szCs w:val="24"/>
                <w:lang w:val="en-US" w:eastAsia="zh-CN"/>
              </w:rPr>
              <w:t>具有崖州特色的南海渔家文化体验村。</w:t>
            </w:r>
          </w:p>
          <w:p>
            <w:pPr>
              <w:pStyle w:val="3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b w:val="0"/>
                <w:bCs w:val="0"/>
                <w:sz w:val="24"/>
                <w:szCs w:val="24"/>
                <w:lang w:val="en-US" w:eastAsia="zh-CN"/>
              </w:rPr>
            </w:pPr>
            <w:r>
              <w:rPr>
                <w:rFonts w:hint="default"/>
                <w:b w:val="0"/>
                <w:bCs w:val="0"/>
                <w:sz w:val="24"/>
                <w:szCs w:val="24"/>
                <w:lang w:val="en-US" w:eastAsia="zh-CN"/>
              </w:rPr>
              <w:t>（</w:t>
            </w:r>
            <w:r>
              <w:rPr>
                <w:rFonts w:hint="eastAsia"/>
                <w:b w:val="0"/>
                <w:bCs w:val="0"/>
                <w:sz w:val="24"/>
                <w:szCs w:val="24"/>
                <w:lang w:val="en-US" w:eastAsia="zh-CN"/>
              </w:rPr>
              <w:t>4</w:t>
            </w:r>
            <w:r>
              <w:rPr>
                <w:rFonts w:hint="default"/>
                <w:b w:val="0"/>
                <w:bCs w:val="0"/>
                <w:sz w:val="24"/>
                <w:szCs w:val="24"/>
                <w:lang w:val="en-US" w:eastAsia="zh-CN"/>
              </w:rPr>
              <w:t>）梅联社区、梅东、梅西：红色研学文化旅游路线</w:t>
            </w:r>
          </w:p>
          <w:p>
            <w:pPr>
              <w:pStyle w:val="3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b w:val="0"/>
                <w:bCs w:val="0"/>
                <w:sz w:val="24"/>
                <w:szCs w:val="24"/>
                <w:lang w:val="en-US" w:eastAsia="zh-CN"/>
              </w:rPr>
            </w:pPr>
            <w:r>
              <w:rPr>
                <w:rFonts w:hint="default"/>
                <w:b w:val="0"/>
                <w:bCs w:val="0"/>
                <w:sz w:val="24"/>
                <w:szCs w:val="24"/>
                <w:lang w:val="en-US" w:eastAsia="zh-CN"/>
              </w:rPr>
              <w:t>梅联社区、梅东村、梅西村是革命老村</w:t>
            </w:r>
            <w:r>
              <w:rPr>
                <w:rFonts w:hint="eastAsia"/>
                <w:b w:val="0"/>
                <w:bCs w:val="0"/>
                <w:sz w:val="24"/>
                <w:szCs w:val="24"/>
                <w:lang w:val="en-US" w:eastAsia="zh-CN"/>
              </w:rPr>
              <w:t>、</w:t>
            </w:r>
            <w:r>
              <w:rPr>
                <w:rFonts w:hint="default"/>
                <w:b w:val="0"/>
                <w:bCs w:val="0"/>
                <w:sz w:val="24"/>
                <w:szCs w:val="24"/>
                <w:lang w:val="en-US" w:eastAsia="zh-CN"/>
              </w:rPr>
              <w:t>红色抗日教育纪念基地，拥有梅山老区烈士陵园、革命史馆、红色丰碑广场</w:t>
            </w:r>
            <w:r>
              <w:rPr>
                <w:rFonts w:hint="eastAsia"/>
                <w:b w:val="0"/>
                <w:bCs w:val="0"/>
                <w:sz w:val="24"/>
                <w:szCs w:val="24"/>
                <w:lang w:val="en-US" w:eastAsia="zh-CN"/>
              </w:rPr>
              <w:t>、</w:t>
            </w:r>
            <w:r>
              <w:rPr>
                <w:rFonts w:hint="default"/>
                <w:b w:val="0"/>
                <w:bCs w:val="0"/>
                <w:sz w:val="24"/>
                <w:szCs w:val="24"/>
                <w:lang w:val="en-US" w:eastAsia="zh-CN"/>
              </w:rPr>
              <w:t>红色展馆中心等红色资源，以村落资源要素为基础策划古寨游览、文化展示、休闲度假、生态观光、参与体验等游览项目，整合梅山八人桥坡、高山窟址等文物古迹，形成景点</w:t>
            </w:r>
            <w:r>
              <w:rPr>
                <w:rFonts w:hint="eastAsia"/>
                <w:b w:val="0"/>
                <w:bCs w:val="0"/>
                <w:sz w:val="24"/>
                <w:szCs w:val="24"/>
                <w:lang w:val="en-US" w:eastAsia="zh-CN"/>
              </w:rPr>
              <w:t>集聚</w:t>
            </w:r>
            <w:r>
              <w:rPr>
                <w:rFonts w:hint="default"/>
                <w:b w:val="0"/>
                <w:bCs w:val="0"/>
                <w:sz w:val="24"/>
                <w:szCs w:val="24"/>
                <w:lang w:val="en-US" w:eastAsia="zh-CN"/>
              </w:rPr>
              <w:t>、文脉独特、彰显个性的红色旅游精品线路。</w:t>
            </w:r>
          </w:p>
          <w:p>
            <w:pPr>
              <w:pStyle w:val="3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b w:val="0"/>
                <w:bCs w:val="0"/>
                <w:sz w:val="24"/>
                <w:szCs w:val="24"/>
                <w:lang w:val="en-US" w:eastAsia="zh-CN"/>
              </w:rPr>
            </w:pPr>
            <w:r>
              <w:rPr>
                <w:rFonts w:hint="eastAsia"/>
                <w:b w:val="0"/>
                <w:bCs w:val="0"/>
                <w:sz w:val="24"/>
                <w:szCs w:val="24"/>
                <w:lang w:val="en-US" w:eastAsia="zh-CN"/>
              </w:rPr>
              <w:t>（5）</w:t>
            </w:r>
            <w:r>
              <w:rPr>
                <w:rFonts w:hint="default"/>
                <w:b w:val="0"/>
                <w:bCs w:val="0"/>
                <w:sz w:val="24"/>
                <w:szCs w:val="24"/>
                <w:lang w:val="en-US" w:eastAsia="zh-CN"/>
              </w:rPr>
              <w:t>保平</w:t>
            </w:r>
            <w:r>
              <w:rPr>
                <w:rFonts w:hint="eastAsia"/>
                <w:b w:val="0"/>
                <w:bCs w:val="0"/>
                <w:sz w:val="24"/>
                <w:szCs w:val="24"/>
                <w:lang w:val="en-US" w:eastAsia="zh-CN"/>
              </w:rPr>
              <w:t>：</w:t>
            </w:r>
            <w:r>
              <w:rPr>
                <w:rFonts w:hint="default"/>
                <w:b w:val="0"/>
                <w:bCs w:val="0"/>
                <w:sz w:val="24"/>
                <w:szCs w:val="24"/>
                <w:lang w:val="en-US" w:eastAsia="zh-CN"/>
              </w:rPr>
              <w:t>古</w:t>
            </w:r>
            <w:r>
              <w:rPr>
                <w:rFonts w:hint="eastAsia"/>
                <w:b w:val="0"/>
                <w:bCs w:val="0"/>
                <w:sz w:val="24"/>
                <w:szCs w:val="24"/>
                <w:lang w:val="en-US" w:eastAsia="zh-CN"/>
              </w:rPr>
              <w:t>村落古</w:t>
            </w:r>
            <w:r>
              <w:rPr>
                <w:rFonts w:hint="default"/>
                <w:b w:val="0"/>
                <w:bCs w:val="0"/>
                <w:sz w:val="24"/>
                <w:szCs w:val="24"/>
                <w:lang w:val="en-US" w:eastAsia="zh-CN"/>
              </w:rPr>
              <w:t>建筑</w:t>
            </w:r>
            <w:r>
              <w:rPr>
                <w:rFonts w:hint="eastAsia"/>
                <w:b w:val="0"/>
                <w:bCs w:val="0"/>
                <w:sz w:val="24"/>
                <w:szCs w:val="24"/>
                <w:lang w:val="en-US" w:eastAsia="zh-CN"/>
              </w:rPr>
              <w:t>旅游路线</w:t>
            </w:r>
          </w:p>
          <w:p>
            <w:pPr>
              <w:pStyle w:val="3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b w:val="0"/>
                <w:bCs w:val="0"/>
                <w:sz w:val="24"/>
                <w:szCs w:val="24"/>
                <w:lang w:val="en-US" w:eastAsia="zh-CN"/>
              </w:rPr>
            </w:pPr>
            <w:r>
              <w:rPr>
                <w:rFonts w:hint="default"/>
                <w:b w:val="0"/>
                <w:bCs w:val="0"/>
                <w:sz w:val="24"/>
                <w:szCs w:val="24"/>
                <w:lang w:val="en-US" w:eastAsia="zh-CN"/>
              </w:rPr>
              <w:t>保平村已有</w:t>
            </w:r>
            <w:r>
              <w:rPr>
                <w:rFonts w:hint="eastAsia"/>
                <w:b w:val="0"/>
                <w:bCs w:val="0"/>
                <w:sz w:val="24"/>
                <w:szCs w:val="24"/>
                <w:lang w:val="en-US" w:eastAsia="zh-CN"/>
              </w:rPr>
              <w:t>1100</w:t>
            </w:r>
            <w:r>
              <w:rPr>
                <w:rFonts w:hint="default"/>
                <w:b w:val="0"/>
                <w:bCs w:val="0"/>
                <w:sz w:val="24"/>
                <w:szCs w:val="24"/>
                <w:lang w:val="en-US" w:eastAsia="zh-CN"/>
              </w:rPr>
              <w:t>多年历史，传统民居最早建于明代，大部分建于清代，少量建于民国时期；仿古风貌建筑多为20世纪80年代前兴建，带有明显清代建筑特色和崖州地方特色。以村落资源要素为基础，适当改造和修葺保平村古建筑群落，古建筑类民宿与新建山水田园风格民宿相结合，策划古建筑游览、文化展示、休闲度假、生态观光、参与体验等项目，形成仿古、寻根、考察、休闲、体验等多元互补、特色鲜明的</w:t>
            </w:r>
            <w:r>
              <w:rPr>
                <w:rFonts w:hint="eastAsia"/>
                <w:b w:val="0"/>
                <w:bCs w:val="0"/>
                <w:sz w:val="24"/>
                <w:szCs w:val="24"/>
                <w:lang w:val="en-US" w:eastAsia="zh-CN"/>
              </w:rPr>
              <w:t>乡村文旅</w:t>
            </w:r>
            <w:r>
              <w:rPr>
                <w:rFonts w:hint="default"/>
                <w:b w:val="0"/>
                <w:bCs w:val="0"/>
                <w:sz w:val="24"/>
                <w:szCs w:val="24"/>
                <w:lang w:val="en-US" w:eastAsia="zh-CN"/>
              </w:rPr>
              <w:t>产品体系。</w:t>
            </w:r>
          </w:p>
        </w:tc>
      </w:tr>
    </w:tbl>
    <w:p>
      <w:pPr>
        <w:rPr>
          <w:rFonts w:hint="eastAsia" w:ascii="仿宋_GB2312" w:eastAsia="仿宋_GB2312"/>
          <w:lang w:val="en-US" w:eastAsia="zh-CN"/>
        </w:rPr>
      </w:pPr>
      <w:r>
        <w:rPr>
          <w:rFonts w:hint="eastAsia"/>
          <w:b/>
          <w:bCs/>
          <w:lang w:val="en-US" w:eastAsia="zh-CN"/>
        </w:rPr>
        <w:t>二</w:t>
      </w:r>
      <w:r>
        <w:rPr>
          <w:rFonts w:hint="eastAsia" w:ascii="仿宋_GB2312" w:eastAsia="仿宋_GB2312"/>
          <w:b/>
          <w:bCs/>
          <w:lang w:val="en-US" w:eastAsia="zh-CN"/>
        </w:rPr>
        <w:t>是建设休闲渔业示范基地和特色小镇。</w:t>
      </w:r>
      <w:r>
        <w:rPr>
          <w:rFonts w:hint="eastAsia" w:ascii="仿宋_GB2312" w:eastAsia="仿宋_GB2312"/>
          <w:lang w:val="en-US" w:eastAsia="zh-CN"/>
        </w:rPr>
        <w:t>三亚崖州休闲渔业示范区是全省五个休闲渔业综合示范工程之一，是推进崖州渔业产业结构调整的重要动力，也是实现渔业现代化的重要组成。</w:t>
      </w:r>
      <w:r>
        <w:rPr>
          <w:rFonts w:hint="eastAsia" w:ascii="仿宋_GB2312" w:eastAsia="仿宋_GB2312"/>
          <w:b w:val="0"/>
          <w:bCs w:val="0"/>
          <w:lang w:val="en-US" w:eastAsia="zh-CN"/>
        </w:rPr>
        <w:t>依托崖州中心渔港，整合渔业、休闲、旅游、美食、购物、教育、科普等元素，打造</w:t>
      </w:r>
      <w:r>
        <w:rPr>
          <w:rFonts w:hint="default"/>
          <w:b w:val="0"/>
          <w:bCs w:val="0"/>
          <w:lang w:val="en-US" w:eastAsia="zh-CN"/>
        </w:rPr>
        <w:t>海洋与渔业文化、旅游观光、休闲养生“三位一体”休闲渔业特色小镇</w:t>
      </w:r>
      <w:r>
        <w:rPr>
          <w:rFonts w:hint="eastAsia" w:ascii="仿宋_GB2312" w:eastAsia="仿宋_GB2312"/>
          <w:b w:val="0"/>
          <w:bCs w:val="0"/>
          <w:lang w:val="en-US" w:eastAsia="zh-CN"/>
        </w:rPr>
        <w:t>，发展</w:t>
      </w:r>
      <w:r>
        <w:rPr>
          <w:rFonts w:hint="eastAsia" w:ascii="仿宋_GB2312" w:eastAsia="仿宋_GB2312"/>
          <w:lang w:val="en-US" w:eastAsia="zh-CN"/>
        </w:rPr>
        <w:t>运动休闲垂钓、赛事节庆活动、渔事体验观光、渔人码头餐饮、疍家特色民宿、亲子科普研学等业态，建设配套完善的服务设备设施，根据业态需要保障相应规模用地和水面。</w:t>
      </w:r>
    </w:p>
    <w:p>
      <w:pPr>
        <w:rPr>
          <w:rFonts w:hint="eastAsia" w:ascii="仿宋_GB2312" w:eastAsia="仿宋_GB2312"/>
          <w:lang w:val="en-US" w:eastAsia="zh-CN"/>
        </w:rPr>
      </w:pPr>
      <w:r>
        <w:rPr>
          <w:rFonts w:hint="eastAsia"/>
          <w:b/>
          <w:bCs/>
          <w:lang w:val="en-US" w:eastAsia="zh-CN"/>
        </w:rPr>
        <w:t>三</w:t>
      </w:r>
      <w:r>
        <w:rPr>
          <w:rFonts w:hint="eastAsia" w:ascii="仿宋_GB2312" w:eastAsia="仿宋_GB2312"/>
          <w:b/>
          <w:bCs/>
          <w:lang w:val="en-US" w:eastAsia="zh-CN"/>
        </w:rPr>
        <w:t>是打造中心渔港海钓基地。</w:t>
      </w:r>
      <w:r>
        <w:rPr>
          <w:rFonts w:hint="eastAsia" w:ascii="仿宋_GB2312" w:eastAsia="仿宋_GB2312"/>
          <w:lang w:val="en-US" w:eastAsia="zh-CN"/>
        </w:rPr>
        <w:t>休闲垂钓（海钓）被称作“海上高尔夫”，是一项受众广泛、参与性强、驻留时间长的运动休闲体验型旅游产品。以中心渔港为基地，大力发展近海休闲垂钓体验、中远深海专业海钓，建设休闲渔业船舶公共码头、运管中心、接待中心、功能区域、休闲垂钓平台（浮台）及相关配套服务设施，发展新型休闲游钓船艇，满足国际级海钓赛事要求。积极对接行业协会、国际钓鱼协会、中国休闲垂钓协会资源，开展赛事展览、运动培训、休闲垂钓、渔业节庆活动，推进“海南国际海钓大赛”“中国海钓大赛”“环海南岛海钓大赛”“南海海钓大赛”“一带一路休闲海钓大赛”“国际大学生海钓大赛”“国际沙滩远投大赛”在崖州落地。</w:t>
      </w:r>
    </w:p>
    <w:p>
      <w:pPr>
        <w:rPr>
          <w:rFonts w:hint="eastAsia" w:ascii="仿宋_GB2312" w:eastAsia="仿宋_GB2312"/>
          <w:lang w:val="en-US" w:eastAsia="zh-CN"/>
        </w:rPr>
      </w:pPr>
    </w:p>
    <w:tbl>
      <w:tblPr>
        <w:tblStyle w:val="19"/>
        <w:tblW w:w="5000" w:type="pct"/>
        <w:tblInd w:w="0" w:type="dxa"/>
        <w:tblBorders>
          <w:top w:val="thinThickSmallGap" w:color="auto" w:sz="2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thinThickSmallGap" w:color="auto" w:sz="2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22" w:type="dxa"/>
            <w:tcBorders>
              <w:top w:val="thinThickSmallGap" w:color="A4A4A4" w:sz="12" w:space="0"/>
              <w:bottom w:val="thickThinSmallGap" w:color="A4A4A4" w:sz="12" w:space="0"/>
            </w:tcBorders>
            <w:vAlign w:val="top"/>
          </w:tcPr>
          <w:p>
            <w:pPr>
              <w:pStyle w:val="31"/>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b/>
                <w:bCs/>
                <w:sz w:val="24"/>
                <w:szCs w:val="24"/>
                <w:lang w:val="en-US" w:eastAsia="zh-CN"/>
              </w:rPr>
            </w:pPr>
            <w:r>
              <w:rPr>
                <w:rFonts w:hint="eastAsia"/>
                <w:b/>
                <w:bCs/>
                <w:sz w:val="24"/>
                <w:szCs w:val="24"/>
                <w:lang w:val="en-US" w:eastAsia="zh-CN"/>
              </w:rPr>
              <w:t>专栏25  《海南省休闲渔业发展规划（2019-2025年）》解读</w:t>
            </w:r>
          </w:p>
          <w:p>
            <w:pPr>
              <w:pStyle w:val="3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val="0"/>
                <w:bCs w:val="0"/>
                <w:sz w:val="24"/>
                <w:szCs w:val="24"/>
                <w:lang w:val="en-US" w:eastAsia="zh-CN"/>
              </w:rPr>
            </w:pPr>
            <w:r>
              <w:rPr>
                <w:rFonts w:hint="eastAsia"/>
                <w:b w:val="0"/>
                <w:bCs w:val="0"/>
                <w:sz w:val="24"/>
                <w:szCs w:val="24"/>
                <w:lang w:val="en-US" w:eastAsia="zh-CN"/>
              </w:rPr>
              <w:t>（1）谋划推进“五个一”休闲渔业建设品牌工程。规划提出创建认定一批全国精品休闲渔业示范基地（休闲渔业主题公园），创建一批海钓赛事基地，创建一批休闲渔业小镇和美丽渔村，创建一批有影响力的赛事节庆活动，投放一批清洁能源休闲渔船。</w:t>
            </w:r>
          </w:p>
          <w:p>
            <w:pPr>
              <w:pStyle w:val="3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b w:val="0"/>
                <w:bCs w:val="0"/>
                <w:sz w:val="24"/>
                <w:szCs w:val="24"/>
                <w:lang w:val="en-US" w:eastAsia="zh-CN"/>
              </w:rPr>
            </w:pPr>
            <w:r>
              <w:rPr>
                <w:rFonts w:hint="eastAsia"/>
                <w:b w:val="0"/>
                <w:bCs w:val="0"/>
                <w:sz w:val="24"/>
                <w:szCs w:val="24"/>
                <w:lang w:val="en-US" w:eastAsia="zh-CN"/>
              </w:rPr>
              <w:t>（2）到2025年建成三亚崖州休闲渔业示范区。规划提出以三亚崖州国家中心渔港为核心，整合三亚深海科技城、南繁科技城、东锣西鼓海洋牧场、国际海上旅游合作开发基地，打造南部休闲渔业产业聚集示范区。做大渔港经济示范效应，发展海产品交易、冷链仓储、渔人码头；在港口人工岛区域及水域，整合丝路之塔，配套国家级休闲渔业船舶公共码头，打造国际休闲渔业总部及国际海洋文旅产业基地，建设国家级精品休闲渔业示范基地、建设崖州国际海钓赛事基地，发展渔港观光、海鲜美食、海货商品购物，组织举办系列国际国内海钓大赛；加快东锣西鼓海洋牧场建设，投建深海智能平台、休闲综合平台，发展休闲垂钓、牧场观光体验、海钓培训服务。发挥深海科技城、南繁科技城技术人才优势，加大产业技术、装备设施的研发与转化，为产业发展提供技术与人才输出。</w:t>
            </w:r>
          </w:p>
        </w:tc>
      </w:tr>
    </w:tbl>
    <w:p>
      <w:pPr>
        <w:pStyle w:val="5"/>
        <w:numPr>
          <w:ilvl w:val="0"/>
          <w:numId w:val="39"/>
        </w:numPr>
        <w:bidi w:val="0"/>
        <w:rPr>
          <w:rFonts w:hint="default"/>
          <w:lang w:val="en-US" w:eastAsia="zh-CN"/>
        </w:rPr>
      </w:pPr>
      <w:bookmarkStart w:id="466" w:name="_Toc20265"/>
      <w:bookmarkStart w:id="467" w:name="_Toc14856"/>
      <w:bookmarkStart w:id="468" w:name="_Toc28958"/>
      <w:r>
        <w:rPr>
          <w:rFonts w:hint="eastAsia"/>
          <w:lang w:val="en-US" w:eastAsia="zh-CN"/>
        </w:rPr>
        <w:t>抓住“水陆空”户外运动机遇，打造体育</w:t>
      </w:r>
      <w:bookmarkEnd w:id="466"/>
      <w:r>
        <w:rPr>
          <w:rFonts w:hint="eastAsia"/>
          <w:lang w:val="en-US" w:eastAsia="zh-CN"/>
        </w:rPr>
        <w:t>旅游目的地</w:t>
      </w:r>
      <w:bookmarkEnd w:id="467"/>
      <w:bookmarkEnd w:id="468"/>
    </w:p>
    <w:p>
      <w:pPr>
        <w:rPr>
          <w:rFonts w:hint="eastAsia" w:ascii="仿宋_GB2312" w:eastAsia="仿宋_GB2312"/>
          <w:lang w:val="en-US" w:eastAsia="zh-CN"/>
        </w:rPr>
      </w:pPr>
      <w:r>
        <w:rPr>
          <w:rFonts w:hint="eastAsia" w:ascii="仿宋_GB2312" w:eastAsia="仿宋_GB2312"/>
          <w:lang w:val="en-US" w:eastAsia="zh-CN"/>
        </w:rPr>
        <w:t>旅游产业进入3.0时代，休闲体验个性游与消费升级同步来临，体育旅游正在进入蓬勃发展的阶段。崖州所在的三亚地区是我国热带滨海度假旅游资源最丰富、最密集、最完整的地区，崖州拥有直面南海、优质连绵、丘海相连、尚未开发的沙滩岸线，是尤为宝贵的发展资源。非典疫情之后体育运动产业进入发展黄金期，</w:t>
      </w:r>
      <w:r>
        <w:rPr>
          <w:rFonts w:hint="eastAsia"/>
          <w:lang w:val="en-US" w:eastAsia="zh-CN"/>
        </w:rPr>
        <w:t>20</w:t>
      </w:r>
      <w:r>
        <w:rPr>
          <w:rFonts w:hint="eastAsia" w:ascii="仿宋_GB2312" w:eastAsia="仿宋_GB2312"/>
          <w:lang w:val="en-US" w:eastAsia="zh-CN"/>
        </w:rPr>
        <w:t>08</w:t>
      </w:r>
      <w:r>
        <w:rPr>
          <w:rFonts w:hint="eastAsia"/>
          <w:lang w:val="en-US" w:eastAsia="zh-CN"/>
        </w:rPr>
        <w:t>年北京</w:t>
      </w:r>
      <w:r>
        <w:rPr>
          <w:rFonts w:hint="eastAsia" w:ascii="仿宋_GB2312" w:eastAsia="仿宋_GB2312"/>
          <w:lang w:val="en-US" w:eastAsia="zh-CN"/>
        </w:rPr>
        <w:t>奥运</w:t>
      </w:r>
      <w:r>
        <w:rPr>
          <w:rFonts w:hint="eastAsia"/>
          <w:lang w:val="en-US" w:eastAsia="zh-CN"/>
        </w:rPr>
        <w:t>会</w:t>
      </w:r>
      <w:r>
        <w:rPr>
          <w:rFonts w:hint="eastAsia" w:ascii="仿宋_GB2312" w:eastAsia="仿宋_GB2312"/>
          <w:lang w:val="en-US" w:eastAsia="zh-CN"/>
        </w:rPr>
        <w:t>之后进入整合期，体育消费持续扩大并出现分化。可以预计新冠疫情之后体育产业将迎来新的发展期，消费者更加青睐小众化、个性化、体验化、户外型运动项目，体育消费与亲子出游、休闲度假、健康养生的结合更紧密。海南全岛旅游业态丰富，崖州要找好行业切入点，策划实施一批可操作、见效快的体育产业项目。</w:t>
      </w:r>
    </w:p>
    <w:p>
      <w:pPr>
        <w:rPr>
          <w:rFonts w:hint="eastAsia" w:ascii="仿宋_GB2312" w:eastAsia="仿宋_GB2312"/>
          <w:lang w:val="en-US" w:eastAsia="zh-CN"/>
        </w:rPr>
      </w:pPr>
      <w:r>
        <w:rPr>
          <w:rFonts w:hint="eastAsia" w:ascii="仿宋_GB2312" w:eastAsia="仿宋_GB2312"/>
          <w:b/>
          <w:bCs/>
          <w:lang w:val="en-US" w:eastAsia="zh-CN"/>
        </w:rPr>
        <w:t>一是崖州布局体育旅游产业正当其时。</w:t>
      </w:r>
      <w:r>
        <w:rPr>
          <w:rFonts w:hint="eastAsia" w:ascii="仿宋_GB2312" w:eastAsia="仿宋_GB2312"/>
          <w:lang w:val="en-US" w:eastAsia="zh-CN"/>
        </w:rPr>
        <w:t>体育旅游业发展前景十分良好，《海南省国家体育旅游示范区发展规划（2020-2025）》对全省体育旅游业发展做了明确指引。崖州保留了连绵优质、尚未开发的沙滩岸线及后方土地，时至今日已成为宝贵的战略资源，沙滩体育运动可以实现海岸线资源高水平开发、高效率利用、高产出回报，并能够最大化保护岸线。崖州要紧抓海南建设国家体育旅游示范区机遇，按照寸沙寸金、一滩多场、赛教融合、体旅融合的原则，建设角头湾海沙滩运动公园。以沙主题为主，对标沙滩运动高端业态和经营模式，引入洲际和国内顶级沙滩运动赛事，做足沙滩运动产品链，配合休闲体验类运动项目，重视青少年参与培养，发展沙足、沙排、沙马、沙徒、沙滩手球、沙滩卡巴迪、沙滩木球、壁球、藤球、动力滑翔伞、垂钓、潜水、铁人、露营基地、汽车营地项目，结合酒店、渔村民宿、旅游地产、特色小镇等发展训练基地，把崖州建设成为沙滩运动为主、“海陆空”兼备、盈利模式清晰的体育旅游示范区。</w:t>
      </w:r>
    </w:p>
    <w:p>
      <w:pPr>
        <w:rPr>
          <w:rFonts w:hint="eastAsia" w:ascii="仿宋_GB2312" w:eastAsia="仿宋_GB2312"/>
          <w:b/>
          <w:bCs/>
          <w:lang w:val="en-US" w:eastAsia="zh-CN"/>
        </w:rPr>
      </w:pPr>
      <w:r>
        <w:rPr>
          <w:rFonts w:hint="eastAsia" w:ascii="仿宋_GB2312" w:eastAsia="仿宋_GB2312"/>
          <w:b/>
          <w:bCs/>
          <w:lang w:val="en-US" w:eastAsia="zh-CN"/>
        </w:rPr>
        <w:t>二是通过赛事带动旅游</w:t>
      </w:r>
      <w:r>
        <w:rPr>
          <w:rFonts w:hint="eastAsia"/>
          <w:b/>
          <w:bCs/>
          <w:lang w:val="en-US" w:eastAsia="zh-CN"/>
        </w:rPr>
        <w:t>，塑造沙滩运动、海上垂钓、动力滑翔伞</w:t>
      </w:r>
      <w:r>
        <w:rPr>
          <w:rFonts w:hint="eastAsia" w:ascii="仿宋_GB2312" w:eastAsia="仿宋_GB2312"/>
          <w:b/>
          <w:bCs/>
          <w:lang w:val="en-US" w:eastAsia="zh-CN"/>
        </w:rPr>
        <w:t>“</w:t>
      </w:r>
      <w:r>
        <w:rPr>
          <w:rFonts w:hint="eastAsia"/>
          <w:b/>
          <w:bCs/>
          <w:lang w:val="en-US" w:eastAsia="zh-CN"/>
        </w:rPr>
        <w:t>水陆空</w:t>
      </w:r>
      <w:r>
        <w:rPr>
          <w:rFonts w:hint="eastAsia" w:ascii="仿宋_GB2312" w:eastAsia="仿宋_GB2312"/>
          <w:b/>
          <w:bCs/>
          <w:lang w:val="en-US" w:eastAsia="zh-CN"/>
        </w:rPr>
        <w:t>”</w:t>
      </w:r>
      <w:r>
        <w:rPr>
          <w:rFonts w:hint="eastAsia"/>
          <w:b/>
          <w:bCs/>
          <w:lang w:val="en-US" w:eastAsia="zh-CN"/>
        </w:rPr>
        <w:t>综合</w:t>
      </w:r>
      <w:r>
        <w:rPr>
          <w:rFonts w:hint="eastAsia" w:ascii="仿宋_GB2312" w:eastAsia="仿宋_GB2312"/>
          <w:b/>
          <w:bCs/>
          <w:lang w:val="en-US" w:eastAsia="zh-CN"/>
        </w:rPr>
        <w:t>业态模式</w:t>
      </w:r>
      <w:r>
        <w:rPr>
          <w:rFonts w:hint="eastAsia"/>
          <w:b/>
          <w:bCs/>
          <w:lang w:val="en-US" w:eastAsia="zh-CN"/>
        </w:rPr>
        <w:t>。</w:t>
      </w:r>
      <w:r>
        <w:rPr>
          <w:rFonts w:hint="eastAsia" w:ascii="仿宋_GB2312" w:eastAsia="仿宋_GB2312"/>
          <w:lang w:val="en-US" w:eastAsia="zh-CN"/>
        </w:rPr>
        <w:t>通过体育赛事带动运动体验项目落地发展，配合休闲体验类运动项目，深挖亚运会、亚沙会、国内外特色运动项目，避免同质竞争</w:t>
      </w:r>
      <w:r>
        <w:rPr>
          <w:rFonts w:hint="eastAsia"/>
          <w:lang w:val="en-US" w:eastAsia="zh-CN"/>
        </w:rPr>
        <w:t>。发展壮大宁远河</w:t>
      </w:r>
      <w:r>
        <w:rPr>
          <w:rFonts w:hint="default"/>
          <w:lang w:val="en-US" w:eastAsia="zh-CN"/>
        </w:rPr>
        <w:t>崖州龙舟赛，</w:t>
      </w:r>
      <w:r>
        <w:rPr>
          <w:rFonts w:hint="eastAsia"/>
          <w:lang w:val="en-US" w:eastAsia="zh-CN"/>
        </w:rPr>
        <w:t>做好宁远河疏浚和比赛基础设施建设，邀请岛内岛外、国内国外龙舟队参加比赛，打造崖州自己的国际化赛事品牌。建设龙舟运动</w:t>
      </w:r>
      <w:r>
        <w:rPr>
          <w:rFonts w:hint="default"/>
          <w:lang w:val="en-US" w:eastAsia="zh-CN"/>
        </w:rPr>
        <w:t>冬训基地</w:t>
      </w:r>
      <w:r>
        <w:rPr>
          <w:rFonts w:hint="eastAsia"/>
          <w:lang w:val="en-US" w:eastAsia="zh-CN"/>
        </w:rPr>
        <w:t>，吸引各地龙舟队进驻崖州集训。结合亚沙会办赛热度，积极发展</w:t>
      </w:r>
      <w:r>
        <w:rPr>
          <w:rFonts w:hint="eastAsia" w:ascii="仿宋_GB2312" w:eastAsia="仿宋_GB2312"/>
          <w:lang w:val="en-US" w:eastAsia="zh-CN"/>
        </w:rPr>
        <w:t>动力滑翔伞、空中观光、水上飞机等低空旅游产品</w:t>
      </w:r>
      <w:r>
        <w:rPr>
          <w:rFonts w:hint="eastAsia"/>
          <w:lang w:val="en-US" w:eastAsia="zh-CN"/>
        </w:rPr>
        <w:t>。发展</w:t>
      </w:r>
      <w:r>
        <w:rPr>
          <w:rFonts w:hint="eastAsia" w:ascii="仿宋_GB2312" w:eastAsia="仿宋_GB2312"/>
          <w:lang w:val="en-US" w:eastAsia="zh-CN"/>
        </w:rPr>
        <w:t>沙滩足排手球、沙滩马拉松</w:t>
      </w:r>
      <w:r>
        <w:rPr>
          <w:rFonts w:hint="eastAsia"/>
          <w:lang w:val="en-US" w:eastAsia="zh-CN"/>
        </w:rPr>
        <w:t>和</w:t>
      </w:r>
      <w:r>
        <w:rPr>
          <w:rFonts w:hint="eastAsia" w:ascii="仿宋_GB2312" w:eastAsia="仿宋_GB2312"/>
          <w:lang w:val="en-US" w:eastAsia="zh-CN"/>
        </w:rPr>
        <w:t>徒步、沙滩卡巴迪等</w:t>
      </w:r>
      <w:r>
        <w:rPr>
          <w:rFonts w:hint="eastAsia"/>
          <w:lang w:val="en-US" w:eastAsia="zh-CN"/>
        </w:rPr>
        <w:t>陆地</w:t>
      </w:r>
      <w:r>
        <w:rPr>
          <w:rFonts w:hint="eastAsia" w:ascii="仿宋_GB2312" w:eastAsia="仿宋_GB2312"/>
          <w:lang w:val="en-US" w:eastAsia="zh-CN"/>
        </w:rPr>
        <w:t>项目，引入单项运动的亚洲层面、全国层面赛事。开发</w:t>
      </w:r>
      <w:r>
        <w:rPr>
          <w:rFonts w:hint="eastAsia"/>
          <w:lang w:val="en-US" w:eastAsia="zh-CN"/>
        </w:rPr>
        <w:t>海钓、</w:t>
      </w:r>
      <w:r>
        <w:rPr>
          <w:rFonts w:hint="eastAsia" w:ascii="仿宋_GB2312" w:eastAsia="仿宋_GB2312"/>
          <w:lang w:val="en-US" w:eastAsia="zh-CN"/>
        </w:rPr>
        <w:t>无居民海岛</w:t>
      </w:r>
      <w:r>
        <w:rPr>
          <w:rFonts w:hint="eastAsia"/>
          <w:lang w:val="en-US" w:eastAsia="zh-CN"/>
        </w:rPr>
        <w:t>观光、</w:t>
      </w:r>
      <w:r>
        <w:rPr>
          <w:rFonts w:hint="eastAsia" w:ascii="仿宋_GB2312" w:eastAsia="仿宋_GB2312"/>
          <w:lang w:val="en-US" w:eastAsia="zh-CN"/>
        </w:rPr>
        <w:t>水上运动等海上旅游产品</w:t>
      </w:r>
      <w:r>
        <w:rPr>
          <w:rFonts w:hint="eastAsia"/>
          <w:lang w:val="en-US" w:eastAsia="zh-CN"/>
        </w:rPr>
        <w:t>。</w:t>
      </w:r>
      <w:r>
        <w:rPr>
          <w:rFonts w:hint="eastAsia" w:ascii="仿宋_GB2312" w:eastAsia="仿宋_GB2312"/>
          <w:lang w:val="en-US" w:eastAsia="zh-CN"/>
        </w:rPr>
        <w:t>融合运动公园、酒店、民宿、景区、旅游地产项目发展训练基地和体验基地，推出系列化“运动+”体验产品，如运动+度假养生、运动+南海文化、运动+研学、运动+亲子、运动+休闲渔业等</w:t>
      </w:r>
      <w:r>
        <w:rPr>
          <w:rFonts w:hint="eastAsia"/>
          <w:lang w:val="en-US" w:eastAsia="zh-CN"/>
        </w:rPr>
        <w:t>，打造服务全国人民、吸引各国游客的“海陆空”运动胜地。</w:t>
      </w:r>
    </w:p>
    <w:p>
      <w:pPr>
        <w:rPr>
          <w:rFonts w:hint="eastAsia" w:ascii="仿宋_GB2312" w:eastAsia="仿宋_GB2312"/>
          <w:lang w:val="en-US" w:eastAsia="zh-CN"/>
        </w:rPr>
      </w:pPr>
      <w:r>
        <w:rPr>
          <w:rFonts w:hint="eastAsia"/>
          <w:b/>
          <w:bCs/>
          <w:lang w:val="en-US" w:eastAsia="zh-CN"/>
        </w:rPr>
        <w:t>三</w:t>
      </w:r>
      <w:r>
        <w:rPr>
          <w:rFonts w:hint="eastAsia" w:ascii="仿宋_GB2312" w:eastAsia="仿宋_GB2312"/>
          <w:b/>
          <w:bCs/>
          <w:lang w:val="en-US" w:eastAsia="zh-CN"/>
        </w:rPr>
        <w:t>是为</w:t>
      </w:r>
      <w:r>
        <w:rPr>
          <w:rFonts w:hint="eastAsia"/>
          <w:b/>
          <w:bCs/>
          <w:lang w:val="en-US" w:eastAsia="zh-CN"/>
        </w:rPr>
        <w:t>崖州湾</w:t>
      </w:r>
      <w:r>
        <w:rPr>
          <w:rFonts w:hint="eastAsia" w:ascii="仿宋_GB2312" w:eastAsia="仿宋_GB2312"/>
          <w:b/>
          <w:bCs/>
          <w:lang w:val="en-US" w:eastAsia="zh-CN"/>
        </w:rPr>
        <w:t>科技城提供</w:t>
      </w:r>
      <w:r>
        <w:rPr>
          <w:rFonts w:hint="eastAsia"/>
          <w:b/>
          <w:bCs/>
          <w:lang w:val="en-US" w:eastAsia="zh-CN"/>
        </w:rPr>
        <w:t>运动服务</w:t>
      </w:r>
      <w:r>
        <w:rPr>
          <w:rFonts w:hint="eastAsia" w:ascii="仿宋_GB2312" w:eastAsia="仿宋_GB2312"/>
          <w:b/>
          <w:bCs/>
          <w:lang w:val="en-US" w:eastAsia="zh-CN"/>
        </w:rPr>
        <w:t>配套。</w:t>
      </w:r>
      <w:r>
        <w:rPr>
          <w:rFonts w:hint="eastAsia" w:ascii="仿宋_GB2312" w:eastAsia="仿宋_GB2312"/>
          <w:lang w:val="en-US" w:eastAsia="zh-CN"/>
        </w:rPr>
        <w:t>崖州湾科技城包括深海科技城、南繁科技城和科教城，迅速汇聚来自国内外的高知高智高薪人才。沙滩体育运动与科技城人群十分契合，发展沙滩体育运动可以丰富高端生活服务配套、优化科技城营商环境，并获取科技城常年稳定的成熟客群。</w:t>
      </w:r>
    </w:p>
    <w:tbl>
      <w:tblPr>
        <w:tblStyle w:val="19"/>
        <w:tblW w:w="0" w:type="auto"/>
        <w:tblInd w:w="0" w:type="dxa"/>
        <w:tblBorders>
          <w:top w:val="thinThickSmallGap" w:color="auto" w:sz="2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thinThickSmallGap" w:color="auto" w:sz="2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22" w:type="dxa"/>
            <w:tcBorders>
              <w:top w:val="thinThickSmallGap" w:color="A4A4A4" w:sz="12" w:space="0"/>
              <w:bottom w:val="thickThinSmallGap" w:color="A4A4A4" w:sz="12" w:space="0"/>
            </w:tcBorders>
          </w:tcPr>
          <w:p>
            <w:pPr>
              <w:pStyle w:val="31"/>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b/>
                <w:bCs/>
                <w:sz w:val="24"/>
                <w:szCs w:val="24"/>
                <w:lang w:val="en-US" w:eastAsia="zh-CN"/>
              </w:rPr>
            </w:pPr>
            <w:r>
              <w:rPr>
                <w:rFonts w:hint="eastAsia"/>
                <w:b/>
                <w:bCs/>
                <w:sz w:val="24"/>
                <w:szCs w:val="24"/>
                <w:lang w:val="en-US" w:eastAsia="zh-CN"/>
              </w:rPr>
              <w:t>专栏26  案例借鉴：国内外优秀的特色体育运动体验公园</w:t>
            </w:r>
          </w:p>
          <w:p>
            <w:pPr>
              <w:pStyle w:val="3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val="0"/>
                <w:bCs w:val="0"/>
                <w:sz w:val="24"/>
                <w:szCs w:val="24"/>
                <w:lang w:val="en-US" w:eastAsia="zh-CN"/>
              </w:rPr>
            </w:pPr>
            <w:r>
              <w:rPr>
                <w:rFonts w:hint="eastAsia"/>
                <w:b w:val="0"/>
                <w:bCs w:val="0"/>
                <w:sz w:val="24"/>
                <w:szCs w:val="24"/>
                <w:lang w:val="en-US" w:eastAsia="zh-CN"/>
              </w:rPr>
              <w:t>（1）美国极限运动主题公园（WOODWARD极限运动营地）。运动主体元素包括：滑板、跑酷、山地车、户外探险、体操等，还有多种形式的夏令营、训练营活动，这些运动元素可因地制宜有机组合，不但能充分发挥集群优势，还能满足人群对运动的不同需求。</w:t>
            </w:r>
          </w:p>
          <w:p>
            <w:pPr>
              <w:pStyle w:val="3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val="0"/>
                <w:bCs w:val="0"/>
                <w:sz w:val="24"/>
                <w:szCs w:val="24"/>
                <w:lang w:val="en-US" w:eastAsia="zh-CN"/>
              </w:rPr>
            </w:pPr>
            <w:r>
              <w:rPr>
                <w:rFonts w:hint="eastAsia"/>
                <w:b w:val="0"/>
                <w:bCs w:val="0"/>
                <w:sz w:val="24"/>
                <w:szCs w:val="24"/>
                <w:lang w:val="en-US" w:eastAsia="zh-CN"/>
              </w:rPr>
              <w:t>（2）北京龙湾国际露营公园。以户外运动体验和露营为主题，配备完善的基础配套设施，提供各种方式露营住宿，包括房车住宿、木屋别墅、移动木屋、水景篷房、集装箱房屋、帐篷扎营等，给游客提供深刻的游玩体验。</w:t>
            </w:r>
          </w:p>
          <w:p>
            <w:pPr>
              <w:pStyle w:val="3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val="0"/>
                <w:bCs w:val="0"/>
                <w:sz w:val="24"/>
                <w:szCs w:val="24"/>
                <w:lang w:val="en-US" w:eastAsia="zh-CN"/>
              </w:rPr>
            </w:pPr>
            <w:r>
              <w:rPr>
                <w:rFonts w:hint="eastAsia"/>
                <w:b w:val="0"/>
                <w:bCs w:val="0"/>
                <w:sz w:val="24"/>
                <w:szCs w:val="24"/>
                <w:lang w:val="en-US" w:eastAsia="zh-CN"/>
              </w:rPr>
              <w:t>（3）深圳国际汽车生态公园。以汽车为主题，向大众提供汽车运动、汽车消费、文化贸易、酒店会展、娱乐休闲等特色体验。</w:t>
            </w:r>
          </w:p>
          <w:p>
            <w:pPr>
              <w:pStyle w:val="3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val="0"/>
                <w:bCs w:val="0"/>
                <w:sz w:val="24"/>
                <w:szCs w:val="24"/>
                <w:lang w:val="en-US" w:eastAsia="zh-CN"/>
              </w:rPr>
            </w:pPr>
            <w:r>
              <w:rPr>
                <w:rFonts w:hint="eastAsia"/>
                <w:b w:val="0"/>
                <w:bCs w:val="0"/>
                <w:sz w:val="24"/>
                <w:szCs w:val="24"/>
                <w:lang w:val="en-US" w:eastAsia="zh-CN"/>
              </w:rPr>
              <w:t>三个主题公园的共同点：</w:t>
            </w:r>
          </w:p>
          <w:p>
            <w:pPr>
              <w:pStyle w:val="3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val="0"/>
                <w:bCs w:val="0"/>
                <w:sz w:val="24"/>
                <w:szCs w:val="24"/>
                <w:lang w:val="en-US" w:eastAsia="zh-CN"/>
              </w:rPr>
            </w:pPr>
            <w:r>
              <w:rPr>
                <w:rFonts w:hint="eastAsia"/>
                <w:b w:val="0"/>
                <w:bCs w:val="0"/>
                <w:sz w:val="24"/>
                <w:szCs w:val="24"/>
                <w:lang w:val="en-US" w:eastAsia="zh-CN"/>
              </w:rPr>
              <w:t>①公园主题鲜明，亮点突出，围绕主题提供多样运动娱乐特色体验。</w:t>
            </w:r>
          </w:p>
          <w:p>
            <w:pPr>
              <w:pStyle w:val="3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val="0"/>
                <w:bCs w:val="0"/>
                <w:sz w:val="24"/>
                <w:szCs w:val="24"/>
                <w:lang w:val="en-US" w:eastAsia="zh-CN"/>
              </w:rPr>
            </w:pPr>
            <w:r>
              <w:rPr>
                <w:rFonts w:hint="eastAsia"/>
                <w:b w:val="0"/>
                <w:bCs w:val="0"/>
                <w:sz w:val="24"/>
                <w:szCs w:val="24"/>
                <w:lang w:val="en-US" w:eastAsia="zh-CN"/>
              </w:rPr>
              <w:t>②群体定位明确，配套设施完善，形成粉丝群体，产生持续性和重复性消费。</w:t>
            </w:r>
          </w:p>
          <w:p>
            <w:pPr>
              <w:pStyle w:val="3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val="0"/>
                <w:bCs w:val="0"/>
                <w:sz w:val="28"/>
                <w:szCs w:val="28"/>
                <w:lang w:val="en-US" w:eastAsia="zh-CN"/>
              </w:rPr>
            </w:pPr>
            <w:r>
              <w:rPr>
                <w:rFonts w:hint="eastAsia"/>
                <w:b w:val="0"/>
                <w:bCs w:val="0"/>
                <w:sz w:val="24"/>
                <w:szCs w:val="24"/>
                <w:lang w:val="en-US" w:eastAsia="zh-CN"/>
              </w:rPr>
              <w:t>③产品差异化明显，盈利模式清晰，有利于打造品牌效应。</w:t>
            </w:r>
          </w:p>
        </w:tc>
      </w:tr>
    </w:tbl>
    <w:p>
      <w:pPr>
        <w:pStyle w:val="5"/>
        <w:numPr>
          <w:ilvl w:val="0"/>
          <w:numId w:val="39"/>
        </w:numPr>
        <w:bidi w:val="0"/>
        <w:rPr>
          <w:rFonts w:hint="default"/>
          <w:lang w:val="en-US" w:eastAsia="zh-CN"/>
        </w:rPr>
      </w:pPr>
      <w:bookmarkStart w:id="469" w:name="_Toc31934"/>
      <w:bookmarkStart w:id="470" w:name="_Toc32410"/>
      <w:r>
        <w:rPr>
          <w:rFonts w:hint="eastAsia"/>
          <w:lang w:val="en-US" w:eastAsia="zh-CN"/>
        </w:rPr>
        <w:t>建好</w:t>
      </w:r>
      <w:r>
        <w:rPr>
          <w:rFonts w:hint="default"/>
          <w:lang w:val="en-US" w:eastAsia="zh-CN"/>
        </w:rPr>
        <w:t>梅山保平</w:t>
      </w:r>
      <w:r>
        <w:rPr>
          <w:rFonts w:hint="eastAsia"/>
          <w:lang w:val="en-US" w:eastAsia="zh-CN"/>
        </w:rPr>
        <w:t>等</w:t>
      </w:r>
      <w:r>
        <w:rPr>
          <w:rFonts w:hint="default"/>
          <w:lang w:val="en-US" w:eastAsia="zh-CN"/>
        </w:rPr>
        <w:t>爱国主义教育基地</w:t>
      </w:r>
      <w:r>
        <w:rPr>
          <w:rFonts w:hint="eastAsia"/>
          <w:lang w:val="en-US" w:eastAsia="zh-CN"/>
        </w:rPr>
        <w:t>，打造</w:t>
      </w:r>
      <w:r>
        <w:rPr>
          <w:rFonts w:hint="default"/>
          <w:lang w:val="en-US" w:eastAsia="zh-CN"/>
        </w:rPr>
        <w:t>红色旅游目的地</w:t>
      </w:r>
      <w:bookmarkEnd w:id="469"/>
      <w:bookmarkEnd w:id="470"/>
    </w:p>
    <w:p>
      <w:pPr>
        <w:rPr>
          <w:rFonts w:hint="default"/>
          <w:lang w:val="en-US" w:eastAsia="zh-CN"/>
        </w:rPr>
      </w:pPr>
      <w:r>
        <w:rPr>
          <w:rFonts w:hint="eastAsia"/>
          <w:b/>
          <w:bCs/>
          <w:lang w:val="en-US" w:eastAsia="zh-CN"/>
        </w:rPr>
        <w:t>一是围绕建党100周年做好红色旅游基础设施配套建设。</w:t>
      </w:r>
      <w:r>
        <w:rPr>
          <w:rFonts w:hint="default"/>
          <w:lang w:val="en-US" w:eastAsia="zh-CN"/>
        </w:rPr>
        <w:t>做好梅山革命史馆和梅山老区烈士陵园爱国主义教育基地</w:t>
      </w:r>
      <w:r>
        <w:rPr>
          <w:rFonts w:hint="eastAsia"/>
          <w:lang w:val="en-US" w:eastAsia="zh-CN"/>
        </w:rPr>
        <w:t>建设，配合</w:t>
      </w:r>
      <w:r>
        <w:rPr>
          <w:rFonts w:hint="default"/>
          <w:lang w:val="en-US" w:eastAsia="zh-CN"/>
        </w:rPr>
        <w:t>环岛旅游公路建设</w:t>
      </w:r>
      <w:r>
        <w:rPr>
          <w:rFonts w:hint="eastAsia"/>
          <w:lang w:val="en-US" w:eastAsia="zh-CN"/>
        </w:rPr>
        <w:t>做好</w:t>
      </w:r>
      <w:r>
        <w:rPr>
          <w:rFonts w:hint="default"/>
          <w:lang w:val="en-US" w:eastAsia="zh-CN"/>
        </w:rPr>
        <w:t>“崖州红韵”公路驿站</w:t>
      </w:r>
      <w:r>
        <w:rPr>
          <w:rFonts w:hint="eastAsia"/>
          <w:lang w:val="en-US" w:eastAsia="zh-CN"/>
        </w:rPr>
        <w:t>建设工作。</w:t>
      </w:r>
      <w:r>
        <w:rPr>
          <w:rFonts w:hint="default"/>
          <w:lang w:val="en-US" w:eastAsia="zh-CN"/>
        </w:rPr>
        <w:t>梅山老区烈士陵园是三亚市规模较大的红色教育基地，梅山革命史馆以图、文、实物等形式展示了革命战争时期梅山</w:t>
      </w:r>
      <w:r>
        <w:rPr>
          <w:rFonts w:hint="eastAsia"/>
          <w:lang w:val="en-US" w:eastAsia="zh-CN"/>
        </w:rPr>
        <w:t>及</w:t>
      </w:r>
      <w:r>
        <w:rPr>
          <w:rFonts w:hint="default"/>
          <w:lang w:val="en-US" w:eastAsia="zh-CN"/>
        </w:rPr>
        <w:t>崖县</w:t>
      </w:r>
      <w:r>
        <w:rPr>
          <w:rFonts w:hint="eastAsia"/>
          <w:lang w:val="en-US" w:eastAsia="zh-CN"/>
        </w:rPr>
        <w:t>地区的</w:t>
      </w:r>
      <w:r>
        <w:rPr>
          <w:rFonts w:hint="default"/>
          <w:lang w:val="en-US" w:eastAsia="zh-CN"/>
        </w:rPr>
        <w:t>革命斗争历程，</w:t>
      </w:r>
      <w:r>
        <w:rPr>
          <w:rFonts w:hint="eastAsia"/>
          <w:lang w:val="en-US" w:eastAsia="zh-CN"/>
        </w:rPr>
        <w:t>是中国最南端的</w:t>
      </w:r>
      <w:r>
        <w:rPr>
          <w:rFonts w:hint="default"/>
          <w:lang w:val="en-US" w:eastAsia="zh-CN"/>
        </w:rPr>
        <w:t>红色人文景观。</w:t>
      </w:r>
      <w:r>
        <w:rPr>
          <w:rFonts w:hint="eastAsia"/>
          <w:lang w:val="en-US" w:eastAsia="zh-CN"/>
        </w:rPr>
        <w:t>建设保平村红色旅游基地，以红色旅游为核心，融入</w:t>
      </w:r>
      <w:r>
        <w:rPr>
          <w:rFonts w:hint="default"/>
          <w:lang w:val="en-US" w:eastAsia="zh-CN"/>
        </w:rPr>
        <w:t>历史建筑、历史文化</w:t>
      </w:r>
      <w:r>
        <w:rPr>
          <w:rFonts w:hint="eastAsia"/>
          <w:lang w:val="en-US" w:eastAsia="zh-CN"/>
        </w:rPr>
        <w:t>、非物质文化遗产等支撑要素，努力打造保平3A级旅游景区。</w:t>
      </w:r>
    </w:p>
    <w:p>
      <w:pPr>
        <w:rPr>
          <w:rFonts w:hint="default"/>
          <w:lang w:val="en-US" w:eastAsia="zh-CN"/>
        </w:rPr>
      </w:pPr>
      <w:r>
        <w:rPr>
          <w:rFonts w:hint="eastAsia"/>
          <w:b/>
          <w:bCs/>
          <w:lang w:val="en-US" w:eastAsia="zh-CN"/>
        </w:rPr>
        <w:t>二是打造</w:t>
      </w:r>
      <w:r>
        <w:rPr>
          <w:rFonts w:hint="default"/>
          <w:b/>
          <w:bCs/>
          <w:lang w:val="en-US" w:eastAsia="zh-CN"/>
        </w:rPr>
        <w:t>红色文化旅游路线</w:t>
      </w:r>
      <w:r>
        <w:rPr>
          <w:rFonts w:hint="eastAsia"/>
          <w:b/>
          <w:bCs/>
          <w:lang w:val="en-US" w:eastAsia="zh-CN"/>
        </w:rPr>
        <w:t>。</w:t>
      </w:r>
      <w:r>
        <w:rPr>
          <w:rFonts w:hint="default"/>
          <w:lang w:val="en-US" w:eastAsia="zh-CN"/>
        </w:rPr>
        <w:t>梅联社区、梅东村、梅西村是革命老村、红色抗日教育纪念基地，拥有梅山老区烈士陵园、革命史馆、红色丰碑广场、红色展馆中心等红色资源，以村落资源要素为基础策划古寨游览、文化展示、休闲度假、生态观光、参与体验等游览项目，整合梅山八人桥坡、高山窟址等文物古迹，形成景点集聚、文脉独特、彰显个性的红色旅游精品线路。</w:t>
      </w:r>
    </w:p>
    <w:bookmarkEnd w:id="456"/>
    <w:p>
      <w:pPr>
        <w:pStyle w:val="5"/>
        <w:numPr>
          <w:ilvl w:val="0"/>
          <w:numId w:val="39"/>
        </w:numPr>
        <w:bidi w:val="0"/>
        <w:rPr>
          <w:rFonts w:hint="default"/>
          <w:lang w:val="en-US" w:eastAsia="zh-CN"/>
        </w:rPr>
      </w:pPr>
      <w:bookmarkStart w:id="471" w:name="_Toc30384"/>
      <w:bookmarkStart w:id="472" w:name="_Toc30745"/>
      <w:bookmarkStart w:id="473" w:name="_Toc1232"/>
      <w:bookmarkStart w:id="474" w:name="_Toc18930160"/>
      <w:r>
        <w:rPr>
          <w:rFonts w:hint="eastAsia"/>
          <w:lang w:val="en-US" w:eastAsia="zh-CN"/>
        </w:rPr>
        <w:t>用好自贸港政策，打造缤纷荟萃的主题乐园集聚地</w:t>
      </w:r>
      <w:bookmarkEnd w:id="471"/>
      <w:bookmarkEnd w:id="472"/>
      <w:bookmarkEnd w:id="473"/>
    </w:p>
    <w:p>
      <w:pPr>
        <w:rPr>
          <w:rFonts w:hint="eastAsia" w:ascii="仿宋_GB2312" w:eastAsia="仿宋_GB2312"/>
          <w:lang w:val="en-US" w:eastAsia="zh-CN"/>
        </w:rPr>
      </w:pPr>
      <w:r>
        <w:rPr>
          <w:rFonts w:hint="eastAsia" w:ascii="仿宋_GB2312" w:eastAsia="仿宋_GB2312"/>
          <w:lang w:val="en-US" w:eastAsia="zh-CN"/>
        </w:rPr>
        <w:t>目的地旅游是旅游业升级方向，具有特定主题和内容体系的主题乐园是目的地旅游的重要产品类型，主题乐园投入大、产出高、产业链长、自带产业生态系统，是目的地旅游的高级业态。主题乐园投入大、产出高、产业链长、自带生态系统，是目的地旅游的高级业态</w:t>
      </w:r>
      <w:r>
        <w:rPr>
          <w:rFonts w:hint="eastAsia"/>
          <w:lang w:val="en-US" w:eastAsia="zh-CN"/>
        </w:rPr>
        <w:t>，主题乐园加速在海南布局落子，时代华纳（特纳）、Hello Kitty（三丽鸥）、宋城演艺、复星旅文、海昌、长隆、圣亚等均表现出浓厚兴趣或实质性推进。崖州待</w:t>
      </w:r>
      <w:r>
        <w:rPr>
          <w:rFonts w:hint="eastAsia" w:ascii="仿宋_GB2312" w:eastAsia="仿宋_GB2312"/>
          <w:lang w:val="en-US" w:eastAsia="zh-CN"/>
        </w:rPr>
        <w:t>开发空间较多、岸线丰富、四季温度适宜、降水量不高、文化底蕴独特，要发挥自贸港优势，</w:t>
      </w:r>
      <w:r>
        <w:rPr>
          <w:rFonts w:hint="eastAsia"/>
          <w:lang w:val="en-US" w:eastAsia="zh-CN"/>
        </w:rPr>
        <w:t>大力</w:t>
      </w:r>
      <w:r>
        <w:rPr>
          <w:rFonts w:hint="eastAsia" w:ascii="仿宋_GB2312" w:eastAsia="仿宋_GB2312"/>
          <w:lang w:val="en-US" w:eastAsia="zh-CN"/>
        </w:rPr>
        <w:t>引入世界级主题乐园，把崖州打造成为超级IP集聚、产品体系丰满、服务配套齐备的主题乐园集聚</w:t>
      </w:r>
      <w:r>
        <w:rPr>
          <w:rFonts w:hint="eastAsia"/>
          <w:lang w:val="en-US" w:eastAsia="zh-CN"/>
        </w:rPr>
        <w:t>地</w:t>
      </w:r>
      <w:r>
        <w:rPr>
          <w:rFonts w:hint="eastAsia" w:ascii="仿宋_GB2312" w:eastAsia="仿宋_GB2312"/>
          <w:lang w:val="en-US" w:eastAsia="zh-CN"/>
        </w:rPr>
        <w:t>。</w:t>
      </w:r>
    </w:p>
    <w:p>
      <w:pPr>
        <w:rPr>
          <w:rFonts w:hint="eastAsia" w:ascii="仿宋_GB2312" w:eastAsia="仿宋_GB2312"/>
          <w:lang w:val="en-US" w:eastAsia="zh-CN"/>
        </w:rPr>
      </w:pPr>
      <w:r>
        <w:rPr>
          <w:rFonts w:hint="eastAsia"/>
          <w:b/>
          <w:bCs/>
          <w:lang w:val="en-US" w:eastAsia="zh-CN"/>
        </w:rPr>
        <w:t>一是用好自贸港5类政策，努力实现早期收获。</w:t>
      </w:r>
      <w:r>
        <w:rPr>
          <w:rFonts w:hint="eastAsia"/>
          <w:b w:val="0"/>
          <w:bCs w:val="0"/>
          <w:lang w:val="en-US" w:eastAsia="zh-CN"/>
        </w:rPr>
        <w:t>（1）用好“极简审批”投资制度，打造全球一流营商环境，为全球投资运营商创造便捷入驻崖州的环境。（2）用好进口商品零关税政策，可以帮助主题乐园进口大型娱乐设备、专用设施节省20%左右关税，降低企业投资成本。（3）用好境外发行债券融资政策，利用境外低成本资金解决主题乐园投入成本高、回收周期长一难题。（4）用好更加便利的免签入境措施，重点吸引周边东南亚、日韩、澳洲地区客群，打造全球主题乐园目的地。（5）用好离岛免税购物、扩大免税商品种类政策，</w:t>
      </w:r>
      <w:r>
        <w:rPr>
          <w:rFonts w:hint="eastAsia" w:ascii="仿宋_GB2312" w:eastAsia="仿宋_GB2312"/>
          <w:lang w:val="en-US" w:eastAsia="zh-CN"/>
        </w:rPr>
        <w:t>发展玩具、游戏机、儿童用品、游戏动漫周边产品、主题公园周边产品免税购物，吸引国内外</w:t>
      </w:r>
      <w:r>
        <w:rPr>
          <w:rFonts w:hint="eastAsia"/>
          <w:lang w:val="en-US" w:eastAsia="zh-CN"/>
        </w:rPr>
        <w:t>玩家、</w:t>
      </w:r>
      <w:r>
        <w:rPr>
          <w:rFonts w:hint="eastAsia" w:ascii="仿宋_GB2312" w:eastAsia="仿宋_GB2312"/>
          <w:lang w:val="en-US" w:eastAsia="zh-CN"/>
        </w:rPr>
        <w:t>粉丝群体消费。</w:t>
      </w:r>
    </w:p>
    <w:p>
      <w:pPr>
        <w:rPr>
          <w:rFonts w:hint="eastAsia" w:ascii="仿宋_GB2312" w:eastAsia="仿宋_GB2312"/>
          <w:lang w:val="en-US" w:eastAsia="zh-CN"/>
        </w:rPr>
      </w:pPr>
      <w:r>
        <w:rPr>
          <w:rFonts w:hint="eastAsia"/>
          <w:b/>
          <w:bCs/>
          <w:lang w:val="en-US" w:eastAsia="zh-CN"/>
        </w:rPr>
        <w:t>二是开发主题乐园旅游区，积极筑巢引凤。</w:t>
      </w:r>
      <w:r>
        <w:rPr>
          <w:rFonts w:hint="eastAsia"/>
          <w:lang w:val="en-US" w:eastAsia="zh-CN"/>
        </w:rPr>
        <w:t>主题乐园通常用地需求大、配套设施多，崖州要优化主题乐园供地模式，探索“大独立小进园”开发方式。“大独立”指确保1-2个世界级超级IP乐园项目用地，依托超级项目打造引爆效应；“小进园”指开发主题乐园旅游区，吸引3-5个中小型、个性化乐园进入园区，</w:t>
      </w:r>
      <w:r>
        <w:rPr>
          <w:rFonts w:hint="eastAsia" w:ascii="仿宋_GB2312" w:eastAsia="仿宋_GB2312"/>
          <w:lang w:val="en-US" w:eastAsia="zh-CN"/>
        </w:rPr>
        <w:t>共享</w:t>
      </w:r>
      <w:r>
        <w:rPr>
          <w:rFonts w:hint="eastAsia"/>
          <w:lang w:val="en-US" w:eastAsia="zh-CN"/>
        </w:rPr>
        <w:t>交通、能源等</w:t>
      </w:r>
      <w:r>
        <w:rPr>
          <w:rFonts w:hint="eastAsia" w:ascii="仿宋_GB2312" w:eastAsia="仿宋_GB2312"/>
          <w:lang w:val="en-US" w:eastAsia="zh-CN"/>
        </w:rPr>
        <w:t>基础设施和</w:t>
      </w:r>
      <w:r>
        <w:rPr>
          <w:rFonts w:hint="eastAsia"/>
          <w:lang w:val="en-US" w:eastAsia="zh-CN"/>
        </w:rPr>
        <w:t>酒店、购物等</w:t>
      </w:r>
      <w:r>
        <w:rPr>
          <w:rFonts w:hint="eastAsia" w:ascii="仿宋_GB2312" w:eastAsia="仿宋_GB2312"/>
          <w:lang w:val="en-US" w:eastAsia="zh-CN"/>
        </w:rPr>
        <w:t>服务配套，集约利用土地</w:t>
      </w:r>
      <w:r>
        <w:rPr>
          <w:rFonts w:hint="eastAsia"/>
          <w:lang w:val="en-US" w:eastAsia="zh-CN"/>
        </w:rPr>
        <w:t>，形成集聚效应</w:t>
      </w:r>
      <w:r>
        <w:rPr>
          <w:rFonts w:hint="eastAsia" w:ascii="仿宋_GB2312" w:eastAsia="仿宋_GB2312"/>
          <w:lang w:val="en-US" w:eastAsia="zh-CN"/>
        </w:rPr>
        <w:t>。</w:t>
      </w:r>
    </w:p>
    <w:p>
      <w:pPr>
        <w:rPr>
          <w:rFonts w:hint="eastAsia" w:ascii="仿宋_GB2312" w:eastAsia="仿宋_GB2312"/>
          <w:lang w:val="en-US" w:eastAsia="zh-CN"/>
        </w:rPr>
      </w:pPr>
      <w:r>
        <w:rPr>
          <w:rFonts w:hint="eastAsia"/>
          <w:b/>
          <w:bCs/>
          <w:lang w:val="en-US" w:eastAsia="zh-CN"/>
        </w:rPr>
        <w:t>三是打造多主题、多形式、多层次乐园公园集聚地。</w:t>
      </w:r>
      <w:r>
        <w:rPr>
          <w:rFonts w:hint="eastAsia" w:ascii="仿宋_GB2312" w:eastAsia="仿宋_GB2312"/>
          <w:lang w:val="en-US" w:eastAsia="zh-CN"/>
        </w:rPr>
        <w:t>重点</w:t>
      </w:r>
      <w:r>
        <w:rPr>
          <w:rFonts w:hint="eastAsia"/>
          <w:lang w:val="en-US" w:eastAsia="zh-CN"/>
        </w:rPr>
        <w:t>发展6</w:t>
      </w:r>
      <w:r>
        <w:rPr>
          <w:rFonts w:hint="eastAsia"/>
          <w:b w:val="0"/>
          <w:bCs w:val="0"/>
          <w:lang w:val="en-US" w:eastAsia="zh-CN"/>
        </w:rPr>
        <w:t>种类型方向的</w:t>
      </w:r>
      <w:r>
        <w:rPr>
          <w:rFonts w:hint="eastAsia" w:ascii="仿宋_GB2312" w:eastAsia="仿宋_GB2312"/>
          <w:b w:val="0"/>
          <w:bCs w:val="0"/>
          <w:lang w:val="en-US" w:eastAsia="zh-CN"/>
        </w:rPr>
        <w:t>乐园</w:t>
      </w:r>
      <w:r>
        <w:rPr>
          <w:rFonts w:hint="eastAsia"/>
          <w:b w:val="0"/>
          <w:bCs w:val="0"/>
          <w:lang w:val="en-US" w:eastAsia="zh-CN"/>
        </w:rPr>
        <w:t>、</w:t>
      </w:r>
      <w:r>
        <w:rPr>
          <w:rFonts w:hint="eastAsia" w:ascii="仿宋_GB2312" w:eastAsia="仿宋_GB2312"/>
          <w:b w:val="0"/>
          <w:bCs w:val="0"/>
          <w:lang w:val="en-US" w:eastAsia="zh-CN"/>
        </w:rPr>
        <w:t>公园</w:t>
      </w:r>
      <w:r>
        <w:rPr>
          <w:rFonts w:hint="eastAsia"/>
          <w:b w:val="0"/>
          <w:bCs w:val="0"/>
          <w:lang w:val="en-US" w:eastAsia="zh-CN"/>
        </w:rPr>
        <w:t>、基地</w:t>
      </w:r>
      <w:r>
        <w:rPr>
          <w:rFonts w:hint="eastAsia" w:ascii="仿宋_GB2312" w:eastAsia="仿宋_GB2312"/>
          <w:b w:val="0"/>
          <w:bCs w:val="0"/>
          <w:lang w:val="en-US" w:eastAsia="zh-CN"/>
        </w:rPr>
        <w:t>，形成10个</w:t>
      </w:r>
      <w:r>
        <w:rPr>
          <w:rFonts w:hint="eastAsia"/>
          <w:b w:val="0"/>
          <w:bCs w:val="0"/>
          <w:lang w:val="en-US" w:eastAsia="zh-CN"/>
        </w:rPr>
        <w:t>以上</w:t>
      </w:r>
      <w:r>
        <w:rPr>
          <w:rFonts w:hint="eastAsia" w:ascii="仿宋_GB2312" w:eastAsia="仿宋_GB2312"/>
          <w:b w:val="0"/>
          <w:bCs w:val="0"/>
          <w:lang w:val="en-US" w:eastAsia="zh-CN"/>
        </w:rPr>
        <w:t>主题多样、全域分布的</w:t>
      </w:r>
      <w:r>
        <w:rPr>
          <w:rFonts w:hint="eastAsia"/>
          <w:b w:val="0"/>
          <w:bCs w:val="0"/>
          <w:lang w:val="en-US" w:eastAsia="zh-CN"/>
        </w:rPr>
        <w:t>主题</w:t>
      </w:r>
      <w:r>
        <w:rPr>
          <w:rFonts w:hint="eastAsia" w:ascii="仿宋_GB2312" w:eastAsia="仿宋_GB2312"/>
          <w:b w:val="0"/>
          <w:bCs w:val="0"/>
          <w:lang w:val="en-US" w:eastAsia="zh-CN"/>
        </w:rPr>
        <w:t>产品</w:t>
      </w:r>
      <w:r>
        <w:rPr>
          <w:rFonts w:hint="eastAsia"/>
          <w:b w:val="0"/>
          <w:bCs w:val="0"/>
          <w:lang w:val="en-US" w:eastAsia="zh-CN"/>
        </w:rPr>
        <w:t>。努力引入1-2家全球</w:t>
      </w:r>
      <w:r>
        <w:rPr>
          <w:rFonts w:hint="eastAsia" w:ascii="仿宋_GB2312" w:eastAsia="仿宋_GB2312"/>
          <w:b w:val="0"/>
          <w:bCs w:val="0"/>
          <w:lang w:val="en-US" w:eastAsia="zh-CN"/>
        </w:rPr>
        <w:t>知名</w:t>
      </w:r>
      <w:r>
        <w:rPr>
          <w:rFonts w:hint="eastAsia"/>
          <w:b w:val="0"/>
          <w:bCs w:val="0"/>
          <w:lang w:val="en-US" w:eastAsia="zh-CN"/>
        </w:rPr>
        <w:t>的大型</w:t>
      </w:r>
      <w:r>
        <w:rPr>
          <w:rFonts w:hint="eastAsia" w:ascii="仿宋_GB2312" w:eastAsia="仿宋_GB2312"/>
          <w:b w:val="0"/>
          <w:bCs w:val="0"/>
          <w:lang w:val="en-US" w:eastAsia="zh-CN"/>
        </w:rPr>
        <w:t>主题乐园</w:t>
      </w:r>
      <w:r>
        <w:rPr>
          <w:rFonts w:hint="eastAsia"/>
          <w:b w:val="0"/>
          <w:bCs w:val="0"/>
          <w:lang w:val="en-US" w:eastAsia="zh-CN"/>
        </w:rPr>
        <w:t>，在其周边布局多个中小型特色项目；</w:t>
      </w:r>
      <w:r>
        <w:rPr>
          <w:rFonts w:hint="eastAsia"/>
          <w:lang w:val="en-US" w:eastAsia="zh-CN"/>
        </w:rPr>
        <w:t>建设2-3个具有文化游历、生态修复、市民休闲功能的综合性城市</w:t>
      </w:r>
      <w:r>
        <w:rPr>
          <w:rFonts w:hint="eastAsia" w:ascii="仿宋_GB2312" w:eastAsia="仿宋_GB2312"/>
          <w:lang w:val="en-US" w:eastAsia="zh-CN"/>
        </w:rPr>
        <w:t>公园</w:t>
      </w:r>
      <w:r>
        <w:rPr>
          <w:rFonts w:hint="eastAsia"/>
          <w:lang w:val="en-US" w:eastAsia="zh-CN"/>
        </w:rPr>
        <w:t>；</w:t>
      </w:r>
      <w:r>
        <w:rPr>
          <w:rFonts w:hint="eastAsia"/>
          <w:b w:val="0"/>
          <w:bCs w:val="0"/>
          <w:lang w:val="en-US" w:eastAsia="zh-CN"/>
        </w:rPr>
        <w:t>打造1个</w:t>
      </w:r>
      <w:r>
        <w:rPr>
          <w:rFonts w:hint="eastAsia" w:ascii="仿宋_GB2312" w:eastAsia="仿宋_GB2312"/>
          <w:lang w:val="en-US" w:eastAsia="zh-CN"/>
        </w:rPr>
        <w:t>沙滩运动</w:t>
      </w:r>
      <w:r>
        <w:rPr>
          <w:rFonts w:hint="eastAsia"/>
          <w:lang w:val="en-US" w:eastAsia="zh-CN"/>
        </w:rPr>
        <w:t>体育</w:t>
      </w:r>
      <w:r>
        <w:rPr>
          <w:rFonts w:hint="eastAsia" w:ascii="仿宋_GB2312" w:eastAsia="仿宋_GB2312"/>
          <w:lang w:val="en-US" w:eastAsia="zh-CN"/>
        </w:rPr>
        <w:t>公园</w:t>
      </w:r>
      <w:r>
        <w:rPr>
          <w:rFonts w:hint="eastAsia"/>
          <w:lang w:val="en-US" w:eastAsia="zh-CN"/>
        </w:rPr>
        <w:t>和2个沙滩</w:t>
      </w:r>
      <w:r>
        <w:rPr>
          <w:rFonts w:hint="eastAsia" w:ascii="仿宋_GB2312" w:eastAsia="仿宋_GB2312"/>
          <w:lang w:val="en-US" w:eastAsia="zh-CN"/>
        </w:rPr>
        <w:t>婚纱旅拍</w:t>
      </w:r>
      <w:r>
        <w:rPr>
          <w:rFonts w:hint="eastAsia"/>
          <w:lang w:val="en-US" w:eastAsia="zh-CN"/>
        </w:rPr>
        <w:t>基地，兼顾做好旅游功能和海岸带生态维护；培育3-4个科普</w:t>
      </w:r>
      <w:r>
        <w:rPr>
          <w:rFonts w:hint="eastAsia" w:ascii="仿宋_GB2312" w:eastAsia="仿宋_GB2312"/>
          <w:lang w:val="en-US" w:eastAsia="zh-CN"/>
        </w:rPr>
        <w:t>研学</w:t>
      </w:r>
      <w:r>
        <w:rPr>
          <w:rFonts w:hint="eastAsia"/>
          <w:lang w:val="en-US" w:eastAsia="zh-CN"/>
        </w:rPr>
        <w:t>基地和1个</w:t>
      </w:r>
      <w:r>
        <w:rPr>
          <w:rFonts w:hint="eastAsia" w:ascii="仿宋_GB2312" w:eastAsia="仿宋_GB2312"/>
          <w:lang w:val="en-US" w:eastAsia="zh-CN"/>
        </w:rPr>
        <w:t>红色</w:t>
      </w:r>
      <w:r>
        <w:rPr>
          <w:rFonts w:hint="eastAsia"/>
          <w:lang w:val="en-US" w:eastAsia="zh-CN"/>
        </w:rPr>
        <w:t>旅游基地</w:t>
      </w:r>
      <w:r>
        <w:rPr>
          <w:rFonts w:hint="eastAsia" w:ascii="仿宋_GB2312" w:eastAsia="仿宋_GB2312"/>
          <w:lang w:val="en-US" w:eastAsia="zh-CN"/>
        </w:rPr>
        <w:t>。</w:t>
      </w:r>
    </w:p>
    <w:p>
      <w:pPr>
        <w:bidi w:val="0"/>
        <w:spacing w:line="240" w:lineRule="auto"/>
        <w:ind w:firstLine="0" w:firstLineChars="0"/>
        <w:jc w:val="center"/>
        <w:rPr>
          <w:rFonts w:hint="default" w:ascii="楷体" w:hAnsi="楷体" w:eastAsia="楷体" w:cs="楷体"/>
          <w:b w:val="0"/>
          <w:bCs w:val="0"/>
          <w:sz w:val="28"/>
          <w:szCs w:val="28"/>
          <w:lang w:val="en-US" w:eastAsia="zh-CN"/>
        </w:rPr>
      </w:pPr>
      <w:r>
        <w:rPr>
          <w:rFonts w:hint="eastAsia" w:ascii="楷体" w:hAnsi="楷体" w:eastAsia="楷体" w:cs="楷体"/>
          <w:b w:val="0"/>
          <w:bCs w:val="0"/>
          <w:sz w:val="28"/>
          <w:szCs w:val="28"/>
          <w:lang w:val="en-US" w:eastAsia="zh-CN"/>
        </w:rPr>
        <w:t>表28  崖州主题乐园（公园）集聚地项目引入类型</w:t>
      </w:r>
    </w:p>
    <w:tbl>
      <w:tblPr>
        <w:tblStyle w:val="18"/>
        <w:tblW w:w="5000" w:type="pct"/>
        <w:jc w:val="center"/>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42"/>
        <w:gridCol w:w="1200"/>
        <w:gridCol w:w="2250"/>
        <w:gridCol w:w="4730"/>
      </w:tblGrid>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blHeader/>
          <w:jc w:val="center"/>
        </w:trPr>
        <w:tc>
          <w:tcPr>
            <w:tcW w:w="342"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iCs w:val="0"/>
                <w:color w:val="000000"/>
                <w:kern w:val="2"/>
                <w:sz w:val="24"/>
                <w:szCs w:val="24"/>
                <w:u w:val="none"/>
                <w:lang w:val="en-US" w:eastAsia="zh-CN" w:bidi="ar"/>
              </w:rPr>
            </w:pPr>
          </w:p>
        </w:tc>
        <w:tc>
          <w:tcPr>
            <w:tcW w:w="120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发展类型</w:t>
            </w:r>
          </w:p>
        </w:tc>
        <w:tc>
          <w:tcPr>
            <w:tcW w:w="225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发展方向</w:t>
            </w:r>
          </w:p>
        </w:tc>
        <w:tc>
          <w:tcPr>
            <w:tcW w:w="473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重点跟进项目</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42" w:type="dxa"/>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w:t>
            </w:r>
          </w:p>
        </w:tc>
        <w:tc>
          <w:tcPr>
            <w:tcW w:w="1200" w:type="dxa"/>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Chars="0"/>
              <w:jc w:val="left"/>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主题游园</w:t>
            </w:r>
          </w:p>
        </w:tc>
        <w:tc>
          <w:tcPr>
            <w:tcW w:w="2250" w:type="dxa"/>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Chars="0"/>
              <w:jc w:val="left"/>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目的地旅游、主题体验、免税购物、亲子旅行</w:t>
            </w:r>
          </w:p>
        </w:tc>
        <w:tc>
          <w:tcPr>
            <w:tcW w:w="4730" w:type="dxa"/>
            <w:vAlign w:val="center"/>
          </w:tcPr>
          <w:p>
            <w:pPr>
              <w:keepNext w:val="0"/>
              <w:keepLines w:val="0"/>
              <w:pageBreakBefore w:val="0"/>
              <w:widowControl/>
              <w:numPr>
                <w:ilvl w:val="0"/>
                <w:numId w:val="40"/>
              </w:numPr>
              <w:suppressLineNumbers w:val="0"/>
              <w:kinsoku/>
              <w:wordWrap/>
              <w:overflowPunct/>
              <w:topLinePunct w:val="0"/>
              <w:autoSpaceDE/>
              <w:autoSpaceDN/>
              <w:bidi w:val="0"/>
              <w:adjustRightInd/>
              <w:snapToGrid/>
              <w:spacing w:line="240" w:lineRule="auto"/>
              <w:ind w:left="420" w:leftChars="0" w:hanging="420" w:firstLineChars="0"/>
              <w:jc w:val="left"/>
              <w:textAlignment w:val="auto"/>
              <w:rPr>
                <w:rFonts w:hint="default" w:ascii="楷体" w:hAnsi="楷体" w:eastAsia="楷体" w:cs="楷体"/>
                <w:b w:val="0"/>
                <w:bCs w:val="0"/>
                <w:i w:val="0"/>
                <w:iCs w:val="0"/>
                <w:color w:val="000000"/>
                <w:kern w:val="2"/>
                <w:sz w:val="24"/>
                <w:szCs w:val="24"/>
                <w:u w:val="none"/>
                <w:lang w:val="en-US" w:eastAsia="zh-CN" w:bidi="ar"/>
              </w:rPr>
            </w:pPr>
            <w:r>
              <w:rPr>
                <w:rFonts w:hint="default" w:ascii="楷体" w:hAnsi="楷体" w:eastAsia="楷体" w:cs="楷体"/>
                <w:b w:val="0"/>
                <w:bCs w:val="0"/>
                <w:i w:val="0"/>
                <w:iCs w:val="0"/>
                <w:color w:val="000000"/>
                <w:kern w:val="2"/>
                <w:sz w:val="24"/>
                <w:szCs w:val="24"/>
                <w:u w:val="none"/>
                <w:lang w:val="en-US" w:eastAsia="zh-CN" w:bidi="ar"/>
              </w:rPr>
              <w:t>乐高主题乐园</w:t>
            </w:r>
            <w:r>
              <w:rPr>
                <w:rFonts w:hint="eastAsia" w:ascii="楷体" w:hAnsi="楷体" w:eastAsia="楷体" w:cs="楷体"/>
                <w:b w:val="0"/>
                <w:bCs w:val="0"/>
                <w:i w:val="0"/>
                <w:iCs w:val="0"/>
                <w:color w:val="000000"/>
                <w:kern w:val="2"/>
                <w:sz w:val="24"/>
                <w:szCs w:val="24"/>
                <w:u w:val="none"/>
                <w:lang w:val="en-US" w:eastAsia="zh-CN" w:bidi="ar"/>
              </w:rPr>
              <w:t>（大型）</w:t>
            </w:r>
          </w:p>
          <w:p>
            <w:pPr>
              <w:keepNext w:val="0"/>
              <w:keepLines w:val="0"/>
              <w:pageBreakBefore w:val="0"/>
              <w:widowControl/>
              <w:numPr>
                <w:ilvl w:val="0"/>
                <w:numId w:val="40"/>
              </w:numPr>
              <w:suppressLineNumbers w:val="0"/>
              <w:kinsoku/>
              <w:wordWrap/>
              <w:overflowPunct/>
              <w:topLinePunct w:val="0"/>
              <w:autoSpaceDE/>
              <w:autoSpaceDN/>
              <w:bidi w:val="0"/>
              <w:adjustRightInd/>
              <w:snapToGrid/>
              <w:spacing w:line="240" w:lineRule="auto"/>
              <w:ind w:left="420" w:leftChars="0" w:hanging="420" w:firstLineChars="0"/>
              <w:jc w:val="left"/>
              <w:textAlignment w:val="auto"/>
              <w:rPr>
                <w:rFonts w:hint="default" w:ascii="楷体" w:hAnsi="楷体" w:eastAsia="楷体" w:cs="楷体"/>
                <w:b w:val="0"/>
                <w:bCs w:val="0"/>
                <w:i w:val="0"/>
                <w:iCs w:val="0"/>
                <w:color w:val="000000"/>
                <w:kern w:val="2"/>
                <w:sz w:val="24"/>
                <w:szCs w:val="24"/>
                <w:u w:val="none"/>
                <w:lang w:val="en-US" w:eastAsia="zh-CN" w:bidi="ar"/>
              </w:rPr>
            </w:pPr>
            <w:r>
              <w:rPr>
                <w:rFonts w:hint="default" w:ascii="楷体" w:hAnsi="楷体" w:eastAsia="楷体" w:cs="楷体"/>
                <w:b w:val="0"/>
                <w:bCs w:val="0"/>
                <w:i w:val="0"/>
                <w:iCs w:val="0"/>
                <w:color w:val="000000"/>
                <w:kern w:val="2"/>
                <w:sz w:val="24"/>
                <w:szCs w:val="24"/>
                <w:u w:val="none"/>
                <w:lang w:val="en-US" w:eastAsia="zh-CN" w:bidi="ar"/>
              </w:rPr>
              <w:t>阿凡达世界主题乐园（大型）</w:t>
            </w:r>
          </w:p>
          <w:p>
            <w:pPr>
              <w:keepNext w:val="0"/>
              <w:keepLines w:val="0"/>
              <w:pageBreakBefore w:val="0"/>
              <w:widowControl/>
              <w:numPr>
                <w:ilvl w:val="0"/>
                <w:numId w:val="40"/>
              </w:numPr>
              <w:suppressLineNumbers w:val="0"/>
              <w:kinsoku/>
              <w:wordWrap/>
              <w:overflowPunct/>
              <w:topLinePunct w:val="0"/>
              <w:autoSpaceDE/>
              <w:autoSpaceDN/>
              <w:bidi w:val="0"/>
              <w:adjustRightInd/>
              <w:snapToGrid/>
              <w:spacing w:line="240" w:lineRule="auto"/>
              <w:ind w:left="420" w:leftChars="0" w:hanging="420" w:firstLineChars="0"/>
              <w:jc w:val="left"/>
              <w:textAlignment w:val="auto"/>
              <w:rPr>
                <w:rFonts w:hint="default" w:ascii="楷体" w:hAnsi="楷体" w:eastAsia="楷体" w:cs="楷体"/>
                <w:b w:val="0"/>
                <w:bCs w:val="0"/>
                <w:i w:val="0"/>
                <w:iCs w:val="0"/>
                <w:color w:val="000000"/>
                <w:kern w:val="2"/>
                <w:sz w:val="24"/>
                <w:szCs w:val="24"/>
                <w:u w:val="none"/>
                <w:lang w:val="en-US" w:eastAsia="zh-CN" w:bidi="ar"/>
              </w:rPr>
            </w:pPr>
            <w:r>
              <w:rPr>
                <w:rFonts w:hint="default" w:ascii="楷体" w:hAnsi="楷体" w:eastAsia="楷体" w:cs="楷体"/>
                <w:b w:val="0"/>
                <w:bCs w:val="0"/>
                <w:i w:val="0"/>
                <w:iCs w:val="0"/>
                <w:color w:val="000000"/>
                <w:kern w:val="2"/>
                <w:sz w:val="24"/>
                <w:szCs w:val="24"/>
                <w:u w:val="none"/>
                <w:lang w:val="en-US" w:eastAsia="zh-CN" w:bidi="ar"/>
              </w:rPr>
              <w:t>法拉利世界主题乐园（大型）</w:t>
            </w:r>
          </w:p>
          <w:p>
            <w:pPr>
              <w:keepNext w:val="0"/>
              <w:keepLines w:val="0"/>
              <w:pageBreakBefore w:val="0"/>
              <w:widowControl/>
              <w:numPr>
                <w:ilvl w:val="0"/>
                <w:numId w:val="40"/>
              </w:numPr>
              <w:suppressLineNumbers w:val="0"/>
              <w:kinsoku/>
              <w:wordWrap/>
              <w:overflowPunct/>
              <w:topLinePunct w:val="0"/>
              <w:autoSpaceDE/>
              <w:autoSpaceDN/>
              <w:bidi w:val="0"/>
              <w:adjustRightInd/>
              <w:snapToGrid/>
              <w:spacing w:line="240" w:lineRule="auto"/>
              <w:ind w:left="420" w:leftChars="0" w:hanging="420" w:firstLineChars="0"/>
              <w:jc w:val="left"/>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万达主题公园（大型）</w:t>
            </w:r>
          </w:p>
          <w:p>
            <w:pPr>
              <w:keepNext w:val="0"/>
              <w:keepLines w:val="0"/>
              <w:pageBreakBefore w:val="0"/>
              <w:widowControl/>
              <w:numPr>
                <w:ilvl w:val="0"/>
                <w:numId w:val="40"/>
              </w:numPr>
              <w:suppressLineNumbers w:val="0"/>
              <w:kinsoku/>
              <w:wordWrap/>
              <w:overflowPunct/>
              <w:topLinePunct w:val="0"/>
              <w:autoSpaceDE/>
              <w:autoSpaceDN/>
              <w:bidi w:val="0"/>
              <w:adjustRightInd/>
              <w:snapToGrid/>
              <w:spacing w:line="240" w:lineRule="auto"/>
              <w:ind w:left="420" w:leftChars="0" w:hanging="420" w:firstLineChars="0"/>
              <w:jc w:val="left"/>
              <w:textAlignment w:val="auto"/>
              <w:rPr>
                <w:rFonts w:hint="default" w:ascii="楷体" w:hAnsi="楷体" w:eastAsia="楷体" w:cs="楷体"/>
                <w:b w:val="0"/>
                <w:bCs w:val="0"/>
                <w:i w:val="0"/>
                <w:iCs w:val="0"/>
                <w:color w:val="000000"/>
                <w:kern w:val="2"/>
                <w:sz w:val="24"/>
                <w:szCs w:val="24"/>
                <w:u w:val="none"/>
                <w:lang w:val="en-US" w:eastAsia="zh-CN" w:bidi="ar"/>
              </w:rPr>
            </w:pPr>
            <w:r>
              <w:rPr>
                <w:rFonts w:hint="default" w:ascii="楷体" w:hAnsi="楷体" w:eastAsia="楷体" w:cs="楷体"/>
                <w:b w:val="0"/>
                <w:bCs w:val="0"/>
                <w:i w:val="0"/>
                <w:iCs w:val="0"/>
                <w:color w:val="000000"/>
                <w:kern w:val="2"/>
                <w:sz w:val="24"/>
                <w:szCs w:val="24"/>
                <w:u w:val="none"/>
                <w:lang w:val="en-US" w:eastAsia="zh-CN" w:bidi="ar"/>
              </w:rPr>
              <w:t>乐天世界主题乐园</w:t>
            </w:r>
            <w:r>
              <w:rPr>
                <w:rFonts w:hint="eastAsia" w:ascii="楷体" w:hAnsi="楷体" w:eastAsia="楷体" w:cs="楷体"/>
                <w:b w:val="0"/>
                <w:bCs w:val="0"/>
                <w:i w:val="0"/>
                <w:iCs w:val="0"/>
                <w:color w:val="000000"/>
                <w:kern w:val="2"/>
                <w:sz w:val="24"/>
                <w:szCs w:val="24"/>
                <w:u w:val="none"/>
                <w:lang w:val="en-US" w:eastAsia="zh-CN" w:bidi="ar"/>
              </w:rPr>
              <w:t>（室内大型）</w:t>
            </w:r>
          </w:p>
          <w:p>
            <w:pPr>
              <w:keepNext w:val="0"/>
              <w:keepLines w:val="0"/>
              <w:pageBreakBefore w:val="0"/>
              <w:widowControl/>
              <w:numPr>
                <w:ilvl w:val="0"/>
                <w:numId w:val="40"/>
              </w:numPr>
              <w:suppressLineNumbers w:val="0"/>
              <w:kinsoku/>
              <w:wordWrap/>
              <w:overflowPunct/>
              <w:topLinePunct w:val="0"/>
              <w:autoSpaceDE/>
              <w:autoSpaceDN/>
              <w:bidi w:val="0"/>
              <w:adjustRightInd/>
              <w:snapToGrid/>
              <w:spacing w:line="240" w:lineRule="auto"/>
              <w:ind w:left="420" w:leftChars="0" w:hanging="420" w:firstLineChars="0"/>
              <w:jc w:val="left"/>
              <w:textAlignment w:val="auto"/>
              <w:rPr>
                <w:rFonts w:hint="default" w:ascii="楷体" w:hAnsi="楷体" w:eastAsia="楷体" w:cs="楷体"/>
                <w:b w:val="0"/>
                <w:bCs w:val="0"/>
                <w:i w:val="0"/>
                <w:iCs w:val="0"/>
                <w:color w:val="000000"/>
                <w:kern w:val="2"/>
                <w:sz w:val="24"/>
                <w:szCs w:val="24"/>
                <w:u w:val="none"/>
                <w:lang w:val="en-US" w:eastAsia="zh-CN" w:bidi="ar"/>
              </w:rPr>
            </w:pPr>
            <w:r>
              <w:rPr>
                <w:rFonts w:hint="default" w:ascii="楷体" w:hAnsi="楷体" w:eastAsia="楷体" w:cs="楷体"/>
                <w:b w:val="0"/>
                <w:bCs w:val="0"/>
                <w:i w:val="0"/>
                <w:iCs w:val="0"/>
                <w:color w:val="000000"/>
                <w:kern w:val="2"/>
                <w:sz w:val="24"/>
                <w:szCs w:val="24"/>
                <w:u w:val="none"/>
                <w:lang w:val="en-US" w:eastAsia="zh-CN" w:bidi="ar"/>
              </w:rPr>
              <w:t>杜莎夫人蜡像馆（室内中小型）</w:t>
            </w:r>
          </w:p>
          <w:p>
            <w:pPr>
              <w:keepNext w:val="0"/>
              <w:keepLines w:val="0"/>
              <w:pageBreakBefore w:val="0"/>
              <w:widowControl/>
              <w:numPr>
                <w:ilvl w:val="0"/>
                <w:numId w:val="40"/>
              </w:numPr>
              <w:suppressLineNumbers w:val="0"/>
              <w:kinsoku/>
              <w:wordWrap/>
              <w:overflowPunct/>
              <w:topLinePunct w:val="0"/>
              <w:autoSpaceDE/>
              <w:autoSpaceDN/>
              <w:bidi w:val="0"/>
              <w:adjustRightInd/>
              <w:snapToGrid/>
              <w:spacing w:line="240" w:lineRule="auto"/>
              <w:ind w:left="420" w:leftChars="0" w:hanging="420" w:firstLineChars="0"/>
              <w:jc w:val="left"/>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推理之城悬疑乐园（中小型）</w:t>
            </w:r>
          </w:p>
          <w:p>
            <w:pPr>
              <w:keepNext w:val="0"/>
              <w:keepLines w:val="0"/>
              <w:pageBreakBefore w:val="0"/>
              <w:widowControl/>
              <w:numPr>
                <w:ilvl w:val="0"/>
                <w:numId w:val="40"/>
              </w:numPr>
              <w:suppressLineNumbers w:val="0"/>
              <w:kinsoku/>
              <w:wordWrap/>
              <w:overflowPunct/>
              <w:topLinePunct w:val="0"/>
              <w:autoSpaceDE/>
              <w:autoSpaceDN/>
              <w:bidi w:val="0"/>
              <w:adjustRightInd/>
              <w:snapToGrid/>
              <w:spacing w:line="240" w:lineRule="auto"/>
              <w:ind w:left="420" w:leftChars="0" w:hanging="420" w:firstLineChars="0"/>
              <w:jc w:val="left"/>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密室小镇社交互动乐园（室内中小型）</w:t>
            </w:r>
          </w:p>
          <w:p>
            <w:pPr>
              <w:keepNext w:val="0"/>
              <w:keepLines w:val="0"/>
              <w:pageBreakBefore w:val="0"/>
              <w:widowControl/>
              <w:numPr>
                <w:ilvl w:val="0"/>
                <w:numId w:val="40"/>
              </w:numPr>
              <w:suppressLineNumbers w:val="0"/>
              <w:kinsoku/>
              <w:wordWrap/>
              <w:overflowPunct/>
              <w:topLinePunct w:val="0"/>
              <w:autoSpaceDE/>
              <w:autoSpaceDN/>
              <w:bidi w:val="0"/>
              <w:adjustRightInd/>
              <w:snapToGrid/>
              <w:spacing w:line="240" w:lineRule="auto"/>
              <w:ind w:left="420" w:leftChars="0" w:hanging="420" w:firstLineChars="0"/>
              <w:jc w:val="left"/>
              <w:textAlignment w:val="auto"/>
              <w:rPr>
                <w:rFonts w:hint="default" w:ascii="楷体" w:hAnsi="楷体" w:eastAsia="楷体" w:cs="楷体"/>
                <w:b w:val="0"/>
                <w:bCs w:val="0"/>
                <w:i w:val="0"/>
                <w:iCs w:val="0"/>
                <w:color w:val="000000"/>
                <w:kern w:val="2"/>
                <w:sz w:val="24"/>
                <w:szCs w:val="24"/>
                <w:u w:val="none"/>
                <w:lang w:val="en-US" w:eastAsia="zh-CN" w:bidi="ar"/>
              </w:rPr>
            </w:pPr>
            <w:r>
              <w:rPr>
                <w:rFonts w:hint="default" w:ascii="楷体" w:hAnsi="楷体" w:eastAsia="楷体" w:cs="楷体"/>
                <w:b w:val="0"/>
                <w:bCs w:val="0"/>
                <w:i w:val="0"/>
                <w:iCs w:val="0"/>
                <w:color w:val="000000"/>
                <w:kern w:val="2"/>
                <w:sz w:val="24"/>
                <w:szCs w:val="24"/>
                <w:u w:val="none"/>
                <w:lang w:val="en-US" w:eastAsia="zh-CN" w:bidi="ar"/>
              </w:rPr>
              <w:t>愤怒小鸟游戏乐园（中小型）</w:t>
            </w:r>
          </w:p>
          <w:p>
            <w:pPr>
              <w:keepNext w:val="0"/>
              <w:keepLines w:val="0"/>
              <w:pageBreakBefore w:val="0"/>
              <w:widowControl/>
              <w:numPr>
                <w:ilvl w:val="0"/>
                <w:numId w:val="40"/>
              </w:numPr>
              <w:suppressLineNumbers w:val="0"/>
              <w:kinsoku/>
              <w:wordWrap/>
              <w:overflowPunct/>
              <w:topLinePunct w:val="0"/>
              <w:autoSpaceDE/>
              <w:autoSpaceDN/>
              <w:bidi w:val="0"/>
              <w:adjustRightInd/>
              <w:snapToGrid/>
              <w:spacing w:line="240" w:lineRule="auto"/>
              <w:ind w:left="420" w:leftChars="0" w:hanging="420" w:firstLineChars="0"/>
              <w:jc w:val="left"/>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南繁植物迷宫探索乐园（中小型）</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42" w:type="dxa"/>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2</w:t>
            </w:r>
          </w:p>
        </w:tc>
        <w:tc>
          <w:tcPr>
            <w:tcW w:w="1200" w:type="dxa"/>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Chars="0"/>
              <w:jc w:val="left"/>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文化游历</w:t>
            </w:r>
          </w:p>
        </w:tc>
        <w:tc>
          <w:tcPr>
            <w:tcW w:w="2250" w:type="dxa"/>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Chars="0"/>
              <w:jc w:val="left"/>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文化观光、民俗体验、市民休闲、农旅结合</w:t>
            </w:r>
          </w:p>
        </w:tc>
        <w:tc>
          <w:tcPr>
            <w:tcW w:w="4730" w:type="dxa"/>
            <w:vAlign w:val="center"/>
          </w:tcPr>
          <w:p>
            <w:pPr>
              <w:keepNext w:val="0"/>
              <w:keepLines w:val="0"/>
              <w:pageBreakBefore w:val="0"/>
              <w:widowControl/>
              <w:numPr>
                <w:ilvl w:val="0"/>
                <w:numId w:val="40"/>
              </w:numPr>
              <w:suppressLineNumbers w:val="0"/>
              <w:kinsoku/>
              <w:wordWrap/>
              <w:overflowPunct/>
              <w:topLinePunct w:val="0"/>
              <w:autoSpaceDE/>
              <w:autoSpaceDN/>
              <w:bidi w:val="0"/>
              <w:adjustRightInd/>
              <w:snapToGrid/>
              <w:spacing w:line="240" w:lineRule="auto"/>
              <w:ind w:left="420" w:leftChars="0" w:hanging="420" w:firstLineChars="0"/>
              <w:jc w:val="left"/>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崖州古城</w:t>
            </w:r>
          </w:p>
          <w:p>
            <w:pPr>
              <w:keepNext w:val="0"/>
              <w:keepLines w:val="0"/>
              <w:pageBreakBefore w:val="0"/>
              <w:widowControl/>
              <w:numPr>
                <w:ilvl w:val="0"/>
                <w:numId w:val="40"/>
              </w:numPr>
              <w:suppressLineNumbers w:val="0"/>
              <w:kinsoku/>
              <w:wordWrap/>
              <w:overflowPunct/>
              <w:topLinePunct w:val="0"/>
              <w:autoSpaceDE/>
              <w:autoSpaceDN/>
              <w:bidi w:val="0"/>
              <w:adjustRightInd/>
              <w:snapToGrid/>
              <w:spacing w:line="240" w:lineRule="auto"/>
              <w:ind w:left="420" w:leftChars="0" w:hanging="420" w:firstLineChars="0"/>
              <w:jc w:val="left"/>
              <w:textAlignment w:val="auto"/>
              <w:rPr>
                <w:rFonts w:hint="default" w:ascii="楷体" w:hAnsi="楷体" w:eastAsia="楷体" w:cs="楷体"/>
                <w:b w:val="0"/>
                <w:bCs w:val="0"/>
                <w:i w:val="0"/>
                <w:iCs w:val="0"/>
                <w:color w:val="000000"/>
                <w:kern w:val="2"/>
                <w:sz w:val="24"/>
                <w:szCs w:val="24"/>
                <w:u w:val="none"/>
                <w:lang w:val="en-US" w:eastAsia="zh-CN" w:bidi="ar"/>
              </w:rPr>
            </w:pPr>
            <w:r>
              <w:rPr>
                <w:rFonts w:hint="default" w:ascii="楷体" w:hAnsi="楷体" w:eastAsia="楷体" w:cs="楷体"/>
                <w:b w:val="0"/>
                <w:bCs w:val="0"/>
                <w:i w:val="0"/>
                <w:iCs w:val="0"/>
                <w:color w:val="000000"/>
                <w:kern w:val="2"/>
                <w:sz w:val="24"/>
                <w:szCs w:val="24"/>
                <w:u w:val="none"/>
                <w:lang w:val="en-US" w:eastAsia="zh-CN" w:bidi="ar"/>
              </w:rPr>
              <w:t>宁远</w:t>
            </w:r>
            <w:r>
              <w:rPr>
                <w:rFonts w:hint="eastAsia" w:ascii="楷体" w:hAnsi="楷体" w:eastAsia="楷体" w:cs="楷体"/>
                <w:b w:val="0"/>
                <w:bCs w:val="0"/>
                <w:i w:val="0"/>
                <w:iCs w:val="0"/>
                <w:color w:val="000000"/>
                <w:kern w:val="2"/>
                <w:sz w:val="24"/>
                <w:szCs w:val="24"/>
                <w:u w:val="none"/>
                <w:lang w:val="en-US" w:eastAsia="zh-CN" w:bidi="ar"/>
              </w:rPr>
              <w:t>河生态</w:t>
            </w:r>
            <w:r>
              <w:rPr>
                <w:rFonts w:hint="default" w:ascii="楷体" w:hAnsi="楷体" w:eastAsia="楷体" w:cs="楷体"/>
                <w:b w:val="0"/>
                <w:bCs w:val="0"/>
                <w:i w:val="0"/>
                <w:iCs w:val="0"/>
                <w:color w:val="000000"/>
                <w:kern w:val="2"/>
                <w:sz w:val="24"/>
                <w:szCs w:val="24"/>
                <w:u w:val="none"/>
                <w:lang w:val="en-US" w:eastAsia="zh-CN" w:bidi="ar"/>
              </w:rPr>
              <w:t>文化公园（宁远河综合治理）</w:t>
            </w:r>
          </w:p>
          <w:p>
            <w:pPr>
              <w:keepNext w:val="0"/>
              <w:keepLines w:val="0"/>
              <w:pageBreakBefore w:val="0"/>
              <w:widowControl/>
              <w:numPr>
                <w:ilvl w:val="0"/>
                <w:numId w:val="40"/>
              </w:numPr>
              <w:suppressLineNumbers w:val="0"/>
              <w:kinsoku/>
              <w:wordWrap/>
              <w:overflowPunct/>
              <w:topLinePunct w:val="0"/>
              <w:autoSpaceDE/>
              <w:autoSpaceDN/>
              <w:bidi w:val="0"/>
              <w:adjustRightInd/>
              <w:snapToGrid/>
              <w:spacing w:line="240" w:lineRule="auto"/>
              <w:ind w:left="420" w:leftChars="0" w:hanging="420" w:firstLineChars="0"/>
              <w:jc w:val="left"/>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疍家文化体验公园（中心渔港）</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42" w:type="dxa"/>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3</w:t>
            </w:r>
          </w:p>
        </w:tc>
        <w:tc>
          <w:tcPr>
            <w:tcW w:w="1200" w:type="dxa"/>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Chars="0"/>
              <w:jc w:val="left"/>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婚纱</w:t>
            </w:r>
            <w:r>
              <w:rPr>
                <w:rFonts w:hint="default" w:ascii="楷体" w:hAnsi="楷体" w:eastAsia="楷体" w:cs="楷体"/>
                <w:b w:val="0"/>
                <w:bCs w:val="0"/>
                <w:i w:val="0"/>
                <w:iCs w:val="0"/>
                <w:color w:val="000000"/>
                <w:kern w:val="2"/>
                <w:sz w:val="24"/>
                <w:szCs w:val="24"/>
                <w:u w:val="none"/>
                <w:lang w:val="en-US" w:eastAsia="zh-CN" w:bidi="ar"/>
              </w:rPr>
              <w:t>旅拍</w:t>
            </w:r>
          </w:p>
        </w:tc>
        <w:tc>
          <w:tcPr>
            <w:tcW w:w="2250" w:type="dxa"/>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Chars="0"/>
              <w:jc w:val="left"/>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婚纱旅拍、活动承办</w:t>
            </w:r>
          </w:p>
        </w:tc>
        <w:tc>
          <w:tcPr>
            <w:tcW w:w="4730" w:type="dxa"/>
            <w:vAlign w:val="center"/>
          </w:tcPr>
          <w:p>
            <w:pPr>
              <w:keepNext w:val="0"/>
              <w:keepLines w:val="0"/>
              <w:pageBreakBefore w:val="0"/>
              <w:widowControl/>
              <w:numPr>
                <w:ilvl w:val="0"/>
                <w:numId w:val="40"/>
              </w:numPr>
              <w:suppressLineNumbers w:val="0"/>
              <w:kinsoku/>
              <w:wordWrap/>
              <w:overflowPunct/>
              <w:topLinePunct w:val="0"/>
              <w:autoSpaceDE/>
              <w:autoSpaceDN/>
              <w:bidi w:val="0"/>
              <w:adjustRightInd/>
              <w:snapToGrid/>
              <w:spacing w:line="240" w:lineRule="auto"/>
              <w:ind w:left="420" w:leftChars="0" w:hanging="420" w:firstLineChars="0"/>
              <w:jc w:val="lef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南海之恋婚庆主题公园（角头湾）</w:t>
            </w:r>
          </w:p>
          <w:p>
            <w:pPr>
              <w:keepNext w:val="0"/>
              <w:keepLines w:val="0"/>
              <w:pageBreakBefore w:val="0"/>
              <w:widowControl/>
              <w:numPr>
                <w:ilvl w:val="0"/>
                <w:numId w:val="40"/>
              </w:numPr>
              <w:suppressLineNumbers w:val="0"/>
              <w:kinsoku/>
              <w:wordWrap/>
              <w:overflowPunct/>
              <w:topLinePunct w:val="0"/>
              <w:autoSpaceDE/>
              <w:autoSpaceDN/>
              <w:bidi w:val="0"/>
              <w:adjustRightInd/>
              <w:snapToGrid/>
              <w:spacing w:line="240" w:lineRule="auto"/>
              <w:ind w:left="420" w:leftChars="0" w:hanging="420" w:firstLineChars="0"/>
              <w:jc w:val="lef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三亚大小洞天婚拍基地（已启用）</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42" w:type="dxa"/>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4</w:t>
            </w:r>
          </w:p>
        </w:tc>
        <w:tc>
          <w:tcPr>
            <w:tcW w:w="1200" w:type="dxa"/>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0" w:leftChars="0" w:firstLine="0" w:firstLineChars="0"/>
              <w:jc w:val="left"/>
              <w:textAlignment w:val="auto"/>
              <w:rPr>
                <w:rFonts w:hint="eastAsia" w:ascii="楷体" w:hAnsi="楷体" w:eastAsia="楷体" w:cs="楷体"/>
                <w:b w:val="0"/>
                <w:bCs w:val="0"/>
                <w:i w:val="0"/>
                <w:iCs w:val="0"/>
                <w:color w:val="000000"/>
                <w:kern w:val="2"/>
                <w:sz w:val="24"/>
                <w:szCs w:val="24"/>
                <w:u w:val="none"/>
                <w:lang w:val="en-US" w:eastAsia="zh-CN" w:bidi="ar"/>
              </w:rPr>
            </w:pPr>
            <w:r>
              <w:rPr>
                <w:rFonts w:hint="default" w:ascii="楷体" w:hAnsi="楷体" w:eastAsia="楷体" w:cs="楷体"/>
                <w:b w:val="0"/>
                <w:bCs w:val="0"/>
                <w:i w:val="0"/>
                <w:iCs w:val="0"/>
                <w:color w:val="000000"/>
                <w:kern w:val="2"/>
                <w:sz w:val="24"/>
                <w:szCs w:val="24"/>
                <w:u w:val="none"/>
                <w:lang w:val="en-US" w:eastAsia="zh-CN" w:bidi="ar"/>
              </w:rPr>
              <w:t>运动</w:t>
            </w:r>
            <w:r>
              <w:rPr>
                <w:rFonts w:hint="eastAsia" w:ascii="楷体" w:hAnsi="楷体" w:eastAsia="楷体" w:cs="楷体"/>
                <w:b w:val="0"/>
                <w:bCs w:val="0"/>
                <w:i w:val="0"/>
                <w:iCs w:val="0"/>
                <w:color w:val="000000"/>
                <w:kern w:val="2"/>
                <w:sz w:val="24"/>
                <w:szCs w:val="24"/>
                <w:u w:val="none"/>
                <w:lang w:val="en-US" w:eastAsia="zh-CN" w:bidi="ar"/>
              </w:rPr>
              <w:t>体育</w:t>
            </w:r>
          </w:p>
        </w:tc>
        <w:tc>
          <w:tcPr>
            <w:tcW w:w="2250" w:type="dxa"/>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0" w:leftChars="0" w:firstLine="0" w:firstLineChars="0"/>
              <w:jc w:val="left"/>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运动体验、赛事承办、社交互动</w:t>
            </w:r>
          </w:p>
        </w:tc>
        <w:tc>
          <w:tcPr>
            <w:tcW w:w="4730" w:type="dxa"/>
            <w:vAlign w:val="center"/>
          </w:tcPr>
          <w:p>
            <w:pPr>
              <w:keepNext w:val="0"/>
              <w:keepLines w:val="0"/>
              <w:pageBreakBefore w:val="0"/>
              <w:widowControl/>
              <w:numPr>
                <w:ilvl w:val="0"/>
                <w:numId w:val="40"/>
              </w:numPr>
              <w:suppressLineNumbers w:val="0"/>
              <w:kinsoku/>
              <w:wordWrap/>
              <w:overflowPunct/>
              <w:topLinePunct w:val="0"/>
              <w:autoSpaceDE/>
              <w:autoSpaceDN/>
              <w:bidi w:val="0"/>
              <w:adjustRightInd/>
              <w:snapToGrid/>
              <w:spacing w:line="240" w:lineRule="auto"/>
              <w:ind w:left="420" w:leftChars="0" w:hanging="420" w:firstLineChars="0"/>
              <w:jc w:val="left"/>
              <w:textAlignment w:val="auto"/>
              <w:rPr>
                <w:rFonts w:hint="eastAsia" w:ascii="楷体" w:hAnsi="楷体" w:eastAsia="楷体" w:cs="楷体"/>
                <w:b w:val="0"/>
                <w:bCs w:val="0"/>
                <w:i w:val="0"/>
                <w:iCs w:val="0"/>
                <w:color w:val="000000"/>
                <w:kern w:val="2"/>
                <w:sz w:val="24"/>
                <w:szCs w:val="24"/>
                <w:u w:val="none"/>
                <w:lang w:val="en-US" w:eastAsia="zh-CN" w:bidi="ar"/>
              </w:rPr>
            </w:pPr>
            <w:r>
              <w:rPr>
                <w:rFonts w:hint="default" w:ascii="楷体" w:hAnsi="楷体" w:eastAsia="楷体" w:cs="楷体"/>
                <w:b w:val="0"/>
                <w:bCs w:val="0"/>
                <w:i w:val="0"/>
                <w:iCs w:val="0"/>
                <w:color w:val="000000"/>
                <w:kern w:val="2"/>
                <w:sz w:val="24"/>
                <w:szCs w:val="24"/>
                <w:u w:val="none"/>
                <w:lang w:val="en-US" w:eastAsia="zh-CN" w:bidi="ar"/>
              </w:rPr>
              <w:t>角头湾</w:t>
            </w:r>
            <w:r>
              <w:rPr>
                <w:rFonts w:hint="eastAsia" w:ascii="楷体" w:hAnsi="楷体" w:eastAsia="楷体" w:cs="楷体"/>
                <w:b w:val="0"/>
                <w:bCs w:val="0"/>
                <w:i w:val="0"/>
                <w:iCs w:val="0"/>
                <w:color w:val="000000"/>
                <w:kern w:val="2"/>
                <w:sz w:val="24"/>
                <w:szCs w:val="24"/>
                <w:u w:val="none"/>
                <w:lang w:val="en-US" w:eastAsia="zh-CN" w:bidi="ar"/>
              </w:rPr>
              <w:t>沙滩运动</w:t>
            </w:r>
            <w:r>
              <w:rPr>
                <w:rFonts w:hint="default" w:ascii="楷体" w:hAnsi="楷体" w:eastAsia="楷体" w:cs="楷体"/>
                <w:b w:val="0"/>
                <w:bCs w:val="0"/>
                <w:i w:val="0"/>
                <w:iCs w:val="0"/>
                <w:color w:val="000000"/>
                <w:kern w:val="2"/>
                <w:sz w:val="24"/>
                <w:szCs w:val="24"/>
                <w:u w:val="none"/>
                <w:lang w:val="en-US" w:eastAsia="zh-CN" w:bidi="ar"/>
              </w:rPr>
              <w:t>公园</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42" w:type="dxa"/>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5</w:t>
            </w:r>
          </w:p>
        </w:tc>
        <w:tc>
          <w:tcPr>
            <w:tcW w:w="1200" w:type="dxa"/>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Chars="0"/>
              <w:jc w:val="left"/>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科普</w:t>
            </w:r>
            <w:r>
              <w:rPr>
                <w:rFonts w:hint="default" w:ascii="楷体" w:hAnsi="楷体" w:eastAsia="楷体" w:cs="楷体"/>
                <w:b w:val="0"/>
                <w:bCs w:val="0"/>
                <w:i w:val="0"/>
                <w:iCs w:val="0"/>
                <w:color w:val="000000"/>
                <w:kern w:val="2"/>
                <w:sz w:val="24"/>
                <w:szCs w:val="24"/>
                <w:u w:val="none"/>
                <w:lang w:val="en-US" w:eastAsia="zh-CN" w:bidi="ar"/>
              </w:rPr>
              <w:t>研学</w:t>
            </w:r>
          </w:p>
        </w:tc>
        <w:tc>
          <w:tcPr>
            <w:tcW w:w="2250" w:type="dxa"/>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Chars="0"/>
              <w:jc w:val="left"/>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科普教育、研学锻炼、亲子旅行</w:t>
            </w:r>
          </w:p>
        </w:tc>
        <w:tc>
          <w:tcPr>
            <w:tcW w:w="4730" w:type="dxa"/>
            <w:vAlign w:val="center"/>
          </w:tcPr>
          <w:p>
            <w:pPr>
              <w:keepNext w:val="0"/>
              <w:keepLines w:val="0"/>
              <w:pageBreakBefore w:val="0"/>
              <w:widowControl/>
              <w:numPr>
                <w:ilvl w:val="0"/>
                <w:numId w:val="40"/>
              </w:numPr>
              <w:suppressLineNumbers w:val="0"/>
              <w:kinsoku/>
              <w:wordWrap/>
              <w:overflowPunct/>
              <w:topLinePunct w:val="0"/>
              <w:autoSpaceDE/>
              <w:autoSpaceDN/>
              <w:bidi w:val="0"/>
              <w:adjustRightInd/>
              <w:snapToGrid/>
              <w:spacing w:line="240" w:lineRule="auto"/>
              <w:ind w:left="420" w:leftChars="0" w:hanging="420" w:firstLineChars="0"/>
              <w:jc w:val="left"/>
              <w:textAlignment w:val="auto"/>
              <w:rPr>
                <w:rFonts w:hint="default" w:ascii="楷体" w:hAnsi="楷体" w:eastAsia="楷体" w:cs="楷体"/>
                <w:b w:val="0"/>
                <w:bCs w:val="0"/>
                <w:i w:val="0"/>
                <w:iCs w:val="0"/>
                <w:color w:val="000000"/>
                <w:kern w:val="2"/>
                <w:sz w:val="24"/>
                <w:szCs w:val="24"/>
                <w:u w:val="none"/>
                <w:lang w:val="en-US" w:eastAsia="zh-CN" w:bidi="ar"/>
              </w:rPr>
            </w:pPr>
            <w:r>
              <w:rPr>
                <w:rFonts w:hint="default" w:ascii="楷体" w:hAnsi="楷体" w:eastAsia="楷体" w:cs="楷体"/>
                <w:b w:val="0"/>
                <w:bCs w:val="0"/>
                <w:i w:val="0"/>
                <w:iCs w:val="0"/>
                <w:color w:val="000000"/>
                <w:kern w:val="2"/>
                <w:sz w:val="24"/>
                <w:szCs w:val="24"/>
                <w:u w:val="none"/>
                <w:lang w:val="en-US" w:eastAsia="zh-CN" w:bidi="ar"/>
              </w:rPr>
              <w:t>南繁博物馆</w:t>
            </w:r>
          </w:p>
          <w:p>
            <w:pPr>
              <w:keepNext w:val="0"/>
              <w:keepLines w:val="0"/>
              <w:pageBreakBefore w:val="0"/>
              <w:widowControl/>
              <w:numPr>
                <w:ilvl w:val="0"/>
                <w:numId w:val="40"/>
              </w:numPr>
              <w:suppressLineNumbers w:val="0"/>
              <w:kinsoku/>
              <w:wordWrap/>
              <w:overflowPunct/>
              <w:topLinePunct w:val="0"/>
              <w:autoSpaceDE/>
              <w:autoSpaceDN/>
              <w:bidi w:val="0"/>
              <w:adjustRightInd/>
              <w:snapToGrid/>
              <w:spacing w:line="240" w:lineRule="auto"/>
              <w:ind w:left="420" w:leftChars="0" w:hanging="420" w:firstLineChars="0"/>
              <w:jc w:val="left"/>
              <w:textAlignment w:val="auto"/>
              <w:rPr>
                <w:rFonts w:hint="default" w:ascii="楷体" w:hAnsi="楷体" w:eastAsia="楷体" w:cs="楷体"/>
                <w:b w:val="0"/>
                <w:bCs w:val="0"/>
                <w:i w:val="0"/>
                <w:iCs w:val="0"/>
                <w:color w:val="000000"/>
                <w:kern w:val="2"/>
                <w:sz w:val="24"/>
                <w:szCs w:val="24"/>
                <w:u w:val="none"/>
                <w:lang w:val="en-US" w:eastAsia="zh-CN" w:bidi="ar"/>
              </w:rPr>
            </w:pPr>
            <w:r>
              <w:rPr>
                <w:rFonts w:hint="default" w:ascii="楷体" w:hAnsi="楷体" w:eastAsia="楷体" w:cs="楷体"/>
                <w:b w:val="0"/>
                <w:bCs w:val="0"/>
                <w:i w:val="0"/>
                <w:iCs w:val="0"/>
                <w:color w:val="000000"/>
                <w:kern w:val="2"/>
                <w:sz w:val="24"/>
                <w:szCs w:val="24"/>
                <w:u w:val="none"/>
                <w:lang w:val="en-US" w:eastAsia="zh-CN" w:bidi="ar"/>
              </w:rPr>
              <w:t>中国深海博物馆</w:t>
            </w:r>
          </w:p>
          <w:p>
            <w:pPr>
              <w:keepNext w:val="0"/>
              <w:keepLines w:val="0"/>
              <w:pageBreakBefore w:val="0"/>
              <w:widowControl/>
              <w:numPr>
                <w:ilvl w:val="0"/>
                <w:numId w:val="40"/>
              </w:numPr>
              <w:suppressLineNumbers w:val="0"/>
              <w:kinsoku/>
              <w:wordWrap/>
              <w:overflowPunct/>
              <w:topLinePunct w:val="0"/>
              <w:autoSpaceDE/>
              <w:autoSpaceDN/>
              <w:bidi w:val="0"/>
              <w:adjustRightInd/>
              <w:snapToGrid/>
              <w:spacing w:line="240" w:lineRule="auto"/>
              <w:ind w:left="420" w:leftChars="0" w:hanging="420" w:firstLineChars="0"/>
              <w:jc w:val="left"/>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南繁植物公园（南滨田园综合体）</w:t>
            </w:r>
          </w:p>
          <w:p>
            <w:pPr>
              <w:keepNext w:val="0"/>
              <w:keepLines w:val="0"/>
              <w:pageBreakBefore w:val="0"/>
              <w:widowControl/>
              <w:numPr>
                <w:ilvl w:val="0"/>
                <w:numId w:val="40"/>
              </w:numPr>
              <w:suppressLineNumbers w:val="0"/>
              <w:kinsoku/>
              <w:wordWrap/>
              <w:overflowPunct/>
              <w:topLinePunct w:val="0"/>
              <w:autoSpaceDE/>
              <w:autoSpaceDN/>
              <w:bidi w:val="0"/>
              <w:adjustRightInd/>
              <w:snapToGrid/>
              <w:spacing w:line="240" w:lineRule="auto"/>
              <w:ind w:left="420" w:leftChars="0" w:hanging="420" w:firstLineChars="0"/>
              <w:jc w:val="left"/>
              <w:textAlignment w:val="auto"/>
              <w:rPr>
                <w:rFonts w:hint="default" w:ascii="楷体" w:hAnsi="楷体" w:eastAsia="楷体" w:cs="楷体"/>
                <w:b w:val="0"/>
                <w:bCs w:val="0"/>
                <w:i w:val="0"/>
                <w:iCs w:val="0"/>
                <w:color w:val="000000"/>
                <w:kern w:val="2"/>
                <w:sz w:val="24"/>
                <w:szCs w:val="24"/>
                <w:u w:val="none"/>
                <w:lang w:val="en-US" w:eastAsia="zh-CN" w:bidi="ar"/>
              </w:rPr>
            </w:pPr>
            <w:r>
              <w:rPr>
                <w:rFonts w:hint="default" w:ascii="楷体" w:hAnsi="楷体" w:eastAsia="楷体" w:cs="楷体"/>
                <w:b w:val="0"/>
                <w:bCs w:val="0"/>
                <w:i w:val="0"/>
                <w:iCs w:val="0"/>
                <w:color w:val="000000"/>
                <w:kern w:val="2"/>
                <w:sz w:val="24"/>
                <w:szCs w:val="24"/>
                <w:u w:val="none"/>
                <w:lang w:val="en-US" w:eastAsia="zh-CN" w:bidi="ar"/>
              </w:rPr>
              <w:t>热带农业科普基地（水南村田园综合体）</w:t>
            </w:r>
          </w:p>
        </w:tc>
      </w:tr>
      <w:bookmarkEnd w:id="474"/>
    </w:tbl>
    <w:p>
      <w:pPr>
        <w:rPr>
          <w:rFonts w:hint="eastAsia" w:ascii="仿宋_GB2312" w:eastAsia="仿宋_GB2312"/>
          <w:sz w:val="24"/>
          <w:szCs w:val="21"/>
          <w:lang w:val="en-US" w:eastAsia="zh-CN"/>
        </w:rPr>
      </w:pPr>
      <w:bookmarkStart w:id="475" w:name="_Toc7969"/>
    </w:p>
    <w:tbl>
      <w:tblPr>
        <w:tblStyle w:val="19"/>
        <w:tblW w:w="5000" w:type="pct"/>
        <w:tblInd w:w="0" w:type="dxa"/>
        <w:tblBorders>
          <w:top w:val="thinThickSmallGap" w:color="auto" w:sz="2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thinThickSmallGap" w:color="auto" w:sz="2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22" w:type="dxa"/>
            <w:tcBorders>
              <w:top w:val="thinThickSmallGap" w:color="A4A4A4" w:sz="12" w:space="0"/>
              <w:bottom w:val="thickThinSmallGap" w:color="A4A4A4" w:sz="12" w:space="0"/>
            </w:tcBorders>
          </w:tcPr>
          <w:p>
            <w:pPr>
              <w:pStyle w:val="31"/>
              <w:keepNext w:val="0"/>
              <w:keepLines w:val="0"/>
              <w:pageBreakBefore w:val="0"/>
              <w:widowControl w:val="0"/>
              <w:kinsoku/>
              <w:wordWrap/>
              <w:overflowPunct/>
              <w:topLinePunct w:val="0"/>
              <w:autoSpaceDE/>
              <w:autoSpaceDN/>
              <w:bidi w:val="0"/>
              <w:adjustRightInd/>
              <w:snapToGrid/>
              <w:spacing w:line="240" w:lineRule="auto"/>
              <w:ind w:right="-160" w:rightChars="-50" w:firstLine="0" w:firstLineChars="0"/>
              <w:textAlignment w:val="auto"/>
              <w:rPr>
                <w:rFonts w:hint="default" w:ascii="楷体" w:hAnsi="楷体" w:eastAsia="楷体" w:cs="楷体"/>
                <w:b/>
                <w:bCs/>
                <w:sz w:val="24"/>
                <w:szCs w:val="24"/>
                <w:lang w:val="en-US" w:eastAsia="zh-CN"/>
              </w:rPr>
            </w:pPr>
            <w:r>
              <w:rPr>
                <w:rFonts w:hint="eastAsia" w:ascii="楷体" w:hAnsi="楷体" w:eastAsia="楷体" w:cs="楷体"/>
                <w:b/>
                <w:bCs/>
                <w:sz w:val="24"/>
                <w:szCs w:val="24"/>
                <w:lang w:val="en-US" w:eastAsia="zh-CN"/>
              </w:rPr>
              <w:t>专栏</w:t>
            </w:r>
            <w:r>
              <w:rPr>
                <w:rFonts w:hint="eastAsia" w:cs="楷体"/>
                <w:b/>
                <w:bCs/>
                <w:sz w:val="24"/>
                <w:szCs w:val="24"/>
                <w:lang w:val="en-US" w:eastAsia="zh-CN"/>
              </w:rPr>
              <w:t>27</w:t>
            </w:r>
            <w:r>
              <w:rPr>
                <w:rFonts w:hint="eastAsia" w:ascii="楷体" w:hAnsi="楷体" w:eastAsia="楷体" w:cs="楷体"/>
                <w:b/>
                <w:bCs/>
                <w:sz w:val="24"/>
                <w:szCs w:val="24"/>
                <w:lang w:val="en-US" w:eastAsia="zh-CN"/>
              </w:rPr>
              <w:t xml:space="preserve">  </w:t>
            </w:r>
            <w:r>
              <w:rPr>
                <w:rFonts w:hint="eastAsia" w:cs="楷体"/>
                <w:b/>
                <w:bCs/>
                <w:sz w:val="24"/>
                <w:szCs w:val="24"/>
                <w:lang w:val="en-US" w:eastAsia="zh-CN"/>
              </w:rPr>
              <w:t>案例借鉴：</w:t>
            </w:r>
            <w:r>
              <w:rPr>
                <w:rFonts w:hint="eastAsia" w:ascii="楷体" w:hAnsi="楷体" w:eastAsia="楷体" w:cs="楷体"/>
                <w:b/>
                <w:bCs/>
                <w:sz w:val="24"/>
                <w:szCs w:val="24"/>
                <w:lang w:val="en-US" w:eastAsia="zh-CN"/>
              </w:rPr>
              <w:t>奥兰多</w:t>
            </w:r>
            <w:r>
              <w:rPr>
                <w:rFonts w:hint="eastAsia" w:cs="楷体"/>
                <w:b/>
                <w:bCs/>
                <w:sz w:val="24"/>
                <w:szCs w:val="24"/>
                <w:lang w:val="en-US" w:eastAsia="zh-CN"/>
              </w:rPr>
              <w:t>通过主题乐园成为美国第一大旅游目的地城市</w:t>
            </w:r>
          </w:p>
          <w:p>
            <w:pPr>
              <w:pStyle w:val="3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val="0"/>
                <w:bCs w:val="0"/>
                <w:sz w:val="24"/>
                <w:szCs w:val="24"/>
                <w:lang w:val="en-US" w:eastAsia="zh-CN"/>
              </w:rPr>
            </w:pPr>
            <w:r>
              <w:rPr>
                <w:rFonts w:hint="eastAsia"/>
                <w:b w:val="0"/>
                <w:bCs w:val="0"/>
                <w:sz w:val="24"/>
                <w:szCs w:val="24"/>
                <w:lang w:val="en-US" w:eastAsia="zh-CN"/>
              </w:rPr>
              <w:t>奥兰多位于美国中部佛罗里达州，是美国第一大旅游目的地城市，通过主题乐园带动目的地旅游，借助对市场有号召力的超级IP引爆城市发展。1964年筹建迪士尼世界并建造配套度假区，1973年建设奥兰多海洋世界，1989年建设米高梅影城，1990年建设环球影城，1999年扩建冒险岛，2017年开放阿凡达世界主题乐园。</w:t>
            </w:r>
          </w:p>
          <w:p>
            <w:pPr>
              <w:pStyle w:val="3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val="0"/>
                <w:bCs w:val="0"/>
                <w:sz w:val="24"/>
                <w:szCs w:val="24"/>
                <w:lang w:val="en-US" w:eastAsia="zh-CN"/>
              </w:rPr>
            </w:pPr>
            <w:r>
              <w:rPr>
                <w:rFonts w:hint="eastAsia"/>
                <w:b w:val="0"/>
                <w:bCs w:val="0"/>
                <w:sz w:val="24"/>
                <w:szCs w:val="24"/>
                <w:lang w:val="en-US" w:eastAsia="zh-CN"/>
              </w:rPr>
              <w:t>2015年，奥兰多接纳游客6600万，连续居全美首位，旅游相关收入超过600亿美元，并创造了大量就业。游客中90%以上为境内游客，海外游客平均停留时间为9.1天。迪士尼接纳超过2500万游客，总收入超过45亿美元，直接雇佣员工7.4万人。环球影城接纳超过1400万游客，总收入超过27亿美元，直接雇佣员工2万人。并由此带动文化创意等产业发展，建立了发达的电影电视娱乐产业，影视传媒产业产值达90亿美元，提升了奥兰多国际影响力、竞争力。</w:t>
            </w:r>
          </w:p>
          <w:p>
            <w:pPr>
              <w:pStyle w:val="3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val="0"/>
                <w:bCs w:val="0"/>
                <w:sz w:val="24"/>
                <w:szCs w:val="24"/>
                <w:lang w:val="en-US" w:eastAsia="zh-CN"/>
              </w:rPr>
            </w:pPr>
            <w:r>
              <w:rPr>
                <w:rFonts w:hint="eastAsia"/>
                <w:b w:val="0"/>
                <w:bCs w:val="0"/>
                <w:sz w:val="24"/>
                <w:szCs w:val="24"/>
                <w:lang w:val="en-US" w:eastAsia="zh-CN"/>
              </w:rPr>
              <w:t>奥兰多将城市核心位置预留给能够带动资本投入的大型主题旅游娱乐综合体项目，以标志性建筑或湖为中心，各个主题公园项目环绕设置，游线方便清晰。在食、住、行、游、购、娱六大要素建设有特色的创意项目，服务设施同时注重满足当地居民与游客的共同需求。注重多种业态合理配比，多种业态相辅相成，将主题各异的旅游项目紧密联系在一起，给游客提供最大程度方便的同时，也节约了大量土地，节省了企业投资，一举多得。</w:t>
            </w:r>
          </w:p>
          <w:p>
            <w:pPr>
              <w:pStyle w:val="31"/>
              <w:keepNext w:val="0"/>
              <w:keepLines w:val="0"/>
              <w:pageBreakBefore w:val="0"/>
              <w:widowControl w:val="0"/>
              <w:kinsoku/>
              <w:wordWrap/>
              <w:overflowPunct/>
              <w:topLinePunct w:val="0"/>
              <w:autoSpaceDE/>
              <w:autoSpaceDN/>
              <w:bidi w:val="0"/>
              <w:adjustRightInd/>
              <w:snapToGrid/>
              <w:spacing w:line="240" w:lineRule="auto"/>
              <w:ind w:left="0" w:leftChars="0" w:right="-160" w:rightChars="-50" w:firstLine="0" w:firstLineChars="0"/>
              <w:jc w:val="center"/>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drawing>
                <wp:inline distT="0" distB="0" distL="0" distR="0">
                  <wp:extent cx="4695190" cy="3320415"/>
                  <wp:effectExtent l="0" t="0" r="10160" b="1333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noChangeArrowheads="1"/>
                          </pic:cNvPicPr>
                        </pic:nvPicPr>
                        <pic:blipFill>
                          <a:blip r:embed="rId21">
                            <a:extLst>
                              <a:ext uri="{28A0092B-C50C-407E-A947-70E740481C1C}">
                                <a14:useLocalDpi xmlns:a14="http://schemas.microsoft.com/office/drawing/2010/main" val="0"/>
                              </a:ext>
                            </a:extLst>
                          </a:blip>
                          <a:srcRect b="4335"/>
                          <a:stretch>
                            <a:fillRect/>
                          </a:stretch>
                        </pic:blipFill>
                        <pic:spPr>
                          <a:xfrm>
                            <a:off x="0" y="0"/>
                            <a:ext cx="4695190" cy="3320415"/>
                          </a:xfrm>
                          <a:prstGeom prst="rect">
                            <a:avLst/>
                          </a:prstGeom>
                          <a:noFill/>
                        </pic:spPr>
                      </pic:pic>
                    </a:graphicData>
                  </a:graphic>
                </wp:inline>
              </w:drawing>
            </w:r>
          </w:p>
        </w:tc>
      </w:tr>
    </w:tbl>
    <w:p>
      <w:pPr>
        <w:pStyle w:val="5"/>
        <w:numPr>
          <w:ilvl w:val="0"/>
          <w:numId w:val="39"/>
        </w:numPr>
        <w:bidi w:val="0"/>
        <w:rPr>
          <w:rFonts w:hint="eastAsia"/>
          <w:lang w:val="en-US" w:eastAsia="zh-CN"/>
        </w:rPr>
      </w:pPr>
      <w:bookmarkStart w:id="476" w:name="_Toc12965"/>
      <w:bookmarkStart w:id="477" w:name="_Toc9855"/>
      <w:r>
        <w:rPr>
          <w:rFonts w:hint="eastAsia"/>
          <w:lang w:val="en-US" w:eastAsia="zh-CN"/>
        </w:rPr>
        <w:t>抓住消费人口代际更迭</w:t>
      </w:r>
      <w:bookmarkEnd w:id="475"/>
      <w:r>
        <w:rPr>
          <w:rFonts w:hint="eastAsia"/>
          <w:lang w:val="en-US" w:eastAsia="zh-CN"/>
        </w:rPr>
        <w:t>，拥抱体验经济和互联网时代</w:t>
      </w:r>
      <w:bookmarkEnd w:id="476"/>
      <w:bookmarkEnd w:id="477"/>
    </w:p>
    <w:p>
      <w:pPr>
        <w:rPr>
          <w:rFonts w:hint="eastAsia"/>
          <w:lang w:val="en-US" w:eastAsia="zh-CN"/>
        </w:rPr>
      </w:pPr>
      <w:r>
        <w:rPr>
          <w:rFonts w:hint="eastAsia" w:ascii="仿宋_GB2312" w:eastAsia="仿宋_GB2312"/>
          <w:lang w:val="en-US" w:eastAsia="zh-CN"/>
        </w:rPr>
        <w:t>人口代际更迭</w:t>
      </w:r>
      <w:r>
        <w:rPr>
          <w:rFonts w:hint="eastAsia"/>
          <w:lang w:val="en-US" w:eastAsia="zh-CN"/>
        </w:rPr>
        <w:t>显著影响</w:t>
      </w:r>
      <w:r>
        <w:rPr>
          <w:rFonts w:hint="eastAsia" w:ascii="仿宋_GB2312" w:eastAsia="仿宋_GB2312"/>
          <w:lang w:val="en-US" w:eastAsia="zh-CN"/>
        </w:rPr>
        <w:t>旅游</w:t>
      </w:r>
      <w:r>
        <w:rPr>
          <w:rFonts w:hint="eastAsia"/>
          <w:lang w:val="en-US" w:eastAsia="zh-CN"/>
        </w:rPr>
        <w:t>市场，</w:t>
      </w:r>
      <w:r>
        <w:rPr>
          <w:rFonts w:hint="eastAsia" w:ascii="仿宋_GB2312" w:eastAsia="仿宋_GB2312"/>
          <w:lang w:val="en-US" w:eastAsia="zh-CN"/>
        </w:rPr>
        <w:t>年轻游客追求心理满足和个性表达，中老年游客注重出行品质和度假养生，旅游产品向个性化、定制化、体验化、功能化方向发展</w:t>
      </w:r>
      <w:r>
        <w:rPr>
          <w:rFonts w:hint="eastAsia"/>
          <w:lang w:val="en-US" w:eastAsia="zh-CN"/>
        </w:rPr>
        <w:t>，年轻群体消费特征更多地体现为“生活式激发、多元式决策、智能式前行、分享式评价”</w:t>
      </w:r>
      <w:r>
        <w:rPr>
          <w:rFonts w:hint="eastAsia" w:ascii="仿宋_GB2312" w:eastAsia="仿宋_GB2312"/>
          <w:lang w:val="en-US" w:eastAsia="zh-CN"/>
        </w:rPr>
        <w:t>。</w:t>
      </w:r>
      <w:r>
        <w:rPr>
          <w:rFonts w:hint="eastAsia"/>
          <w:lang w:val="en-US" w:eastAsia="zh-CN"/>
        </w:rPr>
        <w:t>微信、</w:t>
      </w:r>
      <w:r>
        <w:rPr>
          <w:rFonts w:hint="eastAsia" w:ascii="仿宋_GB2312" w:eastAsia="仿宋_GB2312"/>
          <w:lang w:val="en-US" w:eastAsia="zh-CN"/>
        </w:rPr>
        <w:t>抖音、快手、微博等社交APP</w:t>
      </w:r>
      <w:r>
        <w:rPr>
          <w:rFonts w:hint="eastAsia"/>
          <w:lang w:val="en-US" w:eastAsia="zh-CN"/>
        </w:rPr>
        <w:t>即时</w:t>
      </w:r>
      <w:r>
        <w:rPr>
          <w:rFonts w:hint="eastAsia" w:ascii="仿宋_GB2312" w:eastAsia="仿宋_GB2312"/>
          <w:lang w:val="en-US" w:eastAsia="zh-CN"/>
        </w:rPr>
        <w:t>分享成为</w:t>
      </w:r>
      <w:r>
        <w:rPr>
          <w:rFonts w:hint="eastAsia"/>
          <w:lang w:val="en-US" w:eastAsia="zh-CN"/>
        </w:rPr>
        <w:t>主流</w:t>
      </w:r>
      <w:r>
        <w:rPr>
          <w:rFonts w:hint="eastAsia" w:ascii="仿宋_GB2312" w:eastAsia="仿宋_GB2312"/>
          <w:lang w:val="en-US" w:eastAsia="zh-CN"/>
        </w:rPr>
        <w:t>，</w:t>
      </w:r>
      <w:r>
        <w:rPr>
          <w:rFonts w:hint="eastAsia"/>
          <w:lang w:val="en-US" w:eastAsia="zh-CN"/>
        </w:rPr>
        <w:t>每个鲜活个体的个性化体验需求迅猛增加，人们即是旅游产品的消费者、体验者，也是传播者、重塑者甚至创造者。</w:t>
      </w:r>
      <w:r>
        <w:rPr>
          <w:rFonts w:hint="eastAsia" w:ascii="仿宋_GB2312" w:eastAsia="仿宋_GB2312"/>
          <w:lang w:val="en-US" w:eastAsia="zh-CN"/>
        </w:rPr>
        <w:t>马蜂窝、驴妈妈</w:t>
      </w:r>
      <w:r>
        <w:rPr>
          <w:rFonts w:hint="eastAsia"/>
          <w:lang w:val="en-US" w:eastAsia="zh-CN"/>
        </w:rPr>
        <w:t>、</w:t>
      </w:r>
      <w:r>
        <w:rPr>
          <w:rFonts w:hint="eastAsia" w:ascii="仿宋_GB2312" w:eastAsia="仿宋_GB2312"/>
          <w:lang w:val="en-US" w:eastAsia="zh-CN"/>
        </w:rPr>
        <w:t>知乎、点评</w:t>
      </w:r>
      <w:r>
        <w:rPr>
          <w:rFonts w:hint="eastAsia"/>
          <w:lang w:val="en-US" w:eastAsia="zh-CN"/>
        </w:rPr>
        <w:t>等</w:t>
      </w:r>
      <w:r>
        <w:rPr>
          <w:rFonts w:hint="eastAsia" w:ascii="仿宋_GB2312" w:eastAsia="仿宋_GB2312"/>
          <w:lang w:val="en-US" w:eastAsia="zh-CN"/>
        </w:rPr>
        <w:t>UGC、PGC、OGC</w:t>
      </w:r>
      <w:r>
        <w:rPr>
          <w:rStyle w:val="27"/>
          <w:rFonts w:hint="eastAsia" w:ascii="Times New Roman" w:hAnsi="Times New Roman" w:eastAsia="宋体" w:cs="Times New Roman"/>
          <w:lang w:val="en-US" w:eastAsia="zh-CN"/>
        </w:rPr>
        <w:footnoteReference w:id="3"/>
      </w:r>
      <w:r>
        <w:rPr>
          <w:rFonts w:hint="eastAsia" w:ascii="仿宋_GB2312" w:eastAsia="仿宋_GB2312"/>
          <w:lang w:val="en-US" w:eastAsia="zh-CN"/>
        </w:rPr>
        <w:t>平台大行其道，成为重要的导流入口</w:t>
      </w:r>
      <w:r>
        <w:rPr>
          <w:rFonts w:hint="eastAsia"/>
          <w:lang w:val="en-US" w:eastAsia="zh-CN"/>
        </w:rPr>
        <w:t>，</w:t>
      </w:r>
      <w:r>
        <w:rPr>
          <w:rFonts w:hint="eastAsia" w:ascii="仿宋_GB2312" w:eastAsia="仿宋_GB2312"/>
          <w:lang w:val="en-US" w:eastAsia="zh-CN"/>
        </w:rPr>
        <w:t>消费者获取信息方式</w:t>
      </w:r>
      <w:r>
        <w:rPr>
          <w:rFonts w:hint="eastAsia"/>
          <w:lang w:val="en-US" w:eastAsia="zh-CN"/>
        </w:rPr>
        <w:t>和</w:t>
      </w:r>
      <w:r>
        <w:rPr>
          <w:rFonts w:hint="eastAsia" w:ascii="仿宋_GB2312" w:eastAsia="仿宋_GB2312"/>
          <w:lang w:val="en-US" w:eastAsia="zh-CN"/>
        </w:rPr>
        <w:t>旅游消费链接发生变化。围绕旅游消费新变化、新趋势，崖州</w:t>
      </w:r>
      <w:r>
        <w:rPr>
          <w:rFonts w:hint="eastAsia"/>
          <w:lang w:val="en-US" w:eastAsia="zh-CN"/>
        </w:rPr>
        <w:t>旅游</w:t>
      </w:r>
      <w:r>
        <w:rPr>
          <w:rFonts w:hint="eastAsia" w:ascii="仿宋_GB2312" w:eastAsia="仿宋_GB2312"/>
          <w:lang w:val="en-US" w:eastAsia="zh-CN"/>
        </w:rPr>
        <w:t>产业要</w:t>
      </w:r>
      <w:r>
        <w:rPr>
          <w:rFonts w:hint="eastAsia"/>
          <w:lang w:val="en-US" w:eastAsia="zh-CN"/>
        </w:rPr>
        <w:t>顺应时代发展而变。</w:t>
      </w:r>
    </w:p>
    <w:p>
      <w:pPr>
        <w:rPr>
          <w:rFonts w:hint="eastAsia" w:ascii="仿宋_GB2312" w:eastAsia="仿宋_GB2312"/>
          <w:lang w:val="en-US" w:eastAsia="zh-CN"/>
        </w:rPr>
      </w:pPr>
      <w:r>
        <w:rPr>
          <w:rFonts w:hint="eastAsia"/>
          <w:b/>
          <w:bCs/>
          <w:lang w:val="en-US" w:eastAsia="zh-CN"/>
        </w:rPr>
        <w:t>一是加快新项目进入，丰富旅游产品业态。</w:t>
      </w:r>
      <w:r>
        <w:rPr>
          <w:rFonts w:hint="eastAsia" w:ascii="仿宋_GB2312" w:eastAsia="仿宋_GB2312"/>
          <w:lang w:val="en-US" w:eastAsia="zh-CN"/>
        </w:rPr>
        <w:t>主题乐园、体育运动、</w:t>
      </w:r>
      <w:r>
        <w:rPr>
          <w:rFonts w:hint="eastAsia"/>
          <w:lang w:val="en-US" w:eastAsia="zh-CN"/>
        </w:rPr>
        <w:t>科普研学</w:t>
      </w:r>
      <w:r>
        <w:rPr>
          <w:rFonts w:hint="eastAsia" w:ascii="仿宋_GB2312" w:eastAsia="仿宋_GB2312"/>
          <w:lang w:val="en-US" w:eastAsia="zh-CN"/>
        </w:rPr>
        <w:t>项目更早地迎接80、90、00后主流客群</w:t>
      </w:r>
      <w:r>
        <w:rPr>
          <w:rFonts w:hint="eastAsia"/>
          <w:lang w:val="en-US" w:eastAsia="zh-CN"/>
        </w:rPr>
        <w:t>，</w:t>
      </w:r>
      <w:r>
        <w:rPr>
          <w:rFonts w:hint="eastAsia" w:ascii="仿宋_GB2312" w:eastAsia="仿宋_GB2312"/>
          <w:lang w:val="en-US" w:eastAsia="zh-CN"/>
        </w:rPr>
        <w:t>打造符合新世代消费者的</w:t>
      </w:r>
      <w:r>
        <w:rPr>
          <w:rFonts w:hint="eastAsia"/>
          <w:lang w:val="en-US" w:eastAsia="zh-CN"/>
        </w:rPr>
        <w:t>旅游</w:t>
      </w:r>
      <w:r>
        <w:rPr>
          <w:rFonts w:hint="eastAsia" w:ascii="仿宋_GB2312" w:eastAsia="仿宋_GB2312"/>
          <w:lang w:val="en-US" w:eastAsia="zh-CN"/>
        </w:rPr>
        <w:t>产品</w:t>
      </w:r>
      <w:r>
        <w:rPr>
          <w:rFonts w:hint="eastAsia"/>
          <w:lang w:val="en-US" w:eastAsia="zh-CN"/>
        </w:rPr>
        <w:t>，</w:t>
      </w:r>
      <w:r>
        <w:rPr>
          <w:rFonts w:hint="eastAsia" w:ascii="仿宋_GB2312" w:eastAsia="仿宋_GB2312"/>
          <w:lang w:val="en-US" w:eastAsia="zh-CN"/>
        </w:rPr>
        <w:t>坚信好的产品和服务从来不缺少消费者。</w:t>
      </w:r>
      <w:r>
        <w:rPr>
          <w:rFonts w:hint="eastAsia"/>
          <w:lang w:val="en-US" w:eastAsia="zh-CN"/>
        </w:rPr>
        <w:t>完善</w:t>
      </w:r>
      <w:r>
        <w:rPr>
          <w:rFonts w:hint="eastAsia" w:ascii="仿宋_GB2312" w:eastAsia="仿宋_GB2312"/>
          <w:lang w:val="en-US" w:eastAsia="zh-CN"/>
        </w:rPr>
        <w:t>崖州古城及周边历史景点</w:t>
      </w:r>
      <w:r>
        <w:rPr>
          <w:rFonts w:hint="eastAsia"/>
          <w:lang w:val="en-US" w:eastAsia="zh-CN"/>
        </w:rPr>
        <w:t>旅游</w:t>
      </w:r>
      <w:r>
        <w:rPr>
          <w:rFonts w:hint="eastAsia" w:ascii="仿宋_GB2312" w:eastAsia="仿宋_GB2312"/>
          <w:lang w:val="en-US" w:eastAsia="zh-CN"/>
        </w:rPr>
        <w:t>开发，重塑“崖州八景”，引入国内外主题乐园超级项目，发展沙滩运动体验游、科技研学亲子游</w:t>
      </w:r>
      <w:r>
        <w:rPr>
          <w:rFonts w:hint="eastAsia"/>
          <w:lang w:val="en-US" w:eastAsia="zh-CN"/>
        </w:rPr>
        <w:t>，尽快充实崖州旅游产品体系</w:t>
      </w:r>
      <w:r>
        <w:rPr>
          <w:rFonts w:hint="eastAsia" w:ascii="仿宋_GB2312" w:eastAsia="仿宋_GB2312"/>
          <w:lang w:val="en-US" w:eastAsia="zh-CN"/>
        </w:rPr>
        <w:t>。</w:t>
      </w:r>
    </w:p>
    <w:p>
      <w:pPr>
        <w:rPr>
          <w:rFonts w:hint="eastAsia"/>
          <w:lang w:val="en-US" w:eastAsia="zh-CN"/>
        </w:rPr>
      </w:pPr>
      <w:r>
        <w:rPr>
          <w:rFonts w:hint="eastAsia"/>
          <w:b/>
          <w:bCs/>
          <w:lang w:val="en-US" w:eastAsia="zh-CN"/>
        </w:rPr>
        <w:t>二是学会</w:t>
      </w:r>
      <w:r>
        <w:rPr>
          <w:rFonts w:hint="eastAsia" w:ascii="仿宋_GB2312" w:eastAsia="仿宋_GB2312"/>
          <w:b/>
          <w:bCs/>
          <w:lang w:val="en-US" w:eastAsia="zh-CN"/>
        </w:rPr>
        <w:t>玩转互联网营销</w:t>
      </w:r>
      <w:r>
        <w:rPr>
          <w:rFonts w:hint="eastAsia"/>
          <w:b/>
          <w:bCs/>
          <w:lang w:val="en-US" w:eastAsia="zh-CN"/>
        </w:rPr>
        <w:t>。</w:t>
      </w:r>
      <w:r>
        <w:rPr>
          <w:rFonts w:hint="eastAsia"/>
          <w:b w:val="0"/>
          <w:bCs w:val="0"/>
          <w:lang w:val="en-US" w:eastAsia="zh-CN"/>
        </w:rPr>
        <w:t>距离第一张4G牌照发放不过5年时间，消费者打造了一个又一个网红城市、网红景点、网红美食，不仅是一种消费现象，更是技术加持下的文化现象和社会现象。</w:t>
      </w:r>
      <w:r>
        <w:rPr>
          <w:rFonts w:hint="eastAsia" w:ascii="仿宋_GB2312" w:eastAsia="仿宋_GB2312"/>
          <w:lang w:val="en-US" w:eastAsia="zh-CN"/>
        </w:rPr>
        <w:t>崖州要勇于接纳新事物，敢用、会用移动互联网时代的新型传播营销手段方法</w:t>
      </w:r>
      <w:r>
        <w:rPr>
          <w:rFonts w:hint="eastAsia"/>
          <w:lang w:val="en-US" w:eastAsia="zh-CN"/>
        </w:rPr>
        <w:t>，</w:t>
      </w:r>
      <w:r>
        <w:rPr>
          <w:rFonts w:hint="eastAsia" w:ascii="仿宋_GB2312" w:eastAsia="仿宋_GB2312"/>
          <w:lang w:val="en-US" w:eastAsia="zh-CN"/>
        </w:rPr>
        <w:t>策划网络热点话题，打造网红景点，勇于成为网络时代新主角，</w:t>
      </w:r>
      <w:r>
        <w:rPr>
          <w:rFonts w:hint="eastAsia"/>
          <w:lang w:val="en-US" w:eastAsia="zh-CN"/>
        </w:rPr>
        <w:t>最终</w:t>
      </w:r>
      <w:r>
        <w:rPr>
          <w:rFonts w:hint="eastAsia" w:ascii="仿宋_GB2312" w:eastAsia="仿宋_GB2312"/>
          <w:lang w:val="en-US" w:eastAsia="zh-CN"/>
        </w:rPr>
        <w:t>占据互联网导流入口。玩转互联网营销，邀请网红明星推介</w:t>
      </w:r>
      <w:r>
        <w:rPr>
          <w:rFonts w:hint="eastAsia"/>
          <w:lang w:val="en-US" w:eastAsia="zh-CN"/>
        </w:rPr>
        <w:t>旅游产品实现</w:t>
      </w:r>
      <w:r>
        <w:rPr>
          <w:rFonts w:hint="eastAsia" w:ascii="仿宋_GB2312" w:eastAsia="仿宋_GB2312"/>
          <w:lang w:val="en-US" w:eastAsia="zh-CN"/>
        </w:rPr>
        <w:t>流量变现，支持短视频团队策划制作崖州旅游产品项目短视频，与UGC类互联网内容平台合作策划热点话题，以更立体、更丰满的产品服务呈现在新世代消费者面前。</w:t>
      </w:r>
    </w:p>
    <w:p>
      <w:pPr>
        <w:pStyle w:val="5"/>
        <w:numPr>
          <w:ilvl w:val="0"/>
          <w:numId w:val="39"/>
        </w:numPr>
        <w:bidi w:val="0"/>
        <w:rPr>
          <w:rFonts w:hint="default"/>
          <w:lang w:val="en-US" w:eastAsia="zh-CN"/>
        </w:rPr>
      </w:pPr>
      <w:bookmarkStart w:id="478" w:name="_Toc7005"/>
      <w:bookmarkStart w:id="479" w:name="_Toc17009"/>
      <w:bookmarkStart w:id="480" w:name="_Toc14619"/>
      <w:r>
        <w:rPr>
          <w:rFonts w:hint="eastAsia"/>
          <w:lang w:val="en-US" w:eastAsia="zh-CN"/>
        </w:rPr>
        <w:t>建设全域覆盖的“服务中心+服务站”和旅游交通网</w:t>
      </w:r>
      <w:bookmarkEnd w:id="478"/>
      <w:bookmarkEnd w:id="479"/>
      <w:bookmarkEnd w:id="480"/>
    </w:p>
    <w:p>
      <w:pPr>
        <w:rPr>
          <w:rFonts w:hint="default"/>
          <w:lang w:val="en-US" w:eastAsia="zh-CN"/>
        </w:rPr>
      </w:pPr>
      <w:r>
        <w:rPr>
          <w:rFonts w:hint="eastAsia"/>
          <w:b/>
          <w:bCs/>
          <w:lang w:val="en-US" w:eastAsia="zh-CN"/>
        </w:rPr>
        <w:t>一是适时推进建设3个旅游服务中心。</w:t>
      </w:r>
      <w:r>
        <w:rPr>
          <w:rFonts w:hint="eastAsia"/>
          <w:b w:val="0"/>
          <w:bCs w:val="0"/>
          <w:lang w:val="en-US" w:eastAsia="zh-CN"/>
        </w:rPr>
        <w:t>近期</w:t>
      </w:r>
      <w:r>
        <w:rPr>
          <w:rFonts w:hint="eastAsia" w:ascii="仿宋_GB2312" w:eastAsia="仿宋_GB2312"/>
          <w:lang w:val="en-US" w:eastAsia="zh-CN"/>
        </w:rPr>
        <w:t>加快建</w:t>
      </w:r>
      <w:r>
        <w:rPr>
          <w:rFonts w:hint="eastAsia" w:ascii="仿宋_GB2312" w:eastAsia="仿宋_GB2312"/>
          <w:b w:val="0"/>
          <w:bCs w:val="0"/>
          <w:lang w:val="en-US" w:eastAsia="zh-CN"/>
        </w:rPr>
        <w:t>设</w:t>
      </w:r>
      <w:r>
        <w:rPr>
          <w:rFonts w:hint="default"/>
          <w:b w:val="0"/>
          <w:bCs w:val="0"/>
          <w:lang w:val="en-US" w:eastAsia="zh-CN"/>
        </w:rPr>
        <w:t>崖州</w:t>
      </w:r>
      <w:r>
        <w:rPr>
          <w:rFonts w:hint="eastAsia" w:ascii="仿宋_GB2312" w:eastAsia="仿宋_GB2312"/>
          <w:b w:val="0"/>
          <w:bCs w:val="0"/>
          <w:lang w:val="en-US" w:eastAsia="zh-CN"/>
        </w:rPr>
        <w:t>站</w:t>
      </w:r>
      <w:r>
        <w:rPr>
          <w:rFonts w:hint="default"/>
          <w:b w:val="0"/>
          <w:bCs w:val="0"/>
          <w:lang w:val="en-US" w:eastAsia="zh-CN"/>
        </w:rPr>
        <w:t>旅游服务中心，</w:t>
      </w:r>
      <w:r>
        <w:rPr>
          <w:rFonts w:hint="eastAsia"/>
          <w:b w:val="0"/>
          <w:bCs w:val="0"/>
          <w:lang w:val="en-US" w:eastAsia="zh-CN"/>
        </w:rPr>
        <w:t>根据</w:t>
      </w:r>
      <w:r>
        <w:rPr>
          <w:rFonts w:hint="eastAsia" w:ascii="仿宋_GB2312" w:eastAsia="仿宋_GB2312"/>
          <w:b w:val="0"/>
          <w:bCs w:val="0"/>
          <w:lang w:val="en-US" w:eastAsia="zh-CN"/>
        </w:rPr>
        <w:t>三亚至乐东城际快轨项目</w:t>
      </w:r>
      <w:r>
        <w:rPr>
          <w:rFonts w:hint="eastAsia"/>
          <w:b w:val="0"/>
          <w:bCs w:val="0"/>
          <w:lang w:val="en-US" w:eastAsia="zh-CN"/>
        </w:rPr>
        <w:t>进度</w:t>
      </w:r>
      <w:r>
        <w:rPr>
          <w:rFonts w:hint="eastAsia" w:ascii="仿宋_GB2312" w:eastAsia="仿宋_GB2312"/>
          <w:b w:val="0"/>
          <w:bCs w:val="0"/>
          <w:lang w:val="en-US" w:eastAsia="zh-CN"/>
        </w:rPr>
        <w:t>建设南山北站旅游服务中心，</w:t>
      </w:r>
      <w:r>
        <w:rPr>
          <w:rFonts w:hint="eastAsia"/>
          <w:b w:val="0"/>
          <w:bCs w:val="0"/>
          <w:lang w:val="en-US" w:eastAsia="zh-CN"/>
        </w:rPr>
        <w:t>根据</w:t>
      </w:r>
      <w:r>
        <w:rPr>
          <w:rFonts w:hint="eastAsia" w:ascii="仿宋_GB2312" w:eastAsia="仿宋_GB2312"/>
          <w:b w:val="0"/>
          <w:bCs w:val="0"/>
          <w:lang w:val="en-US" w:eastAsia="zh-CN"/>
        </w:rPr>
        <w:t>环岛旅游公路项目</w:t>
      </w:r>
      <w:r>
        <w:rPr>
          <w:rFonts w:hint="eastAsia"/>
          <w:b w:val="0"/>
          <w:bCs w:val="0"/>
          <w:lang w:val="en-US" w:eastAsia="zh-CN"/>
        </w:rPr>
        <w:t>进度</w:t>
      </w:r>
      <w:r>
        <w:rPr>
          <w:rFonts w:hint="eastAsia" w:ascii="仿宋_GB2312" w:eastAsia="仿宋_GB2312"/>
          <w:b w:val="0"/>
          <w:bCs w:val="0"/>
          <w:lang w:val="en-US" w:eastAsia="zh-CN"/>
        </w:rPr>
        <w:t>建设“崖州红韵”公路驿站旅游服务中心</w:t>
      </w:r>
      <w:r>
        <w:rPr>
          <w:rFonts w:hint="eastAsia"/>
          <w:b w:val="0"/>
          <w:bCs w:val="0"/>
          <w:lang w:val="en-US" w:eastAsia="zh-CN"/>
        </w:rPr>
        <w:t>。旅游</w:t>
      </w:r>
      <w:r>
        <w:rPr>
          <w:rFonts w:hint="eastAsia" w:ascii="仿宋_GB2312" w:eastAsia="仿宋_GB2312"/>
          <w:b w:val="0"/>
          <w:bCs w:val="0"/>
          <w:lang w:val="en-US" w:eastAsia="zh-CN"/>
        </w:rPr>
        <w:t>服务中心</w:t>
      </w:r>
      <w:r>
        <w:rPr>
          <w:rFonts w:hint="default"/>
          <w:b w:val="0"/>
          <w:bCs w:val="0"/>
          <w:lang w:val="en-US" w:eastAsia="zh-CN"/>
        </w:rPr>
        <w:t>集旅游、服务、展示、咨询、票务、交通、投诉受理为一体，</w:t>
      </w:r>
      <w:r>
        <w:rPr>
          <w:rFonts w:hint="eastAsia"/>
          <w:b w:val="0"/>
          <w:bCs w:val="0"/>
          <w:lang w:val="en-US" w:eastAsia="zh-CN"/>
        </w:rPr>
        <w:t>配建</w:t>
      </w:r>
      <w:r>
        <w:rPr>
          <w:rFonts w:hint="default"/>
          <w:b w:val="0"/>
          <w:bCs w:val="0"/>
          <w:lang w:val="en-US" w:eastAsia="zh-CN"/>
        </w:rPr>
        <w:t>自行车及汽车租赁、</w:t>
      </w:r>
      <w:r>
        <w:rPr>
          <w:rFonts w:hint="eastAsia" w:ascii="仿宋_GB2312" w:eastAsia="仿宋_GB2312"/>
          <w:lang w:val="en-US" w:eastAsia="zh-CN"/>
        </w:rPr>
        <w:t>充电桩、</w:t>
      </w:r>
      <w:r>
        <w:rPr>
          <w:rFonts w:hint="default"/>
          <w:lang w:val="en-US" w:eastAsia="zh-CN"/>
        </w:rPr>
        <w:t>旅游巴士停靠</w:t>
      </w:r>
      <w:r>
        <w:rPr>
          <w:rFonts w:hint="eastAsia" w:ascii="仿宋_GB2312" w:eastAsia="仿宋_GB2312"/>
          <w:lang w:val="en-US" w:eastAsia="zh-CN"/>
        </w:rPr>
        <w:t>等设施，公路驿站额外配套房车营地、观光休闲、餐饮等设施，</w:t>
      </w:r>
      <w:r>
        <w:rPr>
          <w:rFonts w:hint="default"/>
          <w:lang w:val="en-US" w:eastAsia="zh-CN"/>
        </w:rPr>
        <w:t>形成全区旅游集散服务“神经中枢”。</w:t>
      </w:r>
    </w:p>
    <w:p>
      <w:pPr>
        <w:rPr>
          <w:rFonts w:hint="default"/>
          <w:lang w:val="en-US" w:eastAsia="zh-CN"/>
        </w:rPr>
      </w:pPr>
      <w:r>
        <w:rPr>
          <w:rFonts w:hint="eastAsia"/>
          <w:b/>
          <w:bCs/>
          <w:lang w:val="en-US" w:eastAsia="zh-CN"/>
        </w:rPr>
        <w:t>二是推进建设旅游服务站。</w:t>
      </w:r>
      <w:r>
        <w:rPr>
          <w:rFonts w:hint="eastAsia"/>
          <w:b w:val="0"/>
          <w:bCs w:val="0"/>
          <w:lang w:val="en-US" w:eastAsia="zh-CN"/>
        </w:rPr>
        <w:t>近中期</w:t>
      </w:r>
      <w:r>
        <w:rPr>
          <w:rFonts w:hint="eastAsia" w:ascii="仿宋_GB2312" w:eastAsia="仿宋_GB2312"/>
          <w:lang w:val="en-US" w:eastAsia="zh-CN"/>
        </w:rPr>
        <w:t>在崖州古城、中心渔港等重要景点建设</w:t>
      </w:r>
      <w:r>
        <w:rPr>
          <w:rFonts w:hint="default"/>
          <w:lang w:val="en-US" w:eastAsia="zh-CN"/>
        </w:rPr>
        <w:t>旅游服务</w:t>
      </w:r>
      <w:r>
        <w:rPr>
          <w:rFonts w:hint="eastAsia" w:ascii="仿宋_GB2312" w:eastAsia="仿宋_GB2312"/>
          <w:lang w:val="en-US" w:eastAsia="zh-CN"/>
        </w:rPr>
        <w:t>站</w:t>
      </w:r>
      <w:r>
        <w:rPr>
          <w:rFonts w:hint="default"/>
          <w:lang w:val="en-US" w:eastAsia="zh-CN"/>
        </w:rPr>
        <w:t>，</w:t>
      </w:r>
      <w:r>
        <w:rPr>
          <w:rFonts w:hint="eastAsia"/>
          <w:lang w:val="en-US" w:eastAsia="zh-CN"/>
        </w:rPr>
        <w:t>中</w:t>
      </w:r>
      <w:r>
        <w:rPr>
          <w:rFonts w:hint="eastAsia" w:ascii="仿宋_GB2312" w:eastAsia="仿宋_GB2312"/>
          <w:lang w:val="en-US" w:eastAsia="zh-CN"/>
        </w:rPr>
        <w:t>远期适时在科技城公交枢纽站、三亚至乐东城际快轨</w:t>
      </w:r>
      <w:r>
        <w:rPr>
          <w:rFonts w:hint="default"/>
          <w:lang w:val="en-US" w:eastAsia="zh-CN"/>
        </w:rPr>
        <w:t>镇海站、龙栖湾东站、三亚科技城站</w:t>
      </w:r>
      <w:r>
        <w:rPr>
          <w:rFonts w:hint="eastAsia" w:ascii="仿宋_GB2312" w:eastAsia="仿宋_GB2312"/>
          <w:lang w:val="en-US" w:eastAsia="zh-CN"/>
        </w:rPr>
        <w:t>建设旅游服务站，</w:t>
      </w:r>
      <w:r>
        <w:rPr>
          <w:rFonts w:hint="default"/>
          <w:lang w:val="en-US" w:eastAsia="zh-CN"/>
        </w:rPr>
        <w:t>主要承载交通集散功能</w:t>
      </w:r>
      <w:r>
        <w:rPr>
          <w:rFonts w:hint="eastAsia" w:ascii="仿宋_GB2312" w:eastAsia="仿宋_GB2312"/>
          <w:lang w:val="en-US" w:eastAsia="zh-CN"/>
        </w:rPr>
        <w:t>，</w:t>
      </w:r>
      <w:r>
        <w:rPr>
          <w:rFonts w:hint="default"/>
          <w:lang w:val="en-US" w:eastAsia="zh-CN"/>
        </w:rPr>
        <w:t>配套旅游咨询、售票、车辆停靠、自行车及汽车租赁、</w:t>
      </w:r>
      <w:r>
        <w:rPr>
          <w:rFonts w:hint="eastAsia" w:ascii="仿宋_GB2312" w:eastAsia="仿宋_GB2312"/>
          <w:lang w:val="en-US" w:eastAsia="zh-CN"/>
        </w:rPr>
        <w:t>充电桩、</w:t>
      </w:r>
      <w:r>
        <w:rPr>
          <w:rFonts w:hint="default"/>
          <w:lang w:val="en-US" w:eastAsia="zh-CN"/>
        </w:rPr>
        <w:t>酒店预订、商品售卖、投诉服务等</w:t>
      </w:r>
      <w:r>
        <w:rPr>
          <w:rFonts w:hint="eastAsia" w:ascii="仿宋_GB2312" w:eastAsia="仿宋_GB2312"/>
          <w:lang w:val="en-US" w:eastAsia="zh-CN"/>
        </w:rPr>
        <w:t>功能</w:t>
      </w:r>
      <w:r>
        <w:rPr>
          <w:rFonts w:hint="default"/>
          <w:lang w:val="en-US" w:eastAsia="zh-CN"/>
        </w:rPr>
        <w:t>。</w:t>
      </w:r>
    </w:p>
    <w:p>
      <w:pPr>
        <w:rPr>
          <w:rFonts w:hint="eastAsia" w:ascii="仿宋_GB2312" w:eastAsia="仿宋_GB2312"/>
          <w:lang w:val="en-US" w:eastAsia="zh-CN"/>
        </w:rPr>
      </w:pPr>
      <w:bookmarkStart w:id="481" w:name="_Toc9598"/>
      <w:r>
        <w:rPr>
          <w:rFonts w:hint="eastAsia"/>
          <w:b/>
          <w:bCs/>
          <w:lang w:val="en-US" w:eastAsia="zh-CN"/>
        </w:rPr>
        <w:t>三是构建“两线多点”全域旅游交通网络</w:t>
      </w:r>
      <w:bookmarkEnd w:id="481"/>
      <w:r>
        <w:rPr>
          <w:rFonts w:hint="eastAsia"/>
          <w:b/>
          <w:bCs/>
          <w:lang w:val="en-US" w:eastAsia="zh-CN"/>
        </w:rPr>
        <w:t>。</w:t>
      </w:r>
      <w:bookmarkStart w:id="482" w:name="_Hlk22584429"/>
      <w:r>
        <w:rPr>
          <w:rFonts w:hint="eastAsia" w:ascii="仿宋_GB2312" w:eastAsia="仿宋_GB2312"/>
          <w:lang w:val="en-US" w:eastAsia="zh-CN"/>
        </w:rPr>
        <w:t>崖州距离三亚主城区较远，目前自由行游客进出崖州主要依赖高铁，以崖州站为进出枢纽，区内景点间交通联系以公交车、网约车为主。三亚至乐东城际快轨穿过崖州全境，在崖州区内设置5座车站，自东向西依次为南山北站、三亚科技城站、崖州站、镇海站、龙栖湾东站。海南环岛旅游公路及驿站定位姓“旅”不姓“交”，崖州段以225国道为基础改造升级，在梅联段建设“崖州红韵”公路驿站。近期加快完善</w:t>
      </w:r>
      <w:r>
        <w:rPr>
          <w:rFonts w:hint="eastAsia"/>
          <w:lang w:val="en-US" w:eastAsia="zh-CN"/>
        </w:rPr>
        <w:t>崖州</w:t>
      </w:r>
      <w:r>
        <w:rPr>
          <w:rFonts w:hint="eastAsia" w:ascii="仿宋_GB2312" w:eastAsia="仿宋_GB2312"/>
          <w:lang w:val="en-US" w:eastAsia="zh-CN"/>
        </w:rPr>
        <w:t>站到主要景点景区的无缝衔接，方便自由行游客。中期以城际快轨和环岛旅游公路为骨干，以快轨5个站点</w:t>
      </w:r>
      <w:r>
        <w:rPr>
          <w:rFonts w:hint="eastAsia"/>
          <w:lang w:val="en-US" w:eastAsia="zh-CN"/>
        </w:rPr>
        <w:t>和</w:t>
      </w:r>
      <w:r>
        <w:rPr>
          <w:rFonts w:hint="eastAsia" w:ascii="仿宋_GB2312" w:eastAsia="仿宋_GB2312"/>
          <w:lang w:val="en-US" w:eastAsia="zh-CN"/>
        </w:rPr>
        <w:t>古城、渔港、角头、科技城、南滨、南山、大小洞天、公路驿站为节点，以美丽乡村节点为补充，构建“两线多点”全域旅游交通网络，形成城轨+公交+汽车/电动车租赁+网约车的“旅游直通车”公共交通服务体系。</w:t>
      </w:r>
    </w:p>
    <w:bookmarkEnd w:id="482"/>
    <w:p>
      <w:pPr>
        <w:pStyle w:val="4"/>
        <w:bidi w:val="0"/>
        <w:rPr>
          <w:rFonts w:hint="default"/>
          <w:lang w:val="en-US" w:eastAsia="zh-CN"/>
        </w:rPr>
      </w:pPr>
      <w:bookmarkStart w:id="483" w:name="_Toc30490"/>
      <w:bookmarkStart w:id="484" w:name="_Toc26093"/>
      <w:bookmarkStart w:id="485" w:name="_Toc27214"/>
      <w:r>
        <w:rPr>
          <w:rFonts w:hint="eastAsia"/>
          <w:lang w:val="en-US" w:eastAsia="zh-CN"/>
        </w:rPr>
        <w:t>二、商贸物流服务业发展路径</w:t>
      </w:r>
      <w:bookmarkEnd w:id="483"/>
      <w:bookmarkEnd w:id="484"/>
      <w:bookmarkEnd w:id="485"/>
    </w:p>
    <w:p>
      <w:pPr>
        <w:pStyle w:val="5"/>
        <w:numPr>
          <w:ilvl w:val="0"/>
          <w:numId w:val="39"/>
        </w:numPr>
        <w:bidi w:val="0"/>
        <w:rPr>
          <w:rFonts w:hint="default"/>
          <w:lang w:val="en-US" w:eastAsia="zh-CN"/>
        </w:rPr>
      </w:pPr>
      <w:bookmarkStart w:id="486" w:name="_Toc31196"/>
      <w:bookmarkStart w:id="487" w:name="_Toc5202"/>
      <w:bookmarkStart w:id="488" w:name="_Toc23843"/>
      <w:r>
        <w:rPr>
          <w:rFonts w:hint="eastAsia"/>
          <w:lang w:val="en-US" w:eastAsia="zh-CN"/>
        </w:rPr>
        <w:t>用好自贸港政策，把全国物流网最南端的劣势变为机遇</w:t>
      </w:r>
      <w:bookmarkEnd w:id="486"/>
      <w:bookmarkEnd w:id="487"/>
      <w:bookmarkEnd w:id="488"/>
    </w:p>
    <w:p>
      <w:pPr>
        <w:rPr>
          <w:rFonts w:hint="eastAsia" w:ascii="仿宋_GB2312" w:eastAsia="仿宋_GB2312"/>
          <w:lang w:val="en-US" w:eastAsia="zh-CN"/>
        </w:rPr>
      </w:pPr>
      <w:r>
        <w:rPr>
          <w:rFonts w:hint="default"/>
          <w:lang w:val="en-US" w:eastAsia="zh-CN"/>
        </w:rPr>
        <w:t>崖州</w:t>
      </w:r>
      <w:r>
        <w:rPr>
          <w:rFonts w:hint="eastAsia"/>
          <w:lang w:val="en-US" w:eastAsia="zh-CN"/>
        </w:rPr>
        <w:t>有</w:t>
      </w:r>
      <w:r>
        <w:rPr>
          <w:rFonts w:hint="default"/>
          <w:lang w:val="en-US" w:eastAsia="zh-CN"/>
        </w:rPr>
        <w:t>中国最南</w:t>
      </w:r>
      <w:r>
        <w:rPr>
          <w:rFonts w:hint="eastAsia" w:ascii="仿宋_GB2312" w:eastAsia="仿宋_GB2312"/>
          <w:lang w:val="en-US" w:eastAsia="zh-CN"/>
        </w:rPr>
        <w:t>的</w:t>
      </w:r>
      <w:r>
        <w:rPr>
          <w:rFonts w:hint="eastAsia"/>
          <w:lang w:val="en-US" w:eastAsia="zh-CN"/>
        </w:rPr>
        <w:t>农产品交易中心（三亚崖州果蔬综合批发市场）和最南的水产品交易中心（三亚崖州中心渔港），</w:t>
      </w:r>
      <w:r>
        <w:rPr>
          <w:rFonts w:hint="eastAsia" w:ascii="仿宋_GB2312" w:eastAsia="仿宋_GB2312"/>
          <w:lang w:val="en-US" w:eastAsia="zh-CN"/>
        </w:rPr>
        <w:t>尽管远离</w:t>
      </w:r>
      <w:r>
        <w:rPr>
          <w:rFonts w:hint="eastAsia" w:ascii="仿宋_GB2312" w:eastAsia="仿宋_GB2312"/>
          <w:b w:val="0"/>
          <w:bCs w:val="0"/>
          <w:lang w:val="en-US" w:eastAsia="zh-CN"/>
        </w:rPr>
        <w:t>全国物流网络中心，但十分深入</w:t>
      </w:r>
      <w:r>
        <w:rPr>
          <w:rFonts w:hint="default"/>
          <w:b w:val="0"/>
          <w:bCs w:val="0"/>
          <w:lang w:val="en-US" w:eastAsia="zh-CN"/>
        </w:rPr>
        <w:t>亚太</w:t>
      </w:r>
      <w:r>
        <w:rPr>
          <w:rFonts w:hint="eastAsia" w:ascii="仿宋_GB2312" w:eastAsia="仿宋_GB2312"/>
          <w:b w:val="0"/>
          <w:bCs w:val="0"/>
          <w:lang w:val="en-US" w:eastAsia="zh-CN"/>
        </w:rPr>
        <w:t>，是</w:t>
      </w:r>
      <w:r>
        <w:rPr>
          <w:rFonts w:hint="eastAsia"/>
          <w:b w:val="0"/>
          <w:bCs w:val="0"/>
          <w:lang w:val="en-US" w:eastAsia="zh-CN"/>
        </w:rPr>
        <w:t>中国</w:t>
      </w:r>
      <w:r>
        <w:rPr>
          <w:rFonts w:hint="default"/>
          <w:b w:val="0"/>
          <w:bCs w:val="0"/>
          <w:lang w:val="en-US" w:eastAsia="zh-CN"/>
        </w:rPr>
        <w:t>最</w:t>
      </w:r>
      <w:r>
        <w:rPr>
          <w:rFonts w:hint="eastAsia"/>
          <w:b w:val="0"/>
          <w:bCs w:val="0"/>
          <w:lang w:val="en-US" w:eastAsia="zh-CN"/>
        </w:rPr>
        <w:t>深入南海、最</w:t>
      </w:r>
      <w:r>
        <w:rPr>
          <w:rFonts w:hint="default"/>
          <w:b w:val="0"/>
          <w:bCs w:val="0"/>
          <w:lang w:val="en-US" w:eastAsia="zh-CN"/>
        </w:rPr>
        <w:t>靠近</w:t>
      </w:r>
      <w:r>
        <w:rPr>
          <w:rFonts w:hint="eastAsia"/>
          <w:b w:val="0"/>
          <w:bCs w:val="0"/>
          <w:lang w:val="en-US" w:eastAsia="zh-CN"/>
        </w:rPr>
        <w:t>东南亚</w:t>
      </w:r>
      <w:r>
        <w:rPr>
          <w:rFonts w:hint="eastAsia" w:ascii="仿宋_GB2312" w:eastAsia="仿宋_GB2312"/>
          <w:b w:val="0"/>
          <w:bCs w:val="0"/>
          <w:lang w:val="en-US" w:eastAsia="zh-CN"/>
        </w:rPr>
        <w:t>国家的</w:t>
      </w:r>
      <w:r>
        <w:rPr>
          <w:rFonts w:hint="default"/>
          <w:b w:val="0"/>
          <w:bCs w:val="0"/>
          <w:lang w:val="en-US" w:eastAsia="zh-CN"/>
        </w:rPr>
        <w:t>物流</w:t>
      </w:r>
      <w:r>
        <w:rPr>
          <w:rFonts w:hint="eastAsia" w:ascii="仿宋_GB2312" w:eastAsia="仿宋_GB2312"/>
          <w:b w:val="0"/>
          <w:bCs w:val="0"/>
          <w:lang w:val="en-US" w:eastAsia="zh-CN"/>
        </w:rPr>
        <w:t>节点</w:t>
      </w:r>
      <w:r>
        <w:rPr>
          <w:rFonts w:hint="eastAsia"/>
          <w:b w:val="0"/>
          <w:bCs w:val="0"/>
          <w:lang w:val="en-US" w:eastAsia="zh-CN"/>
        </w:rPr>
        <w:t>，是中国最南端的物流桥头堡</w:t>
      </w:r>
      <w:r>
        <w:rPr>
          <w:rFonts w:hint="default"/>
          <w:b w:val="0"/>
          <w:bCs w:val="0"/>
          <w:lang w:val="en-US" w:eastAsia="zh-CN"/>
        </w:rPr>
        <w:t>。</w:t>
      </w:r>
      <w:r>
        <w:rPr>
          <w:rFonts w:hint="eastAsia" w:ascii="仿宋_GB2312" w:eastAsia="仿宋_GB2312"/>
          <w:lang w:val="en-US" w:eastAsia="zh-CN"/>
        </w:rPr>
        <w:t>崖州要发挥自贸港优势</w:t>
      </w:r>
      <w:r>
        <w:rPr>
          <w:rFonts w:hint="default"/>
          <w:lang w:val="en-US" w:eastAsia="zh-CN"/>
        </w:rPr>
        <w:t>，</w:t>
      </w:r>
      <w:r>
        <w:rPr>
          <w:rFonts w:hint="eastAsia"/>
          <w:lang w:val="en-US" w:eastAsia="zh-CN"/>
        </w:rPr>
        <w:t>“</w:t>
      </w:r>
      <w:r>
        <w:rPr>
          <w:rFonts w:hint="eastAsia" w:ascii="仿宋_GB2312" w:eastAsia="仿宋_GB2312"/>
          <w:lang w:val="en-US" w:eastAsia="zh-CN"/>
        </w:rPr>
        <w:t>转换思路、转变打法、转身向</w:t>
      </w:r>
      <w:r>
        <w:rPr>
          <w:rFonts w:hint="eastAsia"/>
          <w:lang w:val="en-US" w:eastAsia="zh-CN"/>
        </w:rPr>
        <w:t>南”</w:t>
      </w:r>
      <w:r>
        <w:rPr>
          <w:rFonts w:hint="eastAsia" w:ascii="仿宋_GB2312" w:eastAsia="仿宋_GB2312"/>
          <w:lang w:val="en-US" w:eastAsia="zh-CN"/>
        </w:rPr>
        <w:t>，用好自贸港</w:t>
      </w:r>
      <w:r>
        <w:rPr>
          <w:rFonts w:hint="eastAsia"/>
          <w:lang w:val="en-US" w:eastAsia="zh-CN"/>
        </w:rPr>
        <w:t>政策</w:t>
      </w:r>
      <w:r>
        <w:rPr>
          <w:rFonts w:hint="eastAsia" w:ascii="仿宋_GB2312" w:eastAsia="仿宋_GB2312"/>
          <w:lang w:val="en-US" w:eastAsia="zh-CN"/>
        </w:rPr>
        <w:t>，</w:t>
      </w:r>
      <w:r>
        <w:rPr>
          <w:rFonts w:hint="default"/>
          <w:lang w:val="en-US" w:eastAsia="zh-CN"/>
        </w:rPr>
        <w:t>把崖州从中国最南的“盲端”变为内外联络的“枢纽”</w:t>
      </w:r>
      <w:r>
        <w:rPr>
          <w:rFonts w:hint="eastAsia" w:ascii="仿宋_GB2312" w:eastAsia="仿宋_GB2312"/>
          <w:lang w:val="en-US" w:eastAsia="zh-CN"/>
        </w:rPr>
        <w:t>，积极争取</w:t>
      </w:r>
      <w:r>
        <w:rPr>
          <w:rFonts w:hint="eastAsia"/>
          <w:lang w:val="en-US" w:eastAsia="zh-CN"/>
        </w:rPr>
        <w:t>“早期安排、早期收获”</w:t>
      </w:r>
      <w:r>
        <w:rPr>
          <w:rFonts w:hint="eastAsia" w:ascii="仿宋_GB2312" w:eastAsia="仿宋_GB2312"/>
          <w:lang w:val="en-US" w:eastAsia="zh-CN"/>
        </w:rPr>
        <w:t>。</w:t>
      </w:r>
    </w:p>
    <w:p>
      <w:pPr>
        <w:rPr>
          <w:rFonts w:hint="eastAsia" w:ascii="仿宋_GB2312" w:eastAsia="仿宋_GB2312"/>
          <w:lang w:val="en-US" w:eastAsia="zh-CN"/>
        </w:rPr>
      </w:pPr>
      <w:r>
        <w:rPr>
          <w:rFonts w:hint="eastAsia"/>
          <w:b/>
          <w:bCs/>
          <w:lang w:val="en-US" w:eastAsia="zh-CN"/>
        </w:rPr>
        <w:t>一</w:t>
      </w:r>
      <w:r>
        <w:rPr>
          <w:rFonts w:hint="eastAsia" w:ascii="仿宋_GB2312" w:eastAsia="仿宋_GB2312"/>
          <w:b/>
          <w:bCs/>
          <w:lang w:val="en-US" w:eastAsia="zh-CN"/>
        </w:rPr>
        <w:t>是在崖州中心渔港</w:t>
      </w:r>
      <w:r>
        <w:rPr>
          <w:rFonts w:hint="eastAsia"/>
          <w:b/>
          <w:bCs/>
          <w:lang w:val="en-US" w:eastAsia="zh-CN"/>
        </w:rPr>
        <w:t>发展国际水产品交易。</w:t>
      </w:r>
      <w:r>
        <w:rPr>
          <w:rFonts w:hint="eastAsia" w:ascii="仿宋_GB2312" w:eastAsia="仿宋_GB2312"/>
          <w:lang w:val="en-US" w:eastAsia="zh-CN"/>
        </w:rPr>
        <w:t>建设自贸港</w:t>
      </w:r>
      <w:r>
        <w:rPr>
          <w:rFonts w:hint="eastAsia"/>
          <w:lang w:val="en-US" w:eastAsia="zh-CN"/>
        </w:rPr>
        <w:t>背景下的</w:t>
      </w:r>
      <w:r>
        <w:rPr>
          <w:rFonts w:hint="eastAsia" w:ascii="仿宋_GB2312" w:eastAsia="仿宋_GB2312"/>
          <w:lang w:val="en-US" w:eastAsia="zh-CN"/>
        </w:rPr>
        <w:t>国际</w:t>
      </w:r>
      <w:r>
        <w:rPr>
          <w:rFonts w:hint="eastAsia"/>
          <w:lang w:val="en-US" w:eastAsia="zh-CN"/>
        </w:rPr>
        <w:t>海洋</w:t>
      </w:r>
      <w:r>
        <w:rPr>
          <w:rFonts w:hint="eastAsia" w:ascii="仿宋_GB2312" w:eastAsia="仿宋_GB2312"/>
          <w:lang w:val="en-US" w:eastAsia="zh-CN"/>
        </w:rPr>
        <w:t>渔业交易中心</w:t>
      </w:r>
      <w:r>
        <w:rPr>
          <w:rFonts w:hint="eastAsia"/>
          <w:lang w:val="en-US" w:eastAsia="zh-CN"/>
        </w:rPr>
        <w:t>，</w:t>
      </w:r>
      <w:r>
        <w:rPr>
          <w:rFonts w:hint="eastAsia" w:ascii="仿宋_GB2312" w:eastAsia="仿宋_GB2312"/>
          <w:lang w:val="en-US" w:eastAsia="zh-CN"/>
        </w:rPr>
        <w:t>发展</w:t>
      </w:r>
      <w:r>
        <w:rPr>
          <w:rFonts w:hint="eastAsia"/>
          <w:lang w:val="en-US" w:eastAsia="zh-CN"/>
        </w:rPr>
        <w:t>水产品进出口</w:t>
      </w:r>
      <w:r>
        <w:rPr>
          <w:rFonts w:hint="eastAsia" w:ascii="仿宋_GB2312" w:eastAsia="仿宋_GB2312"/>
          <w:lang w:val="en-US" w:eastAsia="zh-CN"/>
        </w:rPr>
        <w:t>贸易、</w:t>
      </w:r>
      <w:r>
        <w:rPr>
          <w:rFonts w:hint="eastAsia"/>
          <w:lang w:val="en-US" w:eastAsia="zh-CN"/>
        </w:rPr>
        <w:t>保税仓储中转、现货</w:t>
      </w:r>
      <w:r>
        <w:rPr>
          <w:rFonts w:hint="eastAsia" w:ascii="仿宋_GB2312" w:eastAsia="仿宋_GB2312"/>
          <w:lang w:val="en-US" w:eastAsia="zh-CN"/>
        </w:rPr>
        <w:t>期货</w:t>
      </w:r>
      <w:r>
        <w:rPr>
          <w:rFonts w:hint="eastAsia"/>
          <w:lang w:val="en-US" w:eastAsia="zh-CN"/>
        </w:rPr>
        <w:t>保税</w:t>
      </w:r>
      <w:r>
        <w:rPr>
          <w:rFonts w:hint="eastAsia" w:ascii="仿宋_GB2312" w:eastAsia="仿宋_GB2312"/>
          <w:lang w:val="en-US" w:eastAsia="zh-CN"/>
        </w:rPr>
        <w:t>交割、</w:t>
      </w:r>
      <w:r>
        <w:rPr>
          <w:rFonts w:hint="eastAsia"/>
          <w:lang w:val="en-US" w:eastAsia="zh-CN"/>
        </w:rPr>
        <w:t>跨境</w:t>
      </w:r>
      <w:r>
        <w:rPr>
          <w:rFonts w:hint="eastAsia" w:ascii="仿宋_GB2312" w:eastAsia="仿宋_GB2312"/>
          <w:lang w:val="en-US" w:eastAsia="zh-CN"/>
        </w:rPr>
        <w:t>电商</w:t>
      </w:r>
      <w:r>
        <w:rPr>
          <w:rFonts w:hint="eastAsia"/>
          <w:lang w:val="en-US" w:eastAsia="zh-CN"/>
        </w:rPr>
        <w:t>，引入线上线下（O2O）电商平台（如盒马鲜生、京东、苏宁、永辉、顺丰等），发展面向国内消费者终端（B2C）的水产品进口分拨包装冷链物流业务。</w:t>
      </w:r>
    </w:p>
    <w:p>
      <w:pPr>
        <w:rPr>
          <w:rFonts w:hint="default" w:ascii="仿宋_GB2312" w:eastAsia="仿宋_GB2312"/>
          <w:lang w:val="en-US" w:eastAsia="zh-CN"/>
        </w:rPr>
      </w:pPr>
      <w:r>
        <w:rPr>
          <w:rFonts w:hint="eastAsia"/>
          <w:b/>
          <w:bCs/>
          <w:lang w:val="en-US" w:eastAsia="zh-CN"/>
        </w:rPr>
        <w:t>二</w:t>
      </w:r>
      <w:r>
        <w:rPr>
          <w:rFonts w:hint="eastAsia" w:ascii="仿宋_GB2312" w:eastAsia="仿宋_GB2312"/>
          <w:b/>
          <w:bCs/>
          <w:lang w:val="en-US" w:eastAsia="zh-CN"/>
        </w:rPr>
        <w:t>是建设农产品出口基地</w:t>
      </w:r>
      <w:r>
        <w:rPr>
          <w:rFonts w:hint="eastAsia"/>
          <w:b/>
          <w:bCs/>
          <w:lang w:val="en-US" w:eastAsia="zh-CN"/>
        </w:rPr>
        <w:t>。</w:t>
      </w:r>
      <w:r>
        <w:rPr>
          <w:rFonts w:hint="eastAsia"/>
          <w:lang w:val="en-US" w:eastAsia="zh-CN"/>
        </w:rPr>
        <w:t>发挥全岛热带水果种植优势，在崖州果蔬综合批发市场建设农产品出口基地，引入亚马逊、阿里巴巴等国际电商平台，借助三亚机场航空网络向日本、韩国、俄罗斯、欧盟等温带地区国家出口热带水果和特色瓜菜。在崖州果蔬综合批发市场引入大型O2O电商平台和一线城市农产品终端连锁渠道商，发展面向国内消费者终端的热带水果、冬季瓜菜互联网电商、直播电商等业态。</w:t>
      </w:r>
    </w:p>
    <w:p>
      <w:pPr>
        <w:rPr>
          <w:rFonts w:hint="eastAsia"/>
          <w:lang w:val="en-US" w:eastAsia="zh-CN"/>
        </w:rPr>
      </w:pPr>
      <w:bookmarkStart w:id="489" w:name="_Toc10567"/>
      <w:r>
        <w:rPr>
          <w:rFonts w:hint="eastAsia" w:ascii="仿宋_GB2312" w:eastAsia="仿宋_GB2312"/>
          <w:b/>
          <w:bCs/>
          <w:lang w:val="en-US" w:eastAsia="zh-CN"/>
        </w:rPr>
        <w:t>三是构建完善的冷链物流体系</w:t>
      </w:r>
      <w:r>
        <w:rPr>
          <w:rFonts w:hint="eastAsia"/>
          <w:b/>
          <w:bCs/>
          <w:lang w:val="en-US" w:eastAsia="zh-CN"/>
        </w:rPr>
        <w:t>。</w:t>
      </w:r>
      <w:bookmarkEnd w:id="489"/>
      <w:r>
        <w:rPr>
          <w:rFonts w:hint="eastAsia"/>
          <w:lang w:val="en-US" w:eastAsia="zh-CN"/>
        </w:rPr>
        <w:t>冷链物流体系是崖州乃至海南的痛点，构建完善</w:t>
      </w:r>
      <w:r>
        <w:rPr>
          <w:rFonts w:hint="eastAsia"/>
          <w:b w:val="0"/>
          <w:bCs w:val="0"/>
          <w:lang w:val="en-US" w:eastAsia="zh-CN"/>
        </w:rPr>
        <w:t>的</w:t>
      </w:r>
      <w:r>
        <w:rPr>
          <w:rFonts w:hint="eastAsia" w:ascii="仿宋_GB2312" w:eastAsia="仿宋_GB2312"/>
          <w:b w:val="0"/>
          <w:bCs w:val="0"/>
          <w:lang w:val="en-US" w:eastAsia="zh-CN"/>
        </w:rPr>
        <w:t>冷链物流</w:t>
      </w:r>
      <w:r>
        <w:rPr>
          <w:rFonts w:hint="eastAsia"/>
          <w:b w:val="0"/>
          <w:bCs w:val="0"/>
          <w:lang w:val="en-US" w:eastAsia="zh-CN"/>
        </w:rPr>
        <w:t>体系</w:t>
      </w:r>
      <w:r>
        <w:rPr>
          <w:rFonts w:hint="eastAsia" w:ascii="仿宋_GB2312" w:eastAsia="仿宋_GB2312"/>
          <w:b w:val="0"/>
          <w:bCs w:val="0"/>
          <w:lang w:val="en-US" w:eastAsia="zh-CN"/>
        </w:rPr>
        <w:t>是大势所趋</w:t>
      </w:r>
      <w:r>
        <w:rPr>
          <w:rFonts w:hint="eastAsia"/>
          <w:b w:val="0"/>
          <w:bCs w:val="0"/>
          <w:lang w:val="en-US" w:eastAsia="zh-CN"/>
        </w:rPr>
        <w:t>。</w:t>
      </w:r>
      <w:r>
        <w:rPr>
          <w:rFonts w:hint="default"/>
          <w:lang w:val="en-US" w:eastAsia="zh-CN"/>
        </w:rPr>
        <w:t>崖州</w:t>
      </w:r>
      <w:r>
        <w:rPr>
          <w:rFonts w:hint="eastAsia" w:ascii="仿宋_GB2312" w:eastAsia="仿宋_GB2312"/>
          <w:lang w:val="en-US" w:eastAsia="zh-CN"/>
        </w:rPr>
        <w:t>常年如夏，冷链物流体系</w:t>
      </w:r>
      <w:r>
        <w:rPr>
          <w:rFonts w:hint="eastAsia"/>
          <w:lang w:val="en-US" w:eastAsia="zh-CN"/>
        </w:rPr>
        <w:t>建设滞后直接制约农</w:t>
      </w:r>
      <w:r>
        <w:rPr>
          <w:rFonts w:hint="default"/>
          <w:lang w:val="en-US" w:eastAsia="zh-CN"/>
        </w:rPr>
        <w:t>产品高质量远程运输</w:t>
      </w:r>
      <w:r>
        <w:rPr>
          <w:rFonts w:hint="eastAsia"/>
          <w:lang w:val="en-US" w:eastAsia="zh-CN"/>
        </w:rPr>
        <w:t>，严重限制电商直销和快递物流发展，是农渔产品面临的重要发展天花板。崖州要加快果蔬综合批发市场和中心渔港的冷链仓储物流基础设施建设，研究制定水电土地优惠政</w:t>
      </w:r>
      <w:r>
        <w:rPr>
          <w:rFonts w:hint="eastAsia"/>
          <w:b w:val="0"/>
          <w:bCs w:val="0"/>
          <w:lang w:val="en-US" w:eastAsia="zh-CN"/>
        </w:rPr>
        <w:t>策，积极吸引社会资本进入，引入大型冷链专业运营商，</w:t>
      </w:r>
      <w:r>
        <w:rPr>
          <w:rFonts w:hint="eastAsia" w:ascii="仿宋_GB2312" w:eastAsia="仿宋_GB2312"/>
          <w:b w:val="0"/>
          <w:bCs w:val="0"/>
          <w:lang w:val="en-US" w:eastAsia="zh-CN"/>
        </w:rPr>
        <w:t>助力</w:t>
      </w:r>
      <w:r>
        <w:rPr>
          <w:rFonts w:hint="eastAsia"/>
          <w:b w:val="0"/>
          <w:bCs w:val="0"/>
          <w:lang w:val="en-US" w:eastAsia="zh-CN"/>
        </w:rPr>
        <w:t>崖州</w:t>
      </w:r>
      <w:r>
        <w:rPr>
          <w:rFonts w:hint="eastAsia" w:ascii="仿宋_GB2312" w:eastAsia="仿宋_GB2312"/>
          <w:b w:val="0"/>
          <w:bCs w:val="0"/>
          <w:lang w:val="en-US" w:eastAsia="zh-CN"/>
        </w:rPr>
        <w:t>商贸物流业</w:t>
      </w:r>
      <w:r>
        <w:rPr>
          <w:rFonts w:hint="eastAsia"/>
          <w:b w:val="0"/>
          <w:bCs w:val="0"/>
          <w:lang w:val="en-US" w:eastAsia="zh-CN"/>
        </w:rPr>
        <w:t>跟</w:t>
      </w:r>
      <w:r>
        <w:rPr>
          <w:rFonts w:hint="eastAsia"/>
          <w:lang w:val="en-US" w:eastAsia="zh-CN"/>
        </w:rPr>
        <w:t>上产业发展节奏。</w:t>
      </w:r>
    </w:p>
    <w:p>
      <w:pPr>
        <w:pStyle w:val="5"/>
        <w:numPr>
          <w:ilvl w:val="0"/>
          <w:numId w:val="39"/>
        </w:numPr>
        <w:bidi w:val="0"/>
        <w:rPr>
          <w:rFonts w:hint="default"/>
          <w:lang w:val="en-US" w:eastAsia="zh-CN"/>
        </w:rPr>
      </w:pPr>
      <w:bookmarkStart w:id="490" w:name="_Toc13152"/>
      <w:bookmarkStart w:id="491" w:name="_Toc5454"/>
      <w:bookmarkStart w:id="492" w:name="_Toc20075"/>
      <w:r>
        <w:rPr>
          <w:rFonts w:hint="eastAsia"/>
          <w:lang w:val="en-US" w:eastAsia="zh-CN"/>
        </w:rPr>
        <w:t>做强渔港经济，打造保障南海、服务全球的国际化渔业基地</w:t>
      </w:r>
      <w:bookmarkEnd w:id="490"/>
      <w:bookmarkEnd w:id="491"/>
      <w:bookmarkEnd w:id="492"/>
    </w:p>
    <w:p>
      <w:pPr>
        <w:rPr>
          <w:rFonts w:hint="eastAsia" w:ascii="仿宋_GB2312" w:eastAsia="仿宋_GB2312"/>
          <w:lang w:val="en-US" w:eastAsia="zh-CN"/>
        </w:rPr>
      </w:pPr>
      <w:r>
        <w:rPr>
          <w:rFonts w:hint="eastAsia" w:ascii="仿宋_GB2312" w:eastAsia="仿宋_GB2312"/>
          <w:lang w:val="en-US" w:eastAsia="zh-CN"/>
        </w:rPr>
        <w:t>崖州中心渔港</w:t>
      </w:r>
      <w:r>
        <w:rPr>
          <w:rFonts w:hint="eastAsia" w:ascii="仿宋_GB2312" w:eastAsia="仿宋_GB2312"/>
          <w:b w:val="0"/>
          <w:bCs w:val="0"/>
          <w:lang w:val="en-US" w:eastAsia="zh-CN"/>
        </w:rPr>
        <w:t>是国家级示范性中心渔港，是中国最南、海南最大、设施最全的</w:t>
      </w:r>
      <w:r>
        <w:rPr>
          <w:rFonts w:hint="eastAsia" w:ascii="仿宋_GB2312" w:eastAsia="仿宋_GB2312"/>
          <w:lang w:val="en-US" w:eastAsia="zh-CN"/>
        </w:rPr>
        <w:t>中心渔港，</w:t>
      </w:r>
      <w:r>
        <w:rPr>
          <w:rFonts w:hint="eastAsia"/>
          <w:lang w:val="en-US" w:eastAsia="zh-CN"/>
        </w:rPr>
        <w:t>大力</w:t>
      </w:r>
      <w:r>
        <w:rPr>
          <w:rFonts w:hint="eastAsia" w:ascii="仿宋_GB2312" w:eastAsia="仿宋_GB2312"/>
          <w:lang w:val="en-US" w:eastAsia="zh-CN"/>
        </w:rPr>
        <w:t>发展渔港经济，打造保障南海、服务全球的国际化海洋渔业基地。</w:t>
      </w:r>
    </w:p>
    <w:p>
      <w:pPr>
        <w:rPr>
          <w:rFonts w:hint="default" w:ascii="仿宋_GB2312" w:eastAsia="仿宋_GB2312"/>
          <w:b/>
          <w:bCs/>
          <w:lang w:val="en-US" w:eastAsia="zh-CN"/>
        </w:rPr>
      </w:pPr>
      <w:r>
        <w:rPr>
          <w:rFonts w:hint="eastAsia" w:ascii="仿宋_GB2312" w:eastAsia="仿宋_GB2312"/>
          <w:b/>
          <w:bCs/>
          <w:lang w:val="en-US" w:eastAsia="zh-CN"/>
        </w:rPr>
        <w:t>一是</w:t>
      </w:r>
      <w:r>
        <w:rPr>
          <w:rFonts w:hint="eastAsia"/>
          <w:b/>
          <w:bCs/>
          <w:lang w:val="en-US" w:eastAsia="zh-CN"/>
        </w:rPr>
        <w:t>加快基础设施建设。</w:t>
      </w:r>
      <w:r>
        <w:rPr>
          <w:rFonts w:hint="eastAsia" w:ascii="仿宋_GB2312" w:eastAsia="仿宋_GB2312"/>
          <w:b w:val="0"/>
          <w:bCs w:val="0"/>
          <w:lang w:val="en-US" w:eastAsia="zh-CN"/>
        </w:rPr>
        <w:t>做好港航</w:t>
      </w:r>
      <w:r>
        <w:rPr>
          <w:rFonts w:hint="eastAsia"/>
          <w:b w:val="0"/>
          <w:bCs w:val="0"/>
          <w:lang w:val="en-US" w:eastAsia="zh-CN"/>
        </w:rPr>
        <w:t>、港后</w:t>
      </w:r>
      <w:r>
        <w:rPr>
          <w:rFonts w:hint="eastAsia" w:ascii="仿宋_GB2312" w:eastAsia="仿宋_GB2312"/>
          <w:b w:val="0"/>
          <w:bCs w:val="0"/>
          <w:lang w:val="en-US" w:eastAsia="zh-CN"/>
        </w:rPr>
        <w:t>和周边配套基础设施建设，健全冷链仓储物流体系，</w:t>
      </w:r>
      <w:r>
        <w:rPr>
          <w:rFonts w:hint="eastAsia"/>
          <w:b w:val="0"/>
          <w:bCs w:val="0"/>
          <w:lang w:val="en-US" w:eastAsia="zh-CN"/>
        </w:rPr>
        <w:t>完善水产品</w:t>
      </w:r>
      <w:r>
        <w:rPr>
          <w:rFonts w:hint="eastAsia" w:ascii="仿宋_GB2312" w:eastAsia="仿宋_GB2312"/>
          <w:b w:val="0"/>
          <w:bCs w:val="0"/>
          <w:lang w:val="en-US" w:eastAsia="zh-CN"/>
        </w:rPr>
        <w:t>加工、休闲渔业基础设施配套，为渔港经济产业链向下游延伸提供必要的基础设施支持保障。</w:t>
      </w:r>
    </w:p>
    <w:p>
      <w:pPr>
        <w:rPr>
          <w:rFonts w:hint="eastAsia"/>
          <w:lang w:val="en-US" w:eastAsia="zh-CN"/>
        </w:rPr>
      </w:pPr>
      <w:r>
        <w:rPr>
          <w:rFonts w:hint="eastAsia" w:ascii="仿宋_GB2312" w:eastAsia="仿宋_GB2312"/>
          <w:b/>
          <w:bCs/>
          <w:lang w:val="en-US" w:eastAsia="zh-CN"/>
        </w:rPr>
        <w:t>二是用好自贸港</w:t>
      </w:r>
      <w:r>
        <w:rPr>
          <w:rFonts w:hint="eastAsia"/>
          <w:b/>
          <w:bCs/>
          <w:lang w:val="en-US" w:eastAsia="zh-CN"/>
        </w:rPr>
        <w:t>下的贸易</w:t>
      </w:r>
      <w:r>
        <w:rPr>
          <w:rFonts w:hint="eastAsia" w:ascii="仿宋_GB2312" w:eastAsia="仿宋_GB2312"/>
          <w:b/>
          <w:bCs/>
          <w:lang w:val="en-US" w:eastAsia="zh-CN"/>
        </w:rPr>
        <w:t>制度</w:t>
      </w:r>
      <w:r>
        <w:rPr>
          <w:rFonts w:hint="eastAsia"/>
          <w:b/>
          <w:bCs/>
          <w:lang w:val="en-US" w:eastAsia="zh-CN"/>
        </w:rPr>
        <w:t>安排。</w:t>
      </w:r>
      <w:r>
        <w:rPr>
          <w:rFonts w:hint="eastAsia" w:ascii="仿宋_GB2312" w:eastAsia="仿宋_GB2312"/>
          <w:lang w:val="en-US" w:eastAsia="zh-CN"/>
        </w:rPr>
        <w:t>发展面向南海及全球的水产品保税仓储</w:t>
      </w:r>
      <w:r>
        <w:rPr>
          <w:rFonts w:hint="eastAsia"/>
          <w:lang w:val="en-US" w:eastAsia="zh-CN"/>
        </w:rPr>
        <w:t>、</w:t>
      </w:r>
      <w:r>
        <w:rPr>
          <w:rFonts w:hint="eastAsia" w:ascii="仿宋_GB2312" w:eastAsia="仿宋_GB2312"/>
          <w:lang w:val="en-US" w:eastAsia="zh-CN"/>
        </w:rPr>
        <w:t>加工</w:t>
      </w:r>
      <w:r>
        <w:rPr>
          <w:rFonts w:hint="eastAsia"/>
          <w:lang w:val="en-US" w:eastAsia="zh-CN"/>
        </w:rPr>
        <w:t>、</w:t>
      </w:r>
      <w:r>
        <w:rPr>
          <w:rFonts w:hint="eastAsia" w:ascii="仿宋_GB2312" w:eastAsia="仿宋_GB2312"/>
          <w:lang w:val="en-US" w:eastAsia="zh-CN"/>
        </w:rPr>
        <w:t>交易</w:t>
      </w:r>
      <w:r>
        <w:rPr>
          <w:rFonts w:hint="eastAsia"/>
          <w:lang w:val="en-US" w:eastAsia="zh-CN"/>
        </w:rPr>
        <w:t>，</w:t>
      </w:r>
      <w:r>
        <w:rPr>
          <w:rFonts w:hint="eastAsia" w:ascii="仿宋_GB2312" w:eastAsia="仿宋_GB2312"/>
          <w:lang w:val="en-US" w:eastAsia="zh-CN"/>
        </w:rPr>
        <w:t>发展跨境贸易、进口生鲜交易、期货交割、电商交易服务平台。</w:t>
      </w:r>
      <w:r>
        <w:rPr>
          <w:rFonts w:hint="eastAsia"/>
          <w:lang w:val="en-US" w:eastAsia="zh-CN"/>
        </w:rPr>
        <w:t>为国内外远洋捕捞船队提供保税柴油等保障服务，吸引远洋船队在崖州停泊卸货补给。</w:t>
      </w:r>
    </w:p>
    <w:p>
      <w:pPr>
        <w:rPr>
          <w:rFonts w:hint="eastAsia"/>
          <w:b w:val="0"/>
          <w:bCs w:val="0"/>
          <w:lang w:val="en-US" w:eastAsia="zh-CN"/>
        </w:rPr>
      </w:pPr>
      <w:r>
        <w:rPr>
          <w:rFonts w:hint="eastAsia" w:ascii="仿宋_GB2312" w:eastAsia="仿宋_GB2312"/>
          <w:b/>
          <w:bCs/>
          <w:lang w:val="en-US" w:eastAsia="zh-CN"/>
        </w:rPr>
        <w:t>三是打造</w:t>
      </w:r>
      <w:r>
        <w:rPr>
          <w:rFonts w:hint="eastAsia"/>
          <w:b/>
          <w:bCs/>
          <w:lang w:val="en-US" w:eastAsia="zh-CN"/>
        </w:rPr>
        <w:t>深远海养殖</w:t>
      </w:r>
      <w:r>
        <w:rPr>
          <w:rFonts w:hint="eastAsia" w:ascii="仿宋_GB2312" w:eastAsia="仿宋_GB2312"/>
          <w:b/>
          <w:bCs/>
          <w:lang w:val="en-US" w:eastAsia="zh-CN"/>
        </w:rPr>
        <w:t>基地母港</w:t>
      </w:r>
      <w:r>
        <w:rPr>
          <w:rFonts w:hint="eastAsia"/>
          <w:b/>
          <w:bCs/>
          <w:lang w:val="en-US" w:eastAsia="zh-CN"/>
        </w:rPr>
        <w:t>。</w:t>
      </w:r>
      <w:r>
        <w:rPr>
          <w:rFonts w:hint="eastAsia"/>
          <w:b w:val="0"/>
          <w:bCs w:val="0"/>
          <w:lang w:val="en-US" w:eastAsia="zh-CN"/>
        </w:rPr>
        <w:t>完善港口配套设施和后方作业空间，</w:t>
      </w:r>
      <w:r>
        <w:rPr>
          <w:rFonts w:hint="eastAsia" w:ascii="仿宋_GB2312" w:eastAsia="仿宋_GB2312"/>
          <w:b w:val="0"/>
          <w:bCs w:val="0"/>
          <w:lang w:val="en-US" w:eastAsia="zh-CN"/>
        </w:rPr>
        <w:t>为深水养殖工船、深水抗风浪网箱养殖提供陆地基地服务。</w:t>
      </w:r>
    </w:p>
    <w:p>
      <w:pPr>
        <w:rPr>
          <w:rFonts w:hint="default" w:ascii="仿宋_GB2312" w:eastAsia="仿宋_GB2312"/>
          <w:b w:val="0"/>
          <w:bCs w:val="0"/>
          <w:lang w:val="en-US" w:eastAsia="zh-CN"/>
        </w:rPr>
      </w:pPr>
      <w:r>
        <w:rPr>
          <w:rFonts w:hint="eastAsia" w:ascii="仿宋_GB2312" w:eastAsia="仿宋_GB2312"/>
          <w:b/>
          <w:bCs/>
          <w:lang w:val="en-US" w:eastAsia="zh-CN"/>
        </w:rPr>
        <w:t>四是</w:t>
      </w:r>
      <w:r>
        <w:rPr>
          <w:rFonts w:hint="eastAsia"/>
          <w:b/>
          <w:bCs/>
          <w:lang w:val="en-US" w:eastAsia="zh-CN"/>
        </w:rPr>
        <w:t>发展水产品加工基地。</w:t>
      </w:r>
      <w:r>
        <w:rPr>
          <w:rFonts w:hint="eastAsia"/>
          <w:b w:val="0"/>
          <w:bCs w:val="0"/>
          <w:lang w:val="en-US" w:eastAsia="zh-CN"/>
        </w:rPr>
        <w:t>加快推进渔港后方加工园区建设，为发展水产品加工提供必备的发展空间和基础条件，积极发展水产品初加工、精深加工，开发海洋功能性产品，发展宠物饲料等</w:t>
      </w:r>
      <w:r>
        <w:rPr>
          <w:rFonts w:hint="eastAsia" w:ascii="仿宋_GB2312" w:eastAsia="仿宋_GB2312"/>
          <w:b w:val="0"/>
          <w:bCs w:val="0"/>
          <w:lang w:val="en-US" w:eastAsia="zh-CN"/>
        </w:rPr>
        <w:t>鱼粉类产品。</w:t>
      </w:r>
    </w:p>
    <w:p>
      <w:pPr>
        <w:rPr>
          <w:rFonts w:hint="eastAsia" w:ascii="仿宋_GB2312" w:eastAsia="仿宋_GB2312"/>
          <w:lang w:val="en-US" w:eastAsia="zh-CN"/>
        </w:rPr>
      </w:pPr>
      <w:r>
        <w:rPr>
          <w:rFonts w:hint="eastAsia" w:ascii="仿宋_GB2312" w:eastAsia="仿宋_GB2312"/>
          <w:b/>
          <w:bCs/>
          <w:lang w:val="en-US" w:eastAsia="zh-CN"/>
        </w:rPr>
        <w:t>五是发展休闲渔业基地</w:t>
      </w:r>
      <w:r>
        <w:rPr>
          <w:rFonts w:hint="eastAsia"/>
          <w:b/>
          <w:bCs/>
          <w:lang w:val="en-US" w:eastAsia="zh-CN"/>
        </w:rPr>
        <w:t>。</w:t>
      </w:r>
      <w:r>
        <w:rPr>
          <w:rFonts w:hint="eastAsia" w:ascii="仿宋_GB2312" w:eastAsia="仿宋_GB2312"/>
          <w:lang w:val="en-US" w:eastAsia="zh-CN"/>
        </w:rPr>
        <w:t>建设</w:t>
      </w:r>
      <w:r>
        <w:rPr>
          <w:rFonts w:hint="default"/>
          <w:lang w:val="en-US" w:eastAsia="zh-CN"/>
        </w:rPr>
        <w:t>国家级休闲渔业船舶公共码头，</w:t>
      </w:r>
      <w:r>
        <w:rPr>
          <w:rFonts w:hint="eastAsia" w:ascii="仿宋_GB2312" w:eastAsia="仿宋_GB2312"/>
          <w:lang w:val="en-US" w:eastAsia="zh-CN"/>
        </w:rPr>
        <w:t>打造</w:t>
      </w:r>
      <w:r>
        <w:rPr>
          <w:rFonts w:hint="default"/>
          <w:lang w:val="en-US" w:eastAsia="zh-CN"/>
        </w:rPr>
        <w:t>国际海钓赛事</w:t>
      </w:r>
      <w:r>
        <w:rPr>
          <w:rFonts w:hint="eastAsia" w:ascii="仿宋_GB2312" w:eastAsia="仿宋_GB2312"/>
          <w:lang w:val="en-US" w:eastAsia="zh-CN"/>
        </w:rPr>
        <w:t>和培训基地，</w:t>
      </w:r>
      <w:r>
        <w:rPr>
          <w:rFonts w:hint="eastAsia"/>
          <w:lang w:val="en-US" w:eastAsia="zh-CN"/>
        </w:rPr>
        <w:t>为</w:t>
      </w:r>
      <w:r>
        <w:rPr>
          <w:rFonts w:hint="default"/>
          <w:lang w:val="en-US" w:eastAsia="zh-CN"/>
        </w:rPr>
        <w:t>渔港</w:t>
      </w:r>
      <w:r>
        <w:rPr>
          <w:rFonts w:hint="eastAsia" w:ascii="仿宋_GB2312" w:eastAsia="仿宋_GB2312"/>
          <w:lang w:val="en-US" w:eastAsia="zh-CN"/>
        </w:rPr>
        <w:t>及海洋牧场</w:t>
      </w:r>
      <w:r>
        <w:rPr>
          <w:rFonts w:hint="default"/>
          <w:lang w:val="en-US" w:eastAsia="zh-CN"/>
        </w:rPr>
        <w:t>观光、</w:t>
      </w:r>
      <w:r>
        <w:rPr>
          <w:rFonts w:hint="eastAsia" w:ascii="仿宋_GB2312" w:eastAsia="仿宋_GB2312"/>
          <w:lang w:val="en-US" w:eastAsia="zh-CN"/>
        </w:rPr>
        <w:t>海洋垂钓、渔人码头、渔家文化、渔业博物馆等休闲渔业体验旅游</w:t>
      </w:r>
      <w:r>
        <w:rPr>
          <w:rFonts w:hint="eastAsia"/>
          <w:lang w:val="en-US" w:eastAsia="zh-CN"/>
        </w:rPr>
        <w:t>提供空间</w:t>
      </w:r>
      <w:r>
        <w:rPr>
          <w:rFonts w:hint="eastAsia" w:ascii="仿宋_GB2312" w:eastAsia="仿宋_GB2312"/>
          <w:lang w:val="en-US" w:eastAsia="zh-CN"/>
        </w:rPr>
        <w:t>。</w:t>
      </w:r>
    </w:p>
    <w:tbl>
      <w:tblPr>
        <w:tblStyle w:val="19"/>
        <w:tblW w:w="5000" w:type="pct"/>
        <w:tblInd w:w="0" w:type="dxa"/>
        <w:tblBorders>
          <w:top w:val="thinThickSmallGap" w:color="auto" w:sz="2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thinThickSmallGap" w:color="auto" w:sz="2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22" w:type="dxa"/>
            <w:tcBorders>
              <w:top w:val="thinThickSmallGap" w:color="A4A4A4" w:sz="12" w:space="0"/>
              <w:bottom w:val="thickThinSmallGap" w:color="A4A4A4" w:sz="12" w:space="0"/>
            </w:tcBorders>
            <w:vAlign w:val="top"/>
          </w:tcPr>
          <w:p>
            <w:pPr>
              <w:pStyle w:val="31"/>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b/>
                <w:bCs/>
                <w:sz w:val="24"/>
                <w:szCs w:val="24"/>
                <w:lang w:val="en-US" w:eastAsia="zh-CN"/>
              </w:rPr>
            </w:pPr>
            <w:r>
              <w:rPr>
                <w:rFonts w:hint="eastAsia"/>
                <w:b/>
                <w:bCs/>
                <w:sz w:val="24"/>
                <w:szCs w:val="24"/>
                <w:lang w:val="en-US" w:eastAsia="zh-CN"/>
              </w:rPr>
              <w:t>专栏28  《全国沿海渔港建设规划（2018-2025年）》解读</w:t>
            </w:r>
          </w:p>
          <w:p>
            <w:pPr>
              <w:pStyle w:val="31"/>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b w:val="0"/>
                <w:bCs w:val="0"/>
                <w:sz w:val="24"/>
                <w:szCs w:val="24"/>
                <w:lang w:val="en-US" w:eastAsia="zh-CN"/>
              </w:rPr>
            </w:pPr>
            <w:r>
              <w:rPr>
                <w:rFonts w:hint="eastAsia"/>
                <w:b w:val="0"/>
                <w:bCs w:val="0"/>
                <w:sz w:val="24"/>
                <w:szCs w:val="24"/>
                <w:lang w:val="en-US" w:eastAsia="zh-CN"/>
              </w:rPr>
              <w:t>（1）渔港经济区是在建设现代渔港的基础上，密切结合城镇建设和产业集聚，使之形成以渔港为龙头、城镇为依托、渔业为基础，集渔船避风补给、鱼货交易、冷链物流、精深加工、海洋药物、休闲观光、城镇建设为一体，区域产业结构平衡、产业层次较高、辐射效应明显的现代渔业经济区。渔港</w:t>
            </w:r>
            <w:r>
              <w:rPr>
                <w:rFonts w:hint="eastAsia" w:ascii="楷体" w:hAnsi="楷体" w:eastAsia="楷体" w:cs="楷体"/>
                <w:b w:val="0"/>
                <w:bCs w:val="0"/>
                <w:sz w:val="24"/>
                <w:szCs w:val="24"/>
                <w:lang w:val="en-US" w:eastAsia="zh-CN"/>
              </w:rPr>
              <w:t>经济区的选择</w:t>
            </w:r>
            <w:r>
              <w:rPr>
                <w:rFonts w:hint="eastAsia"/>
                <w:b w:val="0"/>
                <w:bCs w:val="0"/>
                <w:sz w:val="24"/>
                <w:szCs w:val="24"/>
                <w:lang w:val="en-US" w:eastAsia="zh-CN"/>
              </w:rPr>
              <w:t>依据有：①依托沿海主要渔业市、县，建设渔港经济区；</w:t>
            </w:r>
            <w:r>
              <w:rPr>
                <w:rFonts w:hint="default"/>
                <w:b w:val="0"/>
                <w:bCs w:val="0"/>
                <w:sz w:val="24"/>
                <w:szCs w:val="24"/>
                <w:lang w:val="en-US" w:eastAsia="zh-CN"/>
              </w:rPr>
              <w:t>②</w:t>
            </w:r>
            <w:r>
              <w:rPr>
                <w:rFonts w:hint="eastAsia"/>
                <w:b w:val="0"/>
                <w:bCs w:val="0"/>
                <w:sz w:val="24"/>
                <w:szCs w:val="24"/>
                <w:lang w:val="en-US" w:eastAsia="zh-CN"/>
              </w:rPr>
              <w:t>渔港经济区内至少拥有或规划建设1座一级及以上渔港；</w:t>
            </w:r>
            <w:r>
              <w:rPr>
                <w:rFonts w:hint="default"/>
                <w:b w:val="0"/>
                <w:bCs w:val="0"/>
                <w:sz w:val="24"/>
                <w:szCs w:val="24"/>
                <w:lang w:val="en-US" w:eastAsia="zh-CN"/>
              </w:rPr>
              <w:t>③</w:t>
            </w:r>
            <w:r>
              <w:rPr>
                <w:rFonts w:hint="eastAsia"/>
                <w:b w:val="0"/>
                <w:bCs w:val="0"/>
                <w:sz w:val="24"/>
                <w:szCs w:val="24"/>
                <w:lang w:val="en-US" w:eastAsia="zh-CN"/>
              </w:rPr>
              <w:t>渔港经济区海洋渔船数量原则上不低于800艘；④渔港经济区鱼货卸港量原则上不低于8万吨；⑤渔港经济区具有产业发展基础，拥有精深加工、休闲旅游、两岸交流、冷链物流等特色优势发展平台。</w:t>
            </w:r>
          </w:p>
          <w:p>
            <w:pPr>
              <w:pStyle w:val="31"/>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b w:val="0"/>
                <w:bCs w:val="0"/>
                <w:sz w:val="24"/>
                <w:szCs w:val="24"/>
                <w:lang w:val="en-US" w:eastAsia="zh-CN"/>
              </w:rPr>
            </w:pPr>
            <w:r>
              <w:rPr>
                <w:rFonts w:hint="eastAsia"/>
                <w:b w:val="0"/>
                <w:bCs w:val="0"/>
                <w:sz w:val="24"/>
                <w:szCs w:val="24"/>
                <w:lang w:val="en-US" w:eastAsia="zh-CN"/>
              </w:rPr>
              <w:t>（2）</w:t>
            </w:r>
            <w:r>
              <w:rPr>
                <w:rFonts w:hint="default"/>
                <w:b w:val="0"/>
                <w:bCs w:val="0"/>
                <w:sz w:val="24"/>
                <w:szCs w:val="24"/>
                <w:lang w:val="en-US" w:eastAsia="zh-CN"/>
              </w:rPr>
              <w:t>大三亚圈渔港经济区</w:t>
            </w:r>
            <w:r>
              <w:rPr>
                <w:rFonts w:hint="eastAsia"/>
                <w:b w:val="0"/>
                <w:bCs w:val="0"/>
                <w:sz w:val="24"/>
                <w:szCs w:val="24"/>
                <w:lang w:val="en-US" w:eastAsia="zh-CN"/>
              </w:rPr>
              <w:t>。</w:t>
            </w:r>
            <w:r>
              <w:rPr>
                <w:rFonts w:hint="default"/>
                <w:b w:val="0"/>
                <w:bCs w:val="0"/>
                <w:sz w:val="24"/>
                <w:szCs w:val="24"/>
                <w:lang w:val="en-US" w:eastAsia="zh-CN"/>
              </w:rPr>
              <w:t>该区域内海水产品总产量24.26万吨，拥有海洋渔船4596艘，分布有大小渔港7座，其中中心渔港2座（陵水新村中心渔港、三亚崖州中心渔港），一级渔港1座（乐东岭头一级渔港），三级及以下渔港4座。规划期内重点支持扩建陵水新村中心渔港，新建乐东莺歌海一级渔港、赤岭一级渔港、后海一级渔港、三亚一级渔港，推动形成集渔业休闲、滨海旅游为特色的渔港经济区。</w:t>
            </w:r>
          </w:p>
        </w:tc>
      </w:tr>
    </w:tbl>
    <w:p>
      <w:pPr>
        <w:pStyle w:val="5"/>
        <w:numPr>
          <w:ilvl w:val="0"/>
          <w:numId w:val="39"/>
        </w:numPr>
        <w:bidi w:val="0"/>
        <w:rPr>
          <w:rFonts w:hint="default"/>
          <w:lang w:val="en-US" w:eastAsia="zh-CN"/>
        </w:rPr>
      </w:pPr>
      <w:bookmarkStart w:id="493" w:name="_Toc15641"/>
      <w:bookmarkStart w:id="494" w:name="_Toc16928"/>
      <w:bookmarkStart w:id="495" w:name="_Toc22676"/>
      <w:r>
        <w:rPr>
          <w:rFonts w:hint="eastAsia"/>
          <w:lang w:val="en-US" w:eastAsia="zh-CN"/>
        </w:rPr>
        <w:t>构建“2+N”电商体系，打造两大电商基地和电商专业村</w:t>
      </w:r>
      <w:bookmarkEnd w:id="493"/>
      <w:bookmarkEnd w:id="494"/>
      <w:bookmarkEnd w:id="495"/>
    </w:p>
    <w:p>
      <w:pPr>
        <w:rPr>
          <w:rFonts w:hint="default"/>
          <w:lang w:val="en-US" w:eastAsia="zh-CN"/>
        </w:rPr>
      </w:pPr>
      <w:r>
        <w:rPr>
          <w:rFonts w:hint="default"/>
          <w:lang w:val="en-US" w:eastAsia="zh-CN"/>
        </w:rPr>
        <w:t>拥抱新经济新业态新模式，构建“2+N”电商体系</w:t>
      </w:r>
      <w:r>
        <w:rPr>
          <w:rFonts w:hint="eastAsia"/>
          <w:lang w:val="en-US" w:eastAsia="zh-CN"/>
        </w:rPr>
        <w:t>。“2”是指打造崖州果蔬综合批发市场和三亚崖州中心渔港两大电商基地，“N”是指在全区形成多个专业化电商村和电商专供基地，电商村提供销售、物流、仓储、包装、售后等专业服务，电商专供基地发展电商渠道农产品种植。</w:t>
      </w:r>
    </w:p>
    <w:p>
      <w:pPr>
        <w:rPr>
          <w:rFonts w:hint="default"/>
          <w:b w:val="0"/>
          <w:bCs w:val="0"/>
          <w:lang w:val="en-US" w:eastAsia="zh-CN"/>
        </w:rPr>
      </w:pPr>
      <w:r>
        <w:rPr>
          <w:rFonts w:hint="eastAsia"/>
          <w:b/>
          <w:bCs/>
          <w:lang w:val="en-US" w:eastAsia="zh-CN"/>
        </w:rPr>
        <w:t>一是建设电子商务中心。</w:t>
      </w:r>
      <w:r>
        <w:rPr>
          <w:rFonts w:hint="eastAsia"/>
          <w:b w:val="0"/>
          <w:bCs w:val="0"/>
          <w:lang w:val="en-US" w:eastAsia="zh-CN"/>
        </w:rPr>
        <w:t>在果蔬综合批发市场和中心渔港分别建设电子商务中心，</w:t>
      </w:r>
      <w:r>
        <w:rPr>
          <w:rFonts w:hint="default"/>
          <w:b w:val="0"/>
          <w:bCs w:val="0"/>
          <w:lang w:val="en-US" w:eastAsia="zh-CN"/>
        </w:rPr>
        <w:t>前期向</w:t>
      </w:r>
      <w:r>
        <w:rPr>
          <w:rFonts w:hint="eastAsia"/>
          <w:b w:val="0"/>
          <w:bCs w:val="0"/>
          <w:lang w:val="en-US" w:eastAsia="zh-CN"/>
        </w:rPr>
        <w:t>电商平台、电商公司、专业</w:t>
      </w:r>
      <w:r>
        <w:rPr>
          <w:rFonts w:hint="default"/>
          <w:b w:val="0"/>
          <w:bCs w:val="0"/>
          <w:lang w:val="en-US" w:eastAsia="zh-CN"/>
        </w:rPr>
        <w:t>团队、快递公司</w:t>
      </w:r>
      <w:r>
        <w:rPr>
          <w:rFonts w:hint="eastAsia"/>
          <w:b w:val="0"/>
          <w:bCs w:val="0"/>
          <w:lang w:val="en-US" w:eastAsia="zh-CN"/>
        </w:rPr>
        <w:t>等</w:t>
      </w:r>
      <w:r>
        <w:rPr>
          <w:rFonts w:hint="default"/>
          <w:b w:val="0"/>
          <w:bCs w:val="0"/>
          <w:lang w:val="en-US" w:eastAsia="zh-CN"/>
        </w:rPr>
        <w:t>免费提供办公场所</w:t>
      </w:r>
      <w:r>
        <w:rPr>
          <w:rFonts w:hint="eastAsia"/>
          <w:b w:val="0"/>
          <w:bCs w:val="0"/>
          <w:lang w:val="en-US" w:eastAsia="zh-CN"/>
        </w:rPr>
        <w:t>和仓储空间</w:t>
      </w:r>
      <w:r>
        <w:rPr>
          <w:rFonts w:hint="default"/>
          <w:b w:val="0"/>
          <w:bCs w:val="0"/>
          <w:lang w:val="en-US" w:eastAsia="zh-CN"/>
        </w:rPr>
        <w:t>，</w:t>
      </w:r>
      <w:r>
        <w:rPr>
          <w:rFonts w:hint="eastAsia"/>
          <w:b w:val="0"/>
          <w:bCs w:val="0"/>
          <w:lang w:val="en-US" w:eastAsia="zh-CN"/>
        </w:rPr>
        <w:t>支持围绕热带水果、冬季瓜菜、水产品、特色养殖产品开展电商销售</w:t>
      </w:r>
      <w:r>
        <w:rPr>
          <w:rFonts w:hint="default"/>
          <w:b w:val="0"/>
          <w:bCs w:val="0"/>
          <w:lang w:val="en-US" w:eastAsia="zh-CN"/>
        </w:rPr>
        <w:t>、电商</w:t>
      </w:r>
      <w:r>
        <w:rPr>
          <w:rFonts w:hint="eastAsia"/>
          <w:b w:val="0"/>
          <w:bCs w:val="0"/>
          <w:lang w:val="en-US" w:eastAsia="zh-CN"/>
        </w:rPr>
        <w:t>直播</w:t>
      </w:r>
      <w:r>
        <w:rPr>
          <w:rFonts w:hint="default"/>
          <w:b w:val="0"/>
          <w:bCs w:val="0"/>
          <w:lang w:val="en-US" w:eastAsia="zh-CN"/>
        </w:rPr>
        <w:t>、跨境电商</w:t>
      </w:r>
      <w:r>
        <w:rPr>
          <w:rFonts w:hint="eastAsia"/>
          <w:b w:val="0"/>
          <w:bCs w:val="0"/>
          <w:lang w:val="en-US" w:eastAsia="zh-CN"/>
        </w:rPr>
        <w:t>活动，助力崖州农产品借助互联网</w:t>
      </w:r>
      <w:r>
        <w:rPr>
          <w:rFonts w:hint="default"/>
          <w:b w:val="0"/>
          <w:bCs w:val="0"/>
          <w:lang w:val="en-US" w:eastAsia="zh-CN"/>
        </w:rPr>
        <w:t>走向</w:t>
      </w:r>
      <w:r>
        <w:rPr>
          <w:rFonts w:hint="eastAsia"/>
          <w:b w:val="0"/>
          <w:bCs w:val="0"/>
          <w:lang w:val="en-US" w:eastAsia="zh-CN"/>
        </w:rPr>
        <w:t>国内国外</w:t>
      </w:r>
      <w:r>
        <w:rPr>
          <w:rFonts w:hint="default"/>
          <w:b w:val="0"/>
          <w:bCs w:val="0"/>
          <w:lang w:val="en-US" w:eastAsia="zh-CN"/>
        </w:rPr>
        <w:t>。</w:t>
      </w:r>
    </w:p>
    <w:p>
      <w:pPr>
        <w:rPr>
          <w:rFonts w:hint="eastAsia"/>
          <w:lang w:val="en-US" w:eastAsia="zh-CN"/>
        </w:rPr>
      </w:pPr>
      <w:r>
        <w:rPr>
          <w:rFonts w:hint="eastAsia"/>
          <w:b/>
          <w:bCs/>
          <w:lang w:val="en-US" w:eastAsia="zh-CN"/>
        </w:rPr>
        <w:t>二是支持电商团队发展壮大。</w:t>
      </w:r>
      <w:r>
        <w:rPr>
          <w:rFonts w:hint="eastAsia"/>
          <w:lang w:val="en-US" w:eastAsia="zh-CN"/>
        </w:rPr>
        <w:t>吸引外来电商运营团队进入崖州开展电子商务，支持本地农产品电商企业发展壮大，引导更多新型农业经营主体开展网络销售，通过“鲶鱼效应”搅活电商市场，转变传统思维。</w:t>
      </w:r>
    </w:p>
    <w:p>
      <w:pPr>
        <w:rPr>
          <w:rFonts w:hint="eastAsia"/>
          <w:lang w:val="en-US" w:eastAsia="zh-CN"/>
        </w:rPr>
      </w:pPr>
      <w:r>
        <w:rPr>
          <w:rFonts w:hint="eastAsia"/>
          <w:b/>
          <w:bCs/>
          <w:lang w:val="en-US" w:eastAsia="zh-CN"/>
        </w:rPr>
        <w:t>三是建立覆盖全区的物流网络。</w:t>
      </w:r>
      <w:r>
        <w:rPr>
          <w:rFonts w:hint="eastAsia"/>
          <w:b w:val="0"/>
          <w:bCs w:val="0"/>
          <w:lang w:val="en-US" w:eastAsia="zh-CN"/>
        </w:rPr>
        <w:t>支持物流公司</w:t>
      </w:r>
      <w:r>
        <w:rPr>
          <w:rFonts w:hint="eastAsia"/>
          <w:lang w:val="en-US" w:eastAsia="zh-CN"/>
        </w:rPr>
        <w:t>建立覆盖全区的农村物流网络，同时解决热带特色农产品通过电商平台上行、农资工业品生活消费品下行的问题。</w:t>
      </w:r>
    </w:p>
    <w:p>
      <w:pPr>
        <w:rPr>
          <w:rFonts w:hint="default"/>
          <w:b w:val="0"/>
          <w:bCs w:val="0"/>
          <w:lang w:val="en-US" w:eastAsia="zh-CN"/>
        </w:rPr>
      </w:pPr>
      <w:r>
        <w:rPr>
          <w:rFonts w:hint="eastAsia"/>
          <w:b/>
          <w:bCs/>
          <w:lang w:val="en-US" w:eastAsia="zh-CN"/>
        </w:rPr>
        <w:t>四是培育一批电商专业村。</w:t>
      </w:r>
      <w:r>
        <w:rPr>
          <w:rFonts w:hint="eastAsia"/>
          <w:b w:val="0"/>
          <w:bCs w:val="0"/>
          <w:lang w:val="en-US" w:eastAsia="zh-CN"/>
        </w:rPr>
        <w:t>依托两大电商基地，培育一批电商专业村，鼓励农村大学生和外出务工人员返乡创业发展电商产业，推广“淘宝村”普惠价值。一是为两大基地提供物流、仓储、包装、售后等专业服务，二是发挥“一村一品”优势开展特色种养殖产品电商销售，三是建设热带水果现代化果园，发展专供电商销售的高品质热带水果、稀缺品种水果等专供种植基地。</w:t>
      </w:r>
    </w:p>
    <w:p>
      <w:pPr>
        <w:rPr>
          <w:rFonts w:hint="default"/>
          <w:b w:val="0"/>
          <w:bCs w:val="0"/>
          <w:lang w:val="en-US" w:eastAsia="zh-CN"/>
        </w:rPr>
      </w:pPr>
      <w:r>
        <w:rPr>
          <w:rFonts w:hint="eastAsia"/>
          <w:b/>
          <w:bCs/>
          <w:lang w:val="en-US" w:eastAsia="zh-CN"/>
        </w:rPr>
        <w:t>五是策划打造崖州网红产品。</w:t>
      </w:r>
      <w:r>
        <w:rPr>
          <w:rFonts w:hint="eastAsia"/>
          <w:b w:val="0"/>
          <w:bCs w:val="0"/>
          <w:lang w:val="en-US" w:eastAsia="zh-CN"/>
        </w:rPr>
        <w:t>本着官方支持、企业主导，策划打造一批崖州网红水果、网红水产品、网红农旅休闲服务、网红共享农庄和民宿，叫响崖州地理品牌，取得农渔产品和农旅消费双丰收。</w:t>
      </w:r>
    </w:p>
    <w:p>
      <w:pPr>
        <w:rPr>
          <w:rFonts w:hint="eastAsia"/>
          <w:b/>
          <w:bCs/>
          <w:lang w:val="en-US" w:eastAsia="zh-CN"/>
        </w:rPr>
      </w:pPr>
      <w:r>
        <w:rPr>
          <w:rFonts w:hint="eastAsia"/>
          <w:b/>
          <w:bCs/>
          <w:lang w:val="en-US" w:eastAsia="zh-CN"/>
        </w:rPr>
        <w:t>六是推广农产品电商新模式。</w:t>
      </w:r>
      <w:r>
        <w:rPr>
          <w:rFonts w:hint="eastAsia"/>
          <w:b w:val="0"/>
          <w:bCs w:val="0"/>
          <w:lang w:val="en-US" w:eastAsia="zh-CN"/>
        </w:rPr>
        <w:t>推广“电商+龙头企业+专业合作社+农户”模式，推进集约化、规模化、品牌化、订单式农业生产，打通农产品直供直销链。</w:t>
      </w:r>
    </w:p>
    <w:p>
      <w:pPr>
        <w:rPr>
          <w:rFonts w:hint="default"/>
          <w:lang w:val="en-US" w:eastAsia="zh-CN"/>
        </w:rPr>
      </w:pPr>
      <w:r>
        <w:rPr>
          <w:rFonts w:hint="eastAsia"/>
          <w:b/>
          <w:bCs/>
          <w:lang w:val="en-US" w:eastAsia="zh-CN"/>
        </w:rPr>
        <w:t>七是发展出口跨境电商</w:t>
      </w:r>
      <w:r>
        <w:rPr>
          <w:rFonts w:hint="eastAsia"/>
          <w:b w:val="0"/>
          <w:bCs w:val="0"/>
          <w:lang w:val="en-US" w:eastAsia="zh-CN"/>
        </w:rPr>
        <w:t>。通过亚马逊、阿里巴巴等全球电商平台，把崖州热带水果销往温带国家地区，成为</w:t>
      </w:r>
      <w:r>
        <w:rPr>
          <w:rFonts w:hint="default"/>
          <w:lang w:val="en-US" w:eastAsia="zh-CN"/>
        </w:rPr>
        <w:t>中国（三亚）跨境电商综合试验区</w:t>
      </w:r>
      <w:r>
        <w:rPr>
          <w:rFonts w:hint="eastAsia"/>
          <w:lang w:val="en-US" w:eastAsia="zh-CN"/>
        </w:rPr>
        <w:t>建设的重要支撑</w:t>
      </w:r>
      <w:r>
        <w:rPr>
          <w:rFonts w:hint="eastAsia"/>
          <w:b w:val="0"/>
          <w:bCs w:val="0"/>
          <w:lang w:val="en-US" w:eastAsia="zh-CN"/>
        </w:rPr>
        <w:t>。</w:t>
      </w:r>
    </w:p>
    <w:p>
      <w:pPr>
        <w:pStyle w:val="5"/>
        <w:numPr>
          <w:ilvl w:val="0"/>
          <w:numId w:val="39"/>
        </w:numPr>
        <w:bidi w:val="0"/>
        <w:rPr>
          <w:rFonts w:hint="eastAsia"/>
          <w:lang w:val="en-US" w:eastAsia="zh-CN"/>
        </w:rPr>
      </w:pPr>
      <w:bookmarkStart w:id="496" w:name="_Toc18930157"/>
      <w:bookmarkStart w:id="497" w:name="_Toc28853"/>
      <w:bookmarkStart w:id="498" w:name="_Toc15174"/>
      <w:bookmarkStart w:id="499" w:name="_Toc21619"/>
      <w:r>
        <w:rPr>
          <w:rFonts w:hint="eastAsia"/>
          <w:lang w:val="en-US" w:eastAsia="zh-CN"/>
        </w:rPr>
        <w:t>打造农产品渠道商供应专线</w:t>
      </w:r>
      <w:bookmarkEnd w:id="496"/>
      <w:r>
        <w:rPr>
          <w:rFonts w:hint="eastAsia"/>
          <w:lang w:val="en-US" w:eastAsia="zh-CN"/>
        </w:rPr>
        <w:t>，尽量减少中间流通环节</w:t>
      </w:r>
      <w:bookmarkEnd w:id="497"/>
      <w:bookmarkEnd w:id="498"/>
      <w:bookmarkEnd w:id="499"/>
    </w:p>
    <w:p>
      <w:pPr>
        <w:rPr>
          <w:rFonts w:hint="default" w:ascii="仿宋_GB2312" w:eastAsia="仿宋_GB2312"/>
          <w:lang w:val="en-US" w:eastAsia="zh-CN"/>
        </w:rPr>
      </w:pPr>
      <w:r>
        <w:rPr>
          <w:rFonts w:hint="eastAsia"/>
          <w:lang w:val="en-US" w:eastAsia="zh-CN"/>
        </w:rPr>
        <w:t>崖州冬季瓜菜和热带水果外销渠道较为传统，中间流通环节较多，对终端市场渠道的整合能力弱，需要形成对接消费市场的农产品供应专线，一方面“没有中间商赚差价”提高农民收益，一方面强化农产品追溯机制，倒逼崖州农业向规模化、设施化、生态化转型。</w:t>
      </w:r>
    </w:p>
    <w:p>
      <w:pPr>
        <w:rPr>
          <w:rFonts w:hint="eastAsia"/>
          <w:lang w:val="en-US" w:eastAsia="zh-CN"/>
        </w:rPr>
      </w:pPr>
      <w:r>
        <w:rPr>
          <w:rFonts w:hint="eastAsia"/>
          <w:b/>
          <w:bCs/>
          <w:lang w:val="en-US" w:eastAsia="zh-CN"/>
        </w:rPr>
        <w:t>一是拓展直供直销渠道</w:t>
      </w:r>
      <w:r>
        <w:rPr>
          <w:rFonts w:hint="eastAsia"/>
          <w:b w:val="0"/>
          <w:bCs w:val="0"/>
          <w:lang w:val="en-US" w:eastAsia="zh-CN"/>
        </w:rPr>
        <w:t>。引入大型O2O（线上线下）平台商建立农产品直供直销渠道，</w:t>
      </w:r>
      <w:r>
        <w:rPr>
          <w:rFonts w:hint="eastAsia" w:ascii="仿宋_GB2312" w:eastAsia="仿宋_GB2312"/>
          <w:lang w:val="en-US" w:eastAsia="zh-CN"/>
        </w:rPr>
        <w:t>对接</w:t>
      </w:r>
      <w:r>
        <w:rPr>
          <w:rFonts w:hint="eastAsia"/>
          <w:lang w:val="en-US" w:eastAsia="zh-CN"/>
        </w:rPr>
        <w:t>珠三角、长三角一线城市连锁商超和</w:t>
      </w:r>
      <w:r>
        <w:rPr>
          <w:rFonts w:hint="eastAsia" w:ascii="仿宋_GB2312" w:eastAsia="仿宋_GB2312"/>
          <w:lang w:val="en-US" w:eastAsia="zh-CN"/>
        </w:rPr>
        <w:t>大型农产品批发市场，</w:t>
      </w:r>
      <w:r>
        <w:rPr>
          <w:rFonts w:hint="eastAsia"/>
          <w:lang w:val="en-US" w:eastAsia="zh-CN"/>
        </w:rPr>
        <w:t>吸引渠道终端企业在崖州开展订单式采购，引导农民按照渠道商提出的品质要求种植生产，实施规模化、现代化、订单式种植</w:t>
      </w:r>
      <w:r>
        <w:rPr>
          <w:rFonts w:hint="eastAsia"/>
          <w:b w:val="0"/>
          <w:bCs w:val="0"/>
          <w:highlight w:val="none"/>
          <w:lang w:val="en-US" w:eastAsia="zh-CN"/>
        </w:rPr>
        <w:t>，实现从“菜园子”直“菜篮子”无缝对接</w:t>
      </w:r>
      <w:r>
        <w:rPr>
          <w:rFonts w:hint="eastAsia"/>
          <w:lang w:val="en-US" w:eastAsia="zh-CN"/>
        </w:rPr>
        <w:t>。</w:t>
      </w:r>
    </w:p>
    <w:p>
      <w:pPr>
        <w:rPr>
          <w:rFonts w:hint="eastAsia"/>
          <w:b w:val="0"/>
          <w:bCs w:val="0"/>
          <w:lang w:val="en-US" w:eastAsia="zh-CN"/>
        </w:rPr>
      </w:pPr>
      <w:r>
        <w:rPr>
          <w:rFonts w:hint="eastAsia"/>
          <w:b/>
          <w:bCs/>
          <w:lang w:val="en-US" w:eastAsia="zh-CN"/>
        </w:rPr>
        <w:t>二是构建“产地仓+冷链专线”模式</w:t>
      </w:r>
      <w:r>
        <w:rPr>
          <w:rFonts w:hint="eastAsia"/>
          <w:b w:val="0"/>
          <w:bCs w:val="0"/>
          <w:lang w:val="en-US" w:eastAsia="zh-CN"/>
        </w:rPr>
        <w:t>。打造农产品冷链物流体系，冬季瓜菜采用定期定线定量模式，优质水果采用定期空运物流专线，形成对合作城市渠道商的稳定供应。</w:t>
      </w:r>
    </w:p>
    <w:p>
      <w:pPr>
        <w:rPr>
          <w:rFonts w:hint="eastAsia"/>
          <w:b w:val="0"/>
          <w:bCs w:val="0"/>
          <w:lang w:val="en-US" w:eastAsia="zh-CN"/>
        </w:rPr>
      </w:pPr>
      <w:r>
        <w:rPr>
          <w:rFonts w:hint="eastAsia"/>
          <w:b/>
          <w:bCs/>
          <w:lang w:val="en-US" w:eastAsia="zh-CN"/>
        </w:rPr>
        <w:t>三是实施品牌战略</w:t>
      </w:r>
      <w:r>
        <w:rPr>
          <w:rFonts w:hint="eastAsia"/>
          <w:b w:val="0"/>
          <w:bCs w:val="0"/>
          <w:lang w:val="en-US" w:eastAsia="zh-CN"/>
        </w:rPr>
        <w:t>。与渠道商共同打造崖州果蔬地域公共品牌，提高崖州农产品溢价能力，实施好农产品的品牌战略。</w:t>
      </w:r>
    </w:p>
    <w:p>
      <w:pPr>
        <w:pStyle w:val="5"/>
        <w:numPr>
          <w:ilvl w:val="0"/>
          <w:numId w:val="39"/>
        </w:numPr>
        <w:bidi w:val="0"/>
        <w:rPr>
          <w:rFonts w:hint="default"/>
          <w:lang w:val="en-US" w:eastAsia="zh-CN"/>
        </w:rPr>
      </w:pPr>
      <w:bookmarkStart w:id="500" w:name="_Toc18640"/>
      <w:bookmarkStart w:id="501" w:name="_Toc4658"/>
      <w:bookmarkStart w:id="502" w:name="_Toc4920"/>
      <w:r>
        <w:rPr>
          <w:rFonts w:hint="eastAsia"/>
          <w:lang w:val="en-US" w:eastAsia="zh-CN"/>
        </w:rPr>
        <w:t>推进商业综合体落地，优化商业网点，发展免税专业店</w:t>
      </w:r>
      <w:bookmarkEnd w:id="500"/>
      <w:bookmarkEnd w:id="501"/>
      <w:bookmarkEnd w:id="502"/>
    </w:p>
    <w:p>
      <w:pPr>
        <w:rPr>
          <w:rFonts w:hint="eastAsia"/>
          <w:lang w:val="en-US" w:eastAsia="zh-CN"/>
        </w:rPr>
      </w:pPr>
      <w:r>
        <w:rPr>
          <w:rFonts w:hint="eastAsia"/>
          <w:b/>
          <w:bCs/>
          <w:lang w:val="en-US" w:eastAsia="zh-CN"/>
        </w:rPr>
        <w:t>一是推进大型商业综合体落地。</w:t>
      </w:r>
      <w:r>
        <w:rPr>
          <w:rFonts w:hint="eastAsia"/>
          <w:lang w:val="en-US" w:eastAsia="zh-CN"/>
        </w:rPr>
        <w:t>在崖州湾科技城大学城附近布局大型商业综合体，服务科技城员工、科教城学生、崖州区居民、游客等，建设功能满足日常消费、购物餐饮、娱乐体验、教育培训、酒店、办公、公寓等需要。</w:t>
      </w:r>
    </w:p>
    <w:p>
      <w:pPr>
        <w:rPr>
          <w:rFonts w:hint="eastAsia"/>
          <w:lang w:val="en-US" w:eastAsia="zh-CN"/>
        </w:rPr>
      </w:pPr>
      <w:r>
        <w:rPr>
          <w:rFonts w:hint="eastAsia"/>
          <w:b/>
          <w:bCs/>
          <w:lang w:val="en-US" w:eastAsia="zh-CN"/>
        </w:rPr>
        <w:t>二是积极优化城乡商业网点。</w:t>
      </w:r>
      <w:r>
        <w:rPr>
          <w:rFonts w:hint="eastAsia"/>
          <w:lang w:val="en-US" w:eastAsia="zh-CN"/>
        </w:rPr>
        <w:t>发展好夜间经济，建设公益性批发零售市场，确保菜篮子稳定，选取村（居）委会建立便民服务生活区，满足居民自产自销需要，缓解农贸市场压力。</w:t>
      </w:r>
    </w:p>
    <w:p>
      <w:pPr>
        <w:rPr>
          <w:rFonts w:hint="default"/>
          <w:lang w:val="en-US" w:eastAsia="zh-CN"/>
        </w:rPr>
      </w:pPr>
      <w:r>
        <w:rPr>
          <w:rFonts w:hint="eastAsia"/>
          <w:b/>
          <w:bCs/>
          <w:lang w:val="en-US" w:eastAsia="zh-CN"/>
        </w:rPr>
        <w:t>三是发展免税专业店。</w:t>
      </w:r>
      <w:r>
        <w:rPr>
          <w:rFonts w:hint="eastAsia"/>
          <w:lang w:val="en-US" w:eastAsia="zh-CN"/>
        </w:rPr>
        <w:t>用好自贸港政策，在崖州导入主题乐园项目基础上，发展玩具、游戏机、儿童用品、游戏动漫周边产品、主题公园周边产品免税购物，吸引国内外玩家、粉丝群体消费。</w:t>
      </w:r>
    </w:p>
    <w:p>
      <w:pPr>
        <w:pStyle w:val="5"/>
        <w:numPr>
          <w:ilvl w:val="0"/>
          <w:numId w:val="39"/>
        </w:numPr>
        <w:bidi w:val="0"/>
        <w:rPr>
          <w:rFonts w:hint="default"/>
          <w:lang w:val="en-US" w:eastAsia="zh-CN"/>
        </w:rPr>
      </w:pPr>
      <w:bookmarkStart w:id="503" w:name="_Toc15410"/>
      <w:bookmarkStart w:id="504" w:name="_Toc9368"/>
      <w:bookmarkStart w:id="505" w:name="_Toc18628"/>
      <w:r>
        <w:rPr>
          <w:rFonts w:hint="eastAsia"/>
          <w:lang w:val="en-US" w:eastAsia="zh-CN"/>
        </w:rPr>
        <w:t>承担北菜南运功能，向大三亚区域供应进岛农产品</w:t>
      </w:r>
      <w:bookmarkEnd w:id="503"/>
      <w:bookmarkEnd w:id="504"/>
      <w:bookmarkEnd w:id="505"/>
    </w:p>
    <w:p>
      <w:pPr>
        <w:rPr>
          <w:rFonts w:hint="eastAsia" w:ascii="仿宋_GB2312" w:eastAsia="仿宋_GB2312"/>
          <w:lang w:val="en-US" w:eastAsia="zh-CN"/>
        </w:rPr>
      </w:pPr>
      <w:r>
        <w:rPr>
          <w:rFonts w:hint="eastAsia" w:ascii="仿宋_GB2312" w:eastAsia="仿宋_GB2312"/>
          <w:lang w:val="en-US" w:eastAsia="zh-CN"/>
        </w:rPr>
        <w:t>目前三亚进岛蔬菜集散地主要为吉阳区鸿岗农贸市场，进岛蔬菜日均交易量约100吨，鸿岗农贸市场位于城区，场地空间局促，进出交通不便。新建崖州果蔬综合批发市场具备良好的冷链仓储、农产品集散分拨、交通物流条件，积极承担大三亚区域进岛农产品</w:t>
      </w:r>
      <w:r>
        <w:rPr>
          <w:rFonts w:hint="default"/>
          <w:lang w:val="en-US" w:eastAsia="zh-CN"/>
        </w:rPr>
        <w:t>“北菜南运”</w:t>
      </w:r>
      <w:r>
        <w:rPr>
          <w:rFonts w:hint="eastAsia" w:ascii="仿宋_GB2312" w:eastAsia="仿宋_GB2312"/>
          <w:lang w:val="en-US" w:eastAsia="zh-CN"/>
        </w:rPr>
        <w:t>的集散功能，打造成为一年四季全天候交易市场。</w:t>
      </w:r>
    </w:p>
    <w:p>
      <w:pPr>
        <w:pStyle w:val="5"/>
        <w:numPr>
          <w:ilvl w:val="0"/>
          <w:numId w:val="39"/>
        </w:numPr>
        <w:bidi w:val="0"/>
        <w:rPr>
          <w:rFonts w:hint="eastAsia"/>
          <w:lang w:val="en-US" w:eastAsia="zh-CN"/>
        </w:rPr>
      </w:pPr>
      <w:bookmarkStart w:id="506" w:name="_Toc11195"/>
      <w:r>
        <w:rPr>
          <w:rFonts w:hint="eastAsia"/>
          <w:lang w:val="en-US" w:eastAsia="zh-CN"/>
        </w:rPr>
        <w:t>发展第三方养老服务业，培育壮大健康产业</w:t>
      </w:r>
      <w:bookmarkEnd w:id="506"/>
    </w:p>
    <w:p>
      <w:pPr>
        <w:rPr>
          <w:rFonts w:hint="default"/>
          <w:lang w:val="en-US" w:eastAsia="zh-CN"/>
        </w:rPr>
      </w:pPr>
      <w:r>
        <w:rPr>
          <w:rFonts w:hint="eastAsia"/>
          <w:lang w:val="en-US" w:eastAsia="zh-CN"/>
        </w:rPr>
        <w:t>推进</w:t>
      </w:r>
      <w:r>
        <w:rPr>
          <w:rFonts w:hint="eastAsia" w:ascii="仿宋_GB2312" w:eastAsia="仿宋_GB2312"/>
          <w:lang w:val="en-US" w:eastAsia="zh-CN"/>
        </w:rPr>
        <w:t>养老服务业市场</w:t>
      </w:r>
      <w:r>
        <w:rPr>
          <w:rFonts w:hint="eastAsia"/>
          <w:lang w:val="en-US" w:eastAsia="zh-CN"/>
        </w:rPr>
        <w:t>取得</w:t>
      </w:r>
      <w:r>
        <w:rPr>
          <w:rFonts w:hint="eastAsia" w:ascii="仿宋_GB2312" w:eastAsia="仿宋_GB2312"/>
          <w:lang w:val="en-US" w:eastAsia="zh-CN"/>
        </w:rPr>
        <w:t>新突破</w:t>
      </w:r>
      <w:r>
        <w:rPr>
          <w:rFonts w:hint="eastAsia"/>
          <w:lang w:val="en-US" w:eastAsia="zh-CN"/>
        </w:rPr>
        <w:t>，</w:t>
      </w:r>
      <w:r>
        <w:rPr>
          <w:rFonts w:hint="eastAsia" w:ascii="仿宋_GB2312" w:eastAsia="仿宋_GB2312"/>
          <w:lang w:val="en-US" w:eastAsia="zh-CN"/>
        </w:rPr>
        <w:t>实施市场主体承诺即入制，严格落实“非禁即入”</w:t>
      </w:r>
      <w:r>
        <w:rPr>
          <w:rFonts w:hint="eastAsia"/>
          <w:lang w:val="en-US" w:eastAsia="zh-CN"/>
        </w:rPr>
        <w:t>，</w:t>
      </w:r>
      <w:r>
        <w:rPr>
          <w:rFonts w:hint="eastAsia" w:ascii="仿宋_GB2312" w:eastAsia="仿宋_GB2312"/>
          <w:lang w:val="en-US" w:eastAsia="zh-CN"/>
        </w:rPr>
        <w:t>鼓励社会力量以出资新建、参与改制、托管、公建民营、民办公助等方式参与养老服务业。对不同主体投资举办的护理型养老机构，实行同等的建设补贴和运营补贴政策。建立政府购买基本养老服务清单制度，鼓励社会力量兴办中高端老年养护机构，扶持医养结合型养老机构建设。</w:t>
      </w:r>
      <w:r>
        <w:rPr>
          <w:rFonts w:hint="eastAsia"/>
          <w:lang w:val="en-US" w:eastAsia="zh-CN"/>
        </w:rPr>
        <w:t>围绕崖州湾科技城发展需要，积极争取</w:t>
      </w:r>
      <w:r>
        <w:rPr>
          <w:rFonts w:hint="eastAsia" w:ascii="仿宋_GB2312" w:eastAsia="仿宋_GB2312"/>
          <w:lang w:val="en-US" w:eastAsia="zh-CN"/>
        </w:rPr>
        <w:t>婴幼儿照护试点工作，构建主体多元、布局合理、管理规范、满足多层次需求的婴幼儿照护服务体系</w:t>
      </w:r>
      <w:r>
        <w:rPr>
          <w:rFonts w:hint="eastAsia"/>
          <w:lang w:val="en-US" w:eastAsia="zh-CN"/>
        </w:rPr>
        <w:t>。</w:t>
      </w:r>
      <w:r>
        <w:rPr>
          <w:rFonts w:hint="default"/>
          <w:lang w:val="en-US" w:eastAsia="zh-CN"/>
        </w:rPr>
        <w:t>以主动健康为核心，</w:t>
      </w:r>
      <w:r>
        <w:rPr>
          <w:rFonts w:hint="eastAsia"/>
          <w:lang w:val="en-US" w:eastAsia="zh-CN"/>
        </w:rPr>
        <w:t>吸引</w:t>
      </w:r>
      <w:r>
        <w:rPr>
          <w:rFonts w:hint="default"/>
          <w:lang w:val="en-US" w:eastAsia="zh-CN"/>
        </w:rPr>
        <w:t>康复养生、中医药健康服务</w:t>
      </w:r>
      <w:r>
        <w:rPr>
          <w:rFonts w:hint="eastAsia"/>
          <w:lang w:val="en-US" w:eastAsia="zh-CN"/>
        </w:rPr>
        <w:t>等健康产业向崖州集聚，</w:t>
      </w:r>
      <w:r>
        <w:rPr>
          <w:rFonts w:hint="default"/>
          <w:lang w:val="en-US" w:eastAsia="zh-CN"/>
        </w:rPr>
        <w:t>发展中医养生、森林养生、气候养生。</w:t>
      </w:r>
    </w:p>
    <w:p>
      <w:pPr>
        <w:pStyle w:val="3"/>
        <w:bidi w:val="0"/>
        <w:rPr>
          <w:rFonts w:hint="eastAsia"/>
          <w:lang w:val="en-US" w:eastAsia="zh-CN"/>
        </w:rPr>
      </w:pPr>
      <w:bookmarkStart w:id="507" w:name="_Toc13036"/>
      <w:bookmarkStart w:id="508" w:name="_Toc1216"/>
      <w:bookmarkStart w:id="509" w:name="_Toc23749"/>
      <w:r>
        <w:rPr>
          <w:rFonts w:hint="eastAsia"/>
          <w:lang w:val="en-US" w:eastAsia="zh-CN"/>
        </w:rPr>
        <w:t>第四节  发展目标</w:t>
      </w:r>
      <w:bookmarkEnd w:id="507"/>
      <w:bookmarkEnd w:id="508"/>
      <w:bookmarkEnd w:id="509"/>
    </w:p>
    <w:p>
      <w:pPr>
        <w:pStyle w:val="4"/>
        <w:bidi w:val="0"/>
        <w:rPr>
          <w:rFonts w:hint="eastAsia"/>
          <w:lang w:val="en-US" w:eastAsia="zh-CN"/>
        </w:rPr>
      </w:pPr>
      <w:bookmarkStart w:id="510" w:name="_Toc30983"/>
      <w:bookmarkStart w:id="511" w:name="_Toc29220"/>
      <w:bookmarkStart w:id="512" w:name="_Toc11866"/>
      <w:r>
        <w:rPr>
          <w:rFonts w:hint="eastAsia"/>
          <w:lang w:val="en-US" w:eastAsia="zh-CN"/>
        </w:rPr>
        <w:t>一、细分领域</w:t>
      </w:r>
      <w:bookmarkEnd w:id="510"/>
      <w:bookmarkEnd w:id="511"/>
      <w:bookmarkEnd w:id="512"/>
    </w:p>
    <w:p>
      <w:pPr>
        <w:rPr>
          <w:rFonts w:hint="eastAsia"/>
          <w:lang w:val="en-US" w:eastAsia="zh-CN"/>
        </w:rPr>
      </w:pPr>
      <w:r>
        <w:rPr>
          <w:rFonts w:hint="eastAsia" w:ascii="仿宋_GB2312" w:eastAsia="仿宋_GB2312"/>
          <w:lang w:val="en-US" w:eastAsia="zh-CN"/>
        </w:rPr>
        <w:t>崖州区</w:t>
      </w:r>
      <w:r>
        <w:rPr>
          <w:rFonts w:hint="eastAsia"/>
          <w:lang w:val="en-US" w:eastAsia="zh-CN"/>
        </w:rPr>
        <w:t>第三产业重点发展</w:t>
      </w:r>
      <w:r>
        <w:rPr>
          <w:rFonts w:hint="eastAsia"/>
          <w:b/>
          <w:bCs/>
          <w:lang w:val="en-US" w:eastAsia="zh-CN"/>
        </w:rPr>
        <w:t>旅游业</w:t>
      </w:r>
      <w:r>
        <w:rPr>
          <w:rFonts w:hint="eastAsia"/>
          <w:lang w:val="en-US" w:eastAsia="zh-CN"/>
        </w:rPr>
        <w:t>和</w:t>
      </w:r>
      <w:r>
        <w:rPr>
          <w:rFonts w:hint="eastAsia"/>
          <w:b/>
          <w:bCs/>
          <w:lang w:val="en-US" w:eastAsia="zh-CN"/>
        </w:rPr>
        <w:t>商贸物流业</w:t>
      </w:r>
      <w:r>
        <w:rPr>
          <w:rFonts w:hint="eastAsia"/>
          <w:lang w:val="en-US" w:eastAsia="zh-CN"/>
        </w:rPr>
        <w:t>。</w:t>
      </w:r>
    </w:p>
    <w:p>
      <w:pPr>
        <w:rPr>
          <w:rFonts w:hint="eastAsia" w:ascii="仿宋_GB2312" w:eastAsia="仿宋_GB2312"/>
          <w:lang w:val="en-US" w:eastAsia="zh-CN"/>
        </w:rPr>
      </w:pPr>
      <w:r>
        <w:rPr>
          <w:rFonts w:hint="eastAsia" w:ascii="仿宋_GB2312" w:eastAsia="仿宋_GB2312"/>
          <w:lang w:val="en-US" w:eastAsia="zh-CN"/>
        </w:rPr>
        <w:t>旅游业重点发展</w:t>
      </w:r>
      <w:r>
        <w:rPr>
          <w:rFonts w:hint="eastAsia" w:ascii="仿宋_GB2312" w:eastAsia="仿宋_GB2312"/>
          <w:b/>
          <w:bCs/>
          <w:lang w:val="en-US" w:eastAsia="zh-CN"/>
        </w:rPr>
        <w:t>古城文化游、主题乐园游、亲子研学游、南海之恋游、运动体验游、休闲农渔游、红色爱国游</w:t>
      </w:r>
      <w:r>
        <w:rPr>
          <w:rFonts w:hint="eastAsia" w:ascii="仿宋_GB2312" w:eastAsia="仿宋_GB2312"/>
          <w:lang w:val="en-US" w:eastAsia="zh-CN"/>
        </w:rPr>
        <w:t>等细分领域。</w:t>
      </w:r>
    </w:p>
    <w:p>
      <w:pPr>
        <w:rPr>
          <w:rFonts w:hint="default" w:ascii="仿宋_GB2312" w:eastAsia="仿宋_GB2312"/>
          <w:lang w:val="en-US" w:eastAsia="zh-CN"/>
        </w:rPr>
      </w:pPr>
      <w:r>
        <w:rPr>
          <w:rFonts w:hint="eastAsia"/>
          <w:lang w:val="en-US" w:eastAsia="zh-CN"/>
        </w:rPr>
        <w:t>商贸物流业重点发展</w:t>
      </w:r>
      <w:r>
        <w:rPr>
          <w:rFonts w:hint="eastAsia"/>
          <w:b/>
          <w:bCs/>
          <w:lang w:val="en-US" w:eastAsia="zh-CN"/>
        </w:rPr>
        <w:t>生活服务业、农渔产品交易、现代物流、电子商务、免税购物</w:t>
      </w:r>
      <w:r>
        <w:rPr>
          <w:rFonts w:hint="eastAsia"/>
          <w:lang w:val="en-US" w:eastAsia="zh-CN"/>
        </w:rPr>
        <w:t>等细分领域。</w:t>
      </w:r>
    </w:p>
    <w:p>
      <w:pPr>
        <w:bidi w:val="0"/>
        <w:spacing w:line="240" w:lineRule="auto"/>
        <w:ind w:firstLine="0" w:firstLineChars="0"/>
        <w:jc w:val="center"/>
        <w:rPr>
          <w:rFonts w:hint="default" w:ascii="楷体" w:hAnsi="楷体" w:eastAsia="楷体" w:cs="楷体"/>
          <w:b w:val="0"/>
          <w:bCs w:val="0"/>
          <w:sz w:val="28"/>
          <w:szCs w:val="28"/>
          <w:lang w:val="en-US" w:eastAsia="zh-CN"/>
        </w:rPr>
      </w:pPr>
      <w:r>
        <w:rPr>
          <w:rFonts w:hint="eastAsia" w:ascii="楷体" w:hAnsi="楷体" w:eastAsia="楷体" w:cs="楷体"/>
          <w:b w:val="0"/>
          <w:bCs w:val="0"/>
          <w:sz w:val="28"/>
          <w:szCs w:val="28"/>
          <w:lang w:val="en-US" w:eastAsia="zh-CN"/>
        </w:rPr>
        <w:t>表29  第三产业发展方向和细分领域</w:t>
      </w:r>
    </w:p>
    <w:tbl>
      <w:tblPr>
        <w:tblStyle w:val="18"/>
        <w:tblW w:w="5000" w:type="pct"/>
        <w:jc w:val="center"/>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33"/>
        <w:gridCol w:w="1234"/>
        <w:gridCol w:w="6055"/>
      </w:tblGrid>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blHeader/>
          <w:jc w:val="center"/>
        </w:trPr>
        <w:tc>
          <w:tcPr>
            <w:tcW w:w="1233"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产业方向</w:t>
            </w:r>
          </w:p>
        </w:tc>
        <w:tc>
          <w:tcPr>
            <w:tcW w:w="123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细分领域</w:t>
            </w:r>
          </w:p>
        </w:tc>
        <w:tc>
          <w:tcPr>
            <w:tcW w:w="6055"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发展重点</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33" w:type="dxa"/>
            <w:vMerge w:val="restart"/>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1.旅游业</w:t>
            </w:r>
          </w:p>
        </w:tc>
        <w:tc>
          <w:tcPr>
            <w:tcW w:w="123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（1）古城文化游</w:t>
            </w:r>
          </w:p>
        </w:tc>
        <w:tc>
          <w:tcPr>
            <w:tcW w:w="6055" w:type="dxa"/>
            <w:vAlign w:val="top"/>
          </w:tcPr>
          <w:p>
            <w:pPr>
              <w:keepNext w:val="0"/>
              <w:keepLines w:val="0"/>
              <w:pageBreakBefore w:val="0"/>
              <w:widowControl/>
              <w:numPr>
                <w:ilvl w:val="0"/>
                <w:numId w:val="41"/>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打造</w:t>
            </w:r>
            <w:r>
              <w:rPr>
                <w:rFonts w:hint="default" w:ascii="楷体" w:hAnsi="楷体" w:eastAsia="楷体" w:cs="楷体"/>
                <w:b w:val="0"/>
                <w:bCs w:val="0"/>
                <w:i w:val="0"/>
                <w:iCs w:val="0"/>
                <w:color w:val="000000"/>
                <w:kern w:val="2"/>
                <w:sz w:val="24"/>
                <w:szCs w:val="24"/>
                <w:u w:val="none"/>
                <w:lang w:val="en-US" w:eastAsia="zh-CN" w:bidi="ar"/>
              </w:rPr>
              <w:t>以崖州古城为核心、串联周边历史文化景点的文旅探秘</w:t>
            </w:r>
            <w:r>
              <w:rPr>
                <w:rFonts w:hint="eastAsia" w:ascii="楷体" w:hAnsi="楷体" w:eastAsia="楷体" w:cs="楷体"/>
                <w:b w:val="0"/>
                <w:bCs w:val="0"/>
                <w:i w:val="0"/>
                <w:iCs w:val="0"/>
                <w:color w:val="000000"/>
                <w:kern w:val="2"/>
                <w:sz w:val="24"/>
                <w:szCs w:val="24"/>
                <w:u w:val="none"/>
                <w:lang w:val="en-US" w:eastAsia="zh-CN" w:bidi="ar"/>
              </w:rPr>
              <w:t>经典</w:t>
            </w:r>
            <w:r>
              <w:rPr>
                <w:rFonts w:hint="default" w:ascii="楷体" w:hAnsi="楷体" w:eastAsia="楷体" w:cs="楷体"/>
                <w:b w:val="0"/>
                <w:bCs w:val="0"/>
                <w:i w:val="0"/>
                <w:iCs w:val="0"/>
                <w:color w:val="000000"/>
                <w:kern w:val="2"/>
                <w:sz w:val="24"/>
                <w:szCs w:val="24"/>
                <w:u w:val="none"/>
                <w:lang w:val="en-US" w:eastAsia="zh-CN" w:bidi="ar"/>
              </w:rPr>
              <w:t>路线</w:t>
            </w:r>
          </w:p>
          <w:p>
            <w:pPr>
              <w:keepNext w:val="0"/>
              <w:keepLines w:val="0"/>
              <w:pageBreakBefore w:val="0"/>
              <w:widowControl/>
              <w:numPr>
                <w:ilvl w:val="0"/>
                <w:numId w:val="41"/>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default" w:ascii="楷体" w:hAnsi="楷体" w:eastAsia="楷体" w:cs="楷体"/>
                <w:b w:val="0"/>
                <w:bCs w:val="0"/>
                <w:i w:val="0"/>
                <w:iCs w:val="0"/>
                <w:color w:val="000000"/>
                <w:kern w:val="2"/>
                <w:sz w:val="24"/>
                <w:szCs w:val="24"/>
                <w:u w:val="none"/>
                <w:lang w:val="en-US" w:eastAsia="zh-CN" w:bidi="ar"/>
              </w:rPr>
              <w:t>在宁远河综合治理基础上</w:t>
            </w:r>
            <w:r>
              <w:rPr>
                <w:rFonts w:hint="eastAsia" w:ascii="楷体" w:hAnsi="楷体" w:eastAsia="楷体" w:cs="楷体"/>
                <w:b w:val="0"/>
                <w:bCs w:val="0"/>
                <w:i w:val="0"/>
                <w:iCs w:val="0"/>
                <w:color w:val="000000"/>
                <w:kern w:val="2"/>
                <w:sz w:val="24"/>
                <w:szCs w:val="24"/>
                <w:u w:val="none"/>
                <w:lang w:val="en-US" w:eastAsia="zh-CN" w:bidi="ar"/>
              </w:rPr>
              <w:t>，</w:t>
            </w:r>
            <w:r>
              <w:rPr>
                <w:rFonts w:hint="default" w:ascii="楷体" w:hAnsi="楷体" w:eastAsia="楷体" w:cs="楷体"/>
                <w:b w:val="0"/>
                <w:bCs w:val="0"/>
                <w:i w:val="0"/>
                <w:iCs w:val="0"/>
                <w:color w:val="000000"/>
                <w:kern w:val="2"/>
                <w:sz w:val="24"/>
                <w:szCs w:val="24"/>
                <w:u w:val="none"/>
                <w:lang w:val="en-US" w:eastAsia="zh-CN" w:bidi="ar"/>
              </w:rPr>
              <w:t>打造中国唯一以“南海”为主题的</w:t>
            </w:r>
            <w:r>
              <w:rPr>
                <w:rFonts w:hint="eastAsia" w:ascii="楷体" w:hAnsi="楷体" w:eastAsia="楷体" w:cs="楷体"/>
                <w:b w:val="0"/>
                <w:bCs w:val="0"/>
                <w:i w:val="0"/>
                <w:iCs w:val="0"/>
                <w:color w:val="000000"/>
                <w:kern w:val="2"/>
                <w:sz w:val="24"/>
                <w:szCs w:val="24"/>
                <w:u w:val="none"/>
                <w:lang w:val="en-US" w:eastAsia="zh-CN" w:bidi="ar"/>
              </w:rPr>
              <w:t>滨河</w:t>
            </w:r>
            <w:r>
              <w:rPr>
                <w:rFonts w:hint="default" w:ascii="楷体" w:hAnsi="楷体" w:eastAsia="楷体" w:cs="楷体"/>
                <w:b w:val="0"/>
                <w:bCs w:val="0"/>
                <w:i w:val="0"/>
                <w:iCs w:val="0"/>
                <w:color w:val="000000"/>
                <w:kern w:val="2"/>
                <w:sz w:val="24"/>
                <w:szCs w:val="24"/>
                <w:u w:val="none"/>
                <w:lang w:val="en-US" w:eastAsia="zh-CN" w:bidi="ar"/>
              </w:rPr>
              <w:t>生态景观文化公园</w:t>
            </w:r>
          </w:p>
          <w:p>
            <w:pPr>
              <w:keepNext w:val="0"/>
              <w:keepLines w:val="0"/>
              <w:pageBreakBefore w:val="0"/>
              <w:widowControl/>
              <w:numPr>
                <w:ilvl w:val="0"/>
                <w:numId w:val="41"/>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default" w:ascii="楷体" w:hAnsi="楷体" w:eastAsia="楷体" w:cs="楷体"/>
                <w:b w:val="0"/>
                <w:bCs w:val="0"/>
                <w:i w:val="0"/>
                <w:iCs w:val="0"/>
                <w:color w:val="000000"/>
                <w:kern w:val="2"/>
                <w:sz w:val="24"/>
                <w:szCs w:val="24"/>
                <w:u w:val="none"/>
                <w:lang w:val="en-US" w:eastAsia="zh-CN" w:bidi="ar"/>
              </w:rPr>
              <w:t>策划</w:t>
            </w:r>
            <w:r>
              <w:rPr>
                <w:rFonts w:hint="eastAsia" w:ascii="楷体" w:hAnsi="楷体" w:eastAsia="楷体" w:cs="楷体"/>
                <w:b w:val="0"/>
                <w:bCs w:val="0"/>
                <w:i w:val="0"/>
                <w:iCs w:val="0"/>
                <w:color w:val="000000"/>
                <w:kern w:val="2"/>
                <w:sz w:val="24"/>
                <w:szCs w:val="24"/>
                <w:u w:val="none"/>
                <w:lang w:val="en-US" w:eastAsia="zh-CN" w:bidi="ar"/>
              </w:rPr>
              <w:t>重现</w:t>
            </w:r>
            <w:r>
              <w:rPr>
                <w:rFonts w:hint="default" w:ascii="楷体" w:hAnsi="楷体" w:eastAsia="楷体" w:cs="楷体"/>
                <w:b w:val="0"/>
                <w:bCs w:val="0"/>
                <w:i w:val="0"/>
                <w:iCs w:val="0"/>
                <w:color w:val="000000"/>
                <w:kern w:val="2"/>
                <w:sz w:val="24"/>
                <w:szCs w:val="24"/>
                <w:u w:val="none"/>
                <w:lang w:val="en-US" w:eastAsia="zh-CN" w:bidi="ar"/>
              </w:rPr>
              <w:t>“新崖州八景”，通过继承、再构、重塑、更新等手段</w:t>
            </w:r>
            <w:r>
              <w:rPr>
                <w:rFonts w:hint="eastAsia" w:ascii="楷体" w:hAnsi="楷体" w:eastAsia="楷体" w:cs="楷体"/>
                <w:b w:val="0"/>
                <w:bCs w:val="0"/>
                <w:i w:val="0"/>
                <w:iCs w:val="0"/>
                <w:color w:val="000000"/>
                <w:kern w:val="2"/>
                <w:sz w:val="24"/>
                <w:szCs w:val="24"/>
                <w:u w:val="none"/>
                <w:lang w:val="en-US" w:eastAsia="zh-CN" w:bidi="ar"/>
              </w:rPr>
              <w:t>建设8处景点，</w:t>
            </w:r>
            <w:r>
              <w:rPr>
                <w:rFonts w:hint="default" w:ascii="楷体" w:hAnsi="楷体" w:eastAsia="楷体" w:cs="楷体"/>
                <w:b w:val="0"/>
                <w:bCs w:val="0"/>
                <w:i w:val="0"/>
                <w:iCs w:val="0"/>
                <w:color w:val="000000"/>
                <w:kern w:val="2"/>
                <w:sz w:val="24"/>
                <w:szCs w:val="24"/>
                <w:u w:val="none"/>
                <w:lang w:val="en-US" w:eastAsia="zh-CN" w:bidi="ar"/>
              </w:rPr>
              <w:t>形成崖州独具特色的文化景致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33" w:type="dxa"/>
            <w:vMerge w:val="continue"/>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23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（2）主题乐园游</w:t>
            </w:r>
          </w:p>
        </w:tc>
        <w:tc>
          <w:tcPr>
            <w:tcW w:w="6055" w:type="dxa"/>
            <w:vAlign w:val="top"/>
          </w:tcPr>
          <w:p>
            <w:pPr>
              <w:keepNext w:val="0"/>
              <w:keepLines w:val="0"/>
              <w:pageBreakBefore w:val="0"/>
              <w:widowControl/>
              <w:numPr>
                <w:ilvl w:val="0"/>
                <w:numId w:val="42"/>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大力引入3-5家国内外知名IP主题乐园，打造缤纷荟萃的全球主题乐园集聚地</w:t>
            </w:r>
          </w:p>
          <w:p>
            <w:pPr>
              <w:keepNext w:val="0"/>
              <w:keepLines w:val="0"/>
              <w:pageBreakBefore w:val="0"/>
              <w:widowControl/>
              <w:numPr>
                <w:ilvl w:val="0"/>
                <w:numId w:val="42"/>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建设多个崖州特色主题公园，如宁远河南海文化公园、</w:t>
            </w:r>
            <w:r>
              <w:rPr>
                <w:rFonts w:hint="default" w:ascii="楷体" w:hAnsi="楷体" w:eastAsia="楷体" w:cs="楷体"/>
                <w:b w:val="0"/>
                <w:bCs w:val="0"/>
                <w:i w:val="0"/>
                <w:iCs w:val="0"/>
                <w:color w:val="000000"/>
                <w:kern w:val="2"/>
                <w:sz w:val="24"/>
                <w:szCs w:val="24"/>
                <w:u w:val="none"/>
                <w:lang w:val="en-US" w:eastAsia="zh-CN" w:bidi="ar"/>
              </w:rPr>
              <w:t>沙滩运动公园</w:t>
            </w:r>
            <w:r>
              <w:rPr>
                <w:rFonts w:hint="eastAsia" w:ascii="楷体" w:hAnsi="楷体" w:eastAsia="楷体" w:cs="楷体"/>
                <w:b w:val="0"/>
                <w:bCs w:val="0"/>
                <w:i w:val="0"/>
                <w:iCs w:val="0"/>
                <w:color w:val="000000"/>
                <w:kern w:val="2"/>
                <w:sz w:val="24"/>
                <w:szCs w:val="24"/>
                <w:u w:val="none"/>
                <w:lang w:val="en-US" w:eastAsia="zh-CN" w:bidi="ar"/>
              </w:rPr>
              <w:t>、南海之恋婚庆公园、疍家文化公园、南繁植物园等</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33" w:type="dxa"/>
            <w:vMerge w:val="continue"/>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23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（3）亲子研学游</w:t>
            </w:r>
          </w:p>
        </w:tc>
        <w:tc>
          <w:tcPr>
            <w:tcW w:w="6055" w:type="dxa"/>
            <w:vAlign w:val="top"/>
          </w:tcPr>
          <w:p>
            <w:pPr>
              <w:keepNext w:val="0"/>
              <w:keepLines w:val="0"/>
              <w:pageBreakBefore w:val="0"/>
              <w:widowControl/>
              <w:numPr>
                <w:ilvl w:val="0"/>
                <w:numId w:val="43"/>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围绕南繁、深海等崖州特色科技主题，打造科普型、亲子型、度假型科技研学路线，抓住青少年旅游广阔市场</w:t>
            </w:r>
          </w:p>
          <w:p>
            <w:pPr>
              <w:keepNext w:val="0"/>
              <w:keepLines w:val="0"/>
              <w:pageBreakBefore w:val="0"/>
              <w:widowControl/>
              <w:numPr>
                <w:ilvl w:val="0"/>
                <w:numId w:val="43"/>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加快南繁博物馆、中国深海博物馆、南繁主题植物公园（南滨田园综合体）、热带农业青少年科普基地（水南村田园综合体）项目建设</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33" w:type="dxa"/>
            <w:vMerge w:val="continue"/>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23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（4）南海之恋游</w:t>
            </w:r>
          </w:p>
        </w:tc>
        <w:tc>
          <w:tcPr>
            <w:tcW w:w="6055" w:type="dxa"/>
            <w:vAlign w:val="top"/>
          </w:tcPr>
          <w:p>
            <w:pPr>
              <w:keepNext w:val="0"/>
              <w:keepLines w:val="0"/>
              <w:pageBreakBefore w:val="0"/>
              <w:widowControl/>
              <w:numPr>
                <w:ilvl w:val="0"/>
                <w:numId w:val="44"/>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在梅山角头湾滨海建设南海之恋婚庆主题公园，打造业内闻名的旅拍外景基地</w:t>
            </w:r>
          </w:p>
          <w:p>
            <w:pPr>
              <w:keepNext w:val="0"/>
              <w:keepLines w:val="0"/>
              <w:pageBreakBefore w:val="0"/>
              <w:widowControl/>
              <w:numPr>
                <w:ilvl w:val="0"/>
                <w:numId w:val="44"/>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继续做好三亚大小洞天婚拍基地</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33" w:type="dxa"/>
            <w:vMerge w:val="continue"/>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p>
        </w:tc>
        <w:tc>
          <w:tcPr>
            <w:tcW w:w="123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（5）运动体验游</w:t>
            </w:r>
          </w:p>
        </w:tc>
        <w:tc>
          <w:tcPr>
            <w:tcW w:w="6055" w:type="dxa"/>
            <w:vAlign w:val="top"/>
          </w:tcPr>
          <w:p>
            <w:pPr>
              <w:keepNext w:val="0"/>
              <w:keepLines w:val="0"/>
              <w:pageBreakBefore w:val="0"/>
              <w:widowControl/>
              <w:numPr>
                <w:ilvl w:val="0"/>
                <w:numId w:val="45"/>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建设角头湾沙滩体育运动公园，发展沙滩、海上、低空“海陆空”体育运动</w:t>
            </w:r>
          </w:p>
          <w:p>
            <w:pPr>
              <w:keepNext w:val="0"/>
              <w:keepLines w:val="0"/>
              <w:pageBreakBefore w:val="0"/>
              <w:widowControl/>
              <w:numPr>
                <w:ilvl w:val="0"/>
                <w:numId w:val="45"/>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积极引入运动赛事，以赛带游，提高崖州知名度</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33" w:type="dxa"/>
            <w:vMerge w:val="continue"/>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p>
        </w:tc>
        <w:tc>
          <w:tcPr>
            <w:tcW w:w="123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（6）休闲农渔业游</w:t>
            </w:r>
          </w:p>
        </w:tc>
        <w:tc>
          <w:tcPr>
            <w:tcW w:w="6055" w:type="dxa"/>
            <w:vAlign w:val="top"/>
          </w:tcPr>
          <w:p>
            <w:pPr>
              <w:keepNext w:val="0"/>
              <w:keepLines w:val="0"/>
              <w:pageBreakBefore w:val="0"/>
              <w:widowControl/>
              <w:numPr>
                <w:ilvl w:val="0"/>
                <w:numId w:val="46"/>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以“农业农村+休闲体验”为主题，发展热带水果、设施农业、共享农庄、田洋风光、乡村游学等农旅休闲体验观光游</w:t>
            </w:r>
          </w:p>
          <w:p>
            <w:pPr>
              <w:keepNext w:val="0"/>
              <w:keepLines w:val="0"/>
              <w:pageBreakBefore w:val="0"/>
              <w:widowControl/>
              <w:numPr>
                <w:ilvl w:val="0"/>
                <w:numId w:val="46"/>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以“农业科技+科普体验”为主题，发展农业科技主题公园，形成热带农业科技研学亲子主题目的地</w:t>
            </w:r>
          </w:p>
          <w:p>
            <w:pPr>
              <w:keepNext w:val="0"/>
              <w:keepLines w:val="0"/>
              <w:pageBreakBefore w:val="0"/>
              <w:widowControl/>
              <w:numPr>
                <w:ilvl w:val="0"/>
                <w:numId w:val="46"/>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以“南繁小镇+度假养生”为主题，发展生态艺术酒店、主题民宿、度假公寓等产品，建设南繁田园综合体小镇</w:t>
            </w:r>
          </w:p>
          <w:p>
            <w:pPr>
              <w:keepNext w:val="0"/>
              <w:keepLines w:val="0"/>
              <w:pageBreakBefore w:val="0"/>
              <w:widowControl/>
              <w:numPr>
                <w:ilvl w:val="0"/>
                <w:numId w:val="47"/>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建设休闲渔业示范基地和特色小镇，发展运动休闲垂钓、赛事节庆活动、渔事体验观光、渔人码头餐饮、疍家特色民宿、亲子科普研学业态</w:t>
            </w:r>
          </w:p>
          <w:p>
            <w:pPr>
              <w:keepNext w:val="0"/>
              <w:keepLines w:val="0"/>
              <w:pageBreakBefore w:val="0"/>
              <w:widowControl/>
              <w:numPr>
                <w:ilvl w:val="0"/>
                <w:numId w:val="47"/>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以中心渔港为母港打造海钓赛事基地，举办精品赛事和节庆活动，投放清洁能源游钓船艇等休闲渔船</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33" w:type="dxa"/>
            <w:vMerge w:val="continue"/>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23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（7）红色爱国游</w:t>
            </w:r>
          </w:p>
        </w:tc>
        <w:tc>
          <w:tcPr>
            <w:tcW w:w="6055" w:type="dxa"/>
            <w:vAlign w:val="top"/>
          </w:tcPr>
          <w:p>
            <w:pPr>
              <w:keepNext w:val="0"/>
              <w:keepLines w:val="0"/>
              <w:pageBreakBefore w:val="0"/>
              <w:widowControl/>
              <w:numPr>
                <w:ilvl w:val="0"/>
                <w:numId w:val="48"/>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做好梅山革命史馆和梅山老区烈士陵园爱国主义教育基地</w:t>
            </w:r>
          </w:p>
          <w:p>
            <w:pPr>
              <w:keepNext w:val="0"/>
              <w:keepLines w:val="0"/>
              <w:pageBreakBefore w:val="0"/>
              <w:widowControl/>
              <w:numPr>
                <w:ilvl w:val="0"/>
                <w:numId w:val="48"/>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根据环岛旅游公路项目进展建设“崖州红韵”驿站</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33" w:type="dxa"/>
            <w:vMerge w:val="restart"/>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2.商贸物流业</w:t>
            </w:r>
          </w:p>
        </w:tc>
        <w:tc>
          <w:tcPr>
            <w:tcW w:w="123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（1）生活服务业</w:t>
            </w:r>
          </w:p>
        </w:tc>
        <w:tc>
          <w:tcPr>
            <w:tcW w:w="6055" w:type="dxa"/>
            <w:vAlign w:val="top"/>
          </w:tcPr>
          <w:p>
            <w:pPr>
              <w:keepNext w:val="0"/>
              <w:keepLines w:val="0"/>
              <w:pageBreakBefore w:val="0"/>
              <w:widowControl/>
              <w:numPr>
                <w:ilvl w:val="0"/>
                <w:numId w:val="49"/>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建设大型商业综合体，促进购物、专业免税店、餐饮、娱乐、酒店、教培、亲子、康体、SOHO等消费升级</w:t>
            </w:r>
          </w:p>
          <w:p>
            <w:pPr>
              <w:keepNext w:val="0"/>
              <w:keepLines w:val="0"/>
              <w:pageBreakBefore w:val="0"/>
              <w:widowControl/>
              <w:numPr>
                <w:ilvl w:val="0"/>
                <w:numId w:val="49"/>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有序推进地产中介、汽车租赁、旅行服务等中介服务行业</w:t>
            </w:r>
          </w:p>
          <w:p>
            <w:pPr>
              <w:keepNext w:val="0"/>
              <w:keepLines w:val="0"/>
              <w:pageBreakBefore w:val="0"/>
              <w:widowControl/>
              <w:numPr>
                <w:ilvl w:val="0"/>
                <w:numId w:val="49"/>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优化城乡商业网点，促进农资用品流通，积极发展夜间经济</w:t>
            </w:r>
          </w:p>
          <w:p>
            <w:pPr>
              <w:keepNext w:val="0"/>
              <w:keepLines w:val="0"/>
              <w:pageBreakBefore w:val="0"/>
              <w:widowControl/>
              <w:numPr>
                <w:ilvl w:val="0"/>
                <w:numId w:val="49"/>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建设中大型建材家居市场，服务崖州及周边临近区域</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33" w:type="dxa"/>
            <w:vMerge w:val="continue"/>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23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（2）农渔产品交易</w:t>
            </w:r>
          </w:p>
        </w:tc>
        <w:tc>
          <w:tcPr>
            <w:tcW w:w="6055" w:type="dxa"/>
            <w:vAlign w:val="top"/>
          </w:tcPr>
          <w:p>
            <w:pPr>
              <w:keepNext w:val="0"/>
              <w:keepLines w:val="0"/>
              <w:pageBreakBefore w:val="0"/>
              <w:widowControl/>
              <w:numPr>
                <w:ilvl w:val="0"/>
                <w:numId w:val="50"/>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加快崖州果蔬综合批发市场和三亚崖州中心渔港两大交易基地基础设施建设，提升交易、仓储、物流、加工、电商、观光、渔船服务等综合服务功能</w:t>
            </w:r>
          </w:p>
          <w:p>
            <w:pPr>
              <w:keepNext w:val="0"/>
              <w:keepLines w:val="0"/>
              <w:pageBreakBefore w:val="0"/>
              <w:widowControl/>
              <w:numPr>
                <w:ilvl w:val="0"/>
                <w:numId w:val="50"/>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推进崖州中心渔港设立海关特殊监管区域，建设国际海洋渔业交易中心</w:t>
            </w:r>
          </w:p>
          <w:p>
            <w:pPr>
              <w:keepNext w:val="0"/>
              <w:keepLines w:val="0"/>
              <w:pageBreakBefore w:val="0"/>
              <w:widowControl/>
              <w:numPr>
                <w:ilvl w:val="0"/>
                <w:numId w:val="50"/>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做好冬季瓜菜和热带水果交易集散功能，积极发展服务大三亚的“北菜南运”进岛农产品集散</w:t>
            </w:r>
          </w:p>
          <w:p>
            <w:pPr>
              <w:keepNext w:val="0"/>
              <w:keepLines w:val="0"/>
              <w:pageBreakBefore w:val="0"/>
              <w:widowControl/>
              <w:numPr>
                <w:ilvl w:val="0"/>
                <w:numId w:val="50"/>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打造农产品渠道商供应专线，提升农民合作社组织能力，吸引一线城市渠道终端企业在崖州开展订单式采购，引导农民实施规模化、现代化、订单式种植</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33" w:type="dxa"/>
            <w:vMerge w:val="continue"/>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23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（3）现代物流</w:t>
            </w:r>
          </w:p>
        </w:tc>
        <w:tc>
          <w:tcPr>
            <w:tcW w:w="6055" w:type="dxa"/>
            <w:vAlign w:val="top"/>
          </w:tcPr>
          <w:p>
            <w:pPr>
              <w:keepNext w:val="0"/>
              <w:keepLines w:val="0"/>
              <w:pageBreakBefore w:val="0"/>
              <w:widowControl/>
              <w:numPr>
                <w:ilvl w:val="0"/>
                <w:numId w:val="51"/>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构建完善的农产品、水产品冷链仓储物流体系，引入知名冷链物流投资方和运营商</w:t>
            </w:r>
          </w:p>
          <w:p>
            <w:pPr>
              <w:keepNext w:val="0"/>
              <w:keepLines w:val="0"/>
              <w:pageBreakBefore w:val="0"/>
              <w:widowControl/>
              <w:numPr>
                <w:ilvl w:val="0"/>
                <w:numId w:val="51"/>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依托果蔬批发市场和中心渔港建设2个现代物流园区，规划形成全区现代物流基础设施体系</w:t>
            </w:r>
          </w:p>
          <w:p>
            <w:pPr>
              <w:keepNext w:val="0"/>
              <w:keepLines w:val="0"/>
              <w:pageBreakBefore w:val="0"/>
              <w:widowControl/>
              <w:numPr>
                <w:ilvl w:val="0"/>
                <w:numId w:val="51"/>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健全覆盖城乡的快递网络，助力农产品上行、消费品和农资下行</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33" w:type="dxa"/>
            <w:vMerge w:val="continue"/>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23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（4）电子商务</w:t>
            </w:r>
          </w:p>
        </w:tc>
        <w:tc>
          <w:tcPr>
            <w:tcW w:w="6055" w:type="dxa"/>
            <w:vAlign w:val="top"/>
          </w:tcPr>
          <w:p>
            <w:pPr>
              <w:keepNext w:val="0"/>
              <w:keepLines w:val="0"/>
              <w:pageBreakBefore w:val="0"/>
              <w:widowControl/>
              <w:numPr>
                <w:ilvl w:val="0"/>
                <w:numId w:val="52"/>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打造“2+N”电商体系，“2”指崖州果蔬综合批发市场和三亚崖州中心渔港两大电商基地，“N”指多个专业化电商村和网销农产品专供生产基地，推广“电商+龙头企业+专业合作社+农户”模式</w:t>
            </w:r>
          </w:p>
          <w:p>
            <w:pPr>
              <w:keepNext w:val="0"/>
              <w:keepLines w:val="0"/>
              <w:pageBreakBefore w:val="0"/>
              <w:widowControl/>
              <w:numPr>
                <w:ilvl w:val="0"/>
                <w:numId w:val="52"/>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引入专业电商团队，支持本地电商发展壮大</w:t>
            </w:r>
          </w:p>
          <w:p>
            <w:pPr>
              <w:keepNext w:val="0"/>
              <w:keepLines w:val="0"/>
              <w:pageBreakBefore w:val="0"/>
              <w:widowControl/>
              <w:numPr>
                <w:ilvl w:val="0"/>
                <w:numId w:val="52"/>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有组织、有计划、有节奏、有方案地策划打造一批网红水果、网红水产品、网红农旅休闲基地，叫响崖州地理品牌</w:t>
            </w:r>
          </w:p>
          <w:p>
            <w:pPr>
              <w:keepNext w:val="0"/>
              <w:keepLines w:val="0"/>
              <w:pageBreakBefore w:val="0"/>
              <w:widowControl/>
              <w:numPr>
                <w:ilvl w:val="0"/>
                <w:numId w:val="52"/>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发展跨境电商，支持农产品出口，把崖州热带水果销往温带国家地区</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33" w:type="dxa"/>
            <w:vMerge w:val="continue"/>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23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（5）免税购物</w:t>
            </w:r>
          </w:p>
        </w:tc>
        <w:tc>
          <w:tcPr>
            <w:tcW w:w="6055" w:type="dxa"/>
            <w:vAlign w:val="top"/>
          </w:tcPr>
          <w:p>
            <w:pPr>
              <w:keepNext w:val="0"/>
              <w:keepLines w:val="0"/>
              <w:pageBreakBefore w:val="0"/>
              <w:widowControl/>
              <w:numPr>
                <w:ilvl w:val="0"/>
                <w:numId w:val="53"/>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发展细分领域免税购物，在导入主题乐园重大项目基础上，发展玩具、电子游戏机、体育用品、主题公园周边商品、游戏动漫周边商品等免税购物</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33"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3.创新研发</w:t>
            </w:r>
          </w:p>
        </w:tc>
        <w:tc>
          <w:tcPr>
            <w:tcW w:w="123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（1）南繁</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（2）深海</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（3）科教</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（4）信息技术</w:t>
            </w:r>
          </w:p>
        </w:tc>
        <w:tc>
          <w:tcPr>
            <w:tcW w:w="6055" w:type="dxa"/>
            <w:vAlign w:val="top"/>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（根据崖州湾科技城产业发展规划推进实施）</w:t>
            </w:r>
          </w:p>
        </w:tc>
      </w:tr>
    </w:tbl>
    <w:p>
      <w:pPr>
        <w:pStyle w:val="4"/>
        <w:bidi w:val="0"/>
        <w:rPr>
          <w:rFonts w:hint="default"/>
          <w:lang w:val="en-US" w:eastAsia="zh-CN"/>
        </w:rPr>
      </w:pPr>
      <w:bookmarkStart w:id="513" w:name="_Toc27172"/>
      <w:bookmarkStart w:id="514" w:name="_Toc30020"/>
      <w:bookmarkStart w:id="515" w:name="_Toc1552"/>
      <w:r>
        <w:rPr>
          <w:rFonts w:hint="eastAsia"/>
          <w:lang w:val="en-US" w:eastAsia="zh-CN"/>
        </w:rPr>
        <w:t>二、发展目标</w:t>
      </w:r>
      <w:bookmarkEnd w:id="513"/>
      <w:bookmarkEnd w:id="514"/>
      <w:bookmarkEnd w:id="515"/>
    </w:p>
    <w:p>
      <w:pPr>
        <w:rPr>
          <w:rFonts w:hint="default"/>
          <w:lang w:val="en-US" w:eastAsia="zh-CN"/>
        </w:rPr>
      </w:pPr>
      <w:r>
        <w:rPr>
          <w:rFonts w:hint="default"/>
          <w:lang w:val="en-US" w:eastAsia="zh-CN"/>
        </w:rPr>
        <w:t>到2025年，全区第</w:t>
      </w:r>
      <w:r>
        <w:rPr>
          <w:rFonts w:hint="eastAsia"/>
          <w:lang w:val="en-US" w:eastAsia="zh-CN"/>
        </w:rPr>
        <w:t>三</w:t>
      </w:r>
      <w:r>
        <w:rPr>
          <w:rFonts w:hint="default"/>
          <w:lang w:val="en-US" w:eastAsia="zh-CN"/>
        </w:rPr>
        <w:t>产业地区生产总值（GDP）达到</w:t>
      </w:r>
      <w:r>
        <w:rPr>
          <w:rFonts w:hint="eastAsia"/>
          <w:lang w:val="en-US" w:eastAsia="zh-CN"/>
        </w:rPr>
        <w:t>85</w:t>
      </w:r>
      <w:r>
        <w:rPr>
          <w:rFonts w:hint="default"/>
          <w:lang w:val="en-US" w:eastAsia="zh-CN"/>
        </w:rPr>
        <w:t>亿元，年均增速达到</w:t>
      </w:r>
      <w:r>
        <w:rPr>
          <w:rFonts w:hint="eastAsia"/>
          <w:lang w:val="en-US" w:eastAsia="zh-CN"/>
        </w:rPr>
        <w:t>19.8</w:t>
      </w:r>
      <w:r>
        <w:rPr>
          <w:rFonts w:hint="default"/>
          <w:lang w:val="en-US" w:eastAsia="zh-CN"/>
        </w:rPr>
        <w:t>%。</w:t>
      </w:r>
    </w:p>
    <w:p>
      <w:pPr>
        <w:rPr>
          <w:rFonts w:hint="default"/>
          <w:lang w:val="en-US" w:eastAsia="zh-CN"/>
        </w:rPr>
      </w:pPr>
      <w:r>
        <w:rPr>
          <w:rFonts w:hint="default"/>
          <w:lang w:val="en-US" w:eastAsia="zh-CN"/>
        </w:rPr>
        <w:t>到2035年，全区第</w:t>
      </w:r>
      <w:r>
        <w:rPr>
          <w:rFonts w:hint="eastAsia"/>
          <w:lang w:val="en-US" w:eastAsia="zh-CN"/>
        </w:rPr>
        <w:t>三</w:t>
      </w:r>
      <w:r>
        <w:rPr>
          <w:rFonts w:hint="default"/>
          <w:lang w:val="en-US" w:eastAsia="zh-CN"/>
        </w:rPr>
        <w:t>产业地区生产总值（GDP）达到</w:t>
      </w:r>
      <w:r>
        <w:rPr>
          <w:rFonts w:hint="eastAsia"/>
          <w:lang w:val="en-US" w:eastAsia="zh-CN"/>
        </w:rPr>
        <w:t>25</w:t>
      </w:r>
      <w:r>
        <w:rPr>
          <w:rFonts w:hint="default"/>
          <w:lang w:val="en-US" w:eastAsia="zh-CN"/>
        </w:rPr>
        <w:t>0亿元，2025-2035年的年均增速达到1</w:t>
      </w:r>
      <w:r>
        <w:rPr>
          <w:rFonts w:hint="eastAsia"/>
          <w:lang w:val="en-US" w:eastAsia="zh-CN"/>
        </w:rPr>
        <w:t>1.4</w:t>
      </w:r>
      <w:r>
        <w:rPr>
          <w:rFonts w:hint="default"/>
          <w:lang w:val="en-US" w:eastAsia="zh-CN"/>
        </w:rPr>
        <w:t>%。</w:t>
      </w:r>
    </w:p>
    <w:p>
      <w:pPr>
        <w:ind w:left="0" w:leftChars="0" w:firstLine="0" w:firstLineChars="0"/>
        <w:jc w:val="center"/>
        <w:rPr>
          <w:rFonts w:hint="eastAsia" w:ascii="楷体" w:hAnsi="楷体" w:eastAsia="楷体" w:cs="楷体"/>
          <w:b w:val="0"/>
          <w:bCs w:val="0"/>
          <w:sz w:val="28"/>
          <w:szCs w:val="28"/>
          <w:lang w:val="en-US" w:eastAsia="zh-CN"/>
        </w:rPr>
      </w:pPr>
      <w:r>
        <w:rPr>
          <w:rFonts w:hint="eastAsia" w:ascii="楷体" w:hAnsi="楷体" w:eastAsia="楷体" w:cs="楷体"/>
          <w:b w:val="0"/>
          <w:bCs w:val="0"/>
          <w:sz w:val="28"/>
          <w:szCs w:val="28"/>
          <w:lang w:val="en-US" w:eastAsia="zh-CN"/>
        </w:rPr>
        <w:t>表30  第三产业产值测算表</w:t>
      </w:r>
    </w:p>
    <w:tbl>
      <w:tblPr>
        <w:tblStyle w:val="18"/>
        <w:tblW w:w="5000" w:type="pct"/>
        <w:tblInd w:w="0" w:type="dxa"/>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85"/>
        <w:gridCol w:w="630"/>
        <w:gridCol w:w="1163"/>
        <w:gridCol w:w="5376"/>
        <w:gridCol w:w="968"/>
      </w:tblGrid>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tblHeader/>
        </w:trPr>
        <w:tc>
          <w:tcPr>
            <w:tcW w:w="1015" w:type="dxa"/>
            <w:gridSpan w:val="2"/>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bCs/>
                <w:i w:val="0"/>
                <w:iCs w:val="0"/>
                <w:color w:val="auto"/>
                <w:kern w:val="2"/>
                <w:sz w:val="21"/>
                <w:szCs w:val="21"/>
                <w:u w:val="none"/>
                <w:lang w:val="en-US" w:eastAsia="zh-CN" w:bidi="ar"/>
              </w:rPr>
            </w:pPr>
            <w:r>
              <w:rPr>
                <w:rFonts w:hint="eastAsia" w:ascii="楷体" w:hAnsi="楷体" w:eastAsia="楷体" w:cs="楷体"/>
                <w:b/>
                <w:bCs/>
                <w:i w:val="0"/>
                <w:color w:val="auto"/>
                <w:kern w:val="2"/>
                <w:sz w:val="21"/>
                <w:szCs w:val="21"/>
                <w:u w:val="none"/>
                <w:lang w:val="en-US" w:eastAsia="zh-CN" w:bidi="ar"/>
              </w:rPr>
              <w:t>产业</w:t>
            </w:r>
          </w:p>
        </w:tc>
        <w:tc>
          <w:tcPr>
            <w:tcW w:w="1163" w:type="dxa"/>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bCs/>
                <w:i w:val="0"/>
                <w:iCs w:val="0"/>
                <w:color w:val="auto"/>
                <w:kern w:val="2"/>
                <w:sz w:val="21"/>
                <w:szCs w:val="21"/>
                <w:u w:val="none"/>
                <w:lang w:val="en-US" w:eastAsia="zh-CN" w:bidi="ar"/>
              </w:rPr>
            </w:pPr>
            <w:r>
              <w:rPr>
                <w:rFonts w:hint="eastAsia" w:ascii="楷体" w:hAnsi="楷体" w:eastAsia="楷体" w:cs="楷体"/>
                <w:b/>
                <w:bCs/>
                <w:i w:val="0"/>
                <w:iCs w:val="0"/>
                <w:color w:val="auto"/>
                <w:kern w:val="2"/>
                <w:sz w:val="21"/>
                <w:szCs w:val="21"/>
                <w:u w:val="none"/>
                <w:lang w:val="en-US" w:eastAsia="zh-CN" w:bidi="ar"/>
              </w:rPr>
              <w:t>细分方向</w:t>
            </w:r>
          </w:p>
        </w:tc>
        <w:tc>
          <w:tcPr>
            <w:tcW w:w="5376" w:type="dxa"/>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bCs/>
                <w:i w:val="0"/>
                <w:iCs w:val="0"/>
                <w:color w:val="auto"/>
                <w:kern w:val="2"/>
                <w:sz w:val="21"/>
                <w:szCs w:val="21"/>
                <w:u w:val="none"/>
                <w:lang w:val="en-US" w:eastAsia="zh-CN" w:bidi="ar"/>
              </w:rPr>
            </w:pPr>
            <w:r>
              <w:rPr>
                <w:rFonts w:hint="eastAsia" w:ascii="楷体" w:hAnsi="楷体" w:eastAsia="楷体" w:cs="楷体"/>
                <w:b/>
                <w:bCs/>
                <w:i w:val="0"/>
                <w:iCs w:val="0"/>
                <w:color w:val="auto"/>
                <w:kern w:val="2"/>
                <w:sz w:val="21"/>
                <w:szCs w:val="21"/>
                <w:u w:val="none"/>
                <w:lang w:val="en-US" w:eastAsia="zh-CN" w:bidi="ar"/>
              </w:rPr>
              <w:t>测算说明</w:t>
            </w:r>
          </w:p>
        </w:tc>
        <w:tc>
          <w:tcPr>
            <w:tcW w:w="968" w:type="dxa"/>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bCs/>
                <w:i w:val="0"/>
                <w:iCs w:val="0"/>
                <w:color w:val="auto"/>
                <w:kern w:val="2"/>
                <w:sz w:val="21"/>
                <w:szCs w:val="21"/>
                <w:u w:val="none"/>
                <w:lang w:val="en-US" w:eastAsia="zh-CN" w:bidi="ar"/>
              </w:rPr>
            </w:pPr>
            <w:r>
              <w:rPr>
                <w:rFonts w:hint="eastAsia" w:ascii="楷体" w:hAnsi="楷体" w:eastAsia="楷体" w:cs="楷体"/>
                <w:b/>
                <w:bCs/>
                <w:i w:val="0"/>
                <w:iCs w:val="0"/>
                <w:color w:val="auto"/>
                <w:kern w:val="2"/>
                <w:sz w:val="21"/>
                <w:szCs w:val="21"/>
                <w:u w:val="none"/>
                <w:lang w:val="en-US" w:eastAsia="zh-CN" w:bidi="ar"/>
              </w:rPr>
              <w:t>结论</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1015" w:type="dxa"/>
            <w:gridSpan w:val="2"/>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黑体" w:hAnsi="黑体" w:eastAsia="黑体" w:cs="黑体"/>
                <w:b w:val="0"/>
                <w:bCs w:val="0"/>
                <w:i w:val="0"/>
                <w:color w:val="auto"/>
                <w:kern w:val="2"/>
                <w:sz w:val="18"/>
                <w:szCs w:val="18"/>
                <w:u w:val="none"/>
                <w:lang w:val="en-US" w:eastAsia="zh-CN" w:bidi="ar"/>
              </w:rPr>
            </w:pPr>
            <w:r>
              <w:rPr>
                <w:rFonts w:hint="eastAsia" w:ascii="黑体" w:hAnsi="黑体" w:eastAsia="黑体" w:cs="黑体"/>
                <w:b w:val="0"/>
                <w:bCs w:val="0"/>
                <w:i w:val="0"/>
                <w:color w:val="auto"/>
                <w:kern w:val="2"/>
                <w:sz w:val="18"/>
                <w:szCs w:val="18"/>
                <w:u w:val="none"/>
                <w:lang w:val="en-US" w:eastAsia="zh-CN" w:bidi="ar"/>
              </w:rPr>
              <w:t>最</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黑体" w:hAnsi="黑体" w:eastAsia="黑体" w:cs="黑体"/>
                <w:b w:val="0"/>
                <w:bCs w:val="0"/>
                <w:i w:val="0"/>
                <w:color w:val="auto"/>
                <w:kern w:val="2"/>
                <w:sz w:val="18"/>
                <w:szCs w:val="18"/>
                <w:u w:val="none"/>
                <w:lang w:val="en-US" w:eastAsia="zh-CN" w:bidi="ar"/>
              </w:rPr>
            </w:pPr>
            <w:r>
              <w:rPr>
                <w:rFonts w:hint="eastAsia" w:ascii="黑体" w:hAnsi="黑体" w:eastAsia="黑体" w:cs="黑体"/>
                <w:b w:val="0"/>
                <w:bCs w:val="0"/>
                <w:i w:val="0"/>
                <w:color w:val="auto"/>
                <w:kern w:val="2"/>
                <w:sz w:val="18"/>
                <w:szCs w:val="18"/>
                <w:u w:val="none"/>
                <w:lang w:val="en-US" w:eastAsia="zh-CN" w:bidi="ar"/>
              </w:rPr>
              <w:t>终</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黑体" w:hAnsi="黑体" w:eastAsia="黑体" w:cs="黑体"/>
                <w:b w:val="0"/>
                <w:bCs w:val="0"/>
                <w:i w:val="0"/>
                <w:color w:val="auto"/>
                <w:kern w:val="2"/>
                <w:sz w:val="18"/>
                <w:szCs w:val="18"/>
                <w:u w:val="none"/>
                <w:lang w:val="en-US" w:eastAsia="zh-CN" w:bidi="ar"/>
              </w:rPr>
            </w:pPr>
            <w:r>
              <w:rPr>
                <w:rFonts w:hint="eastAsia" w:ascii="黑体" w:hAnsi="黑体" w:eastAsia="黑体" w:cs="黑体"/>
                <w:b w:val="0"/>
                <w:bCs w:val="0"/>
                <w:i w:val="0"/>
                <w:color w:val="auto"/>
                <w:kern w:val="2"/>
                <w:sz w:val="18"/>
                <w:szCs w:val="18"/>
                <w:u w:val="none"/>
                <w:lang w:val="en-US" w:eastAsia="zh-CN" w:bidi="ar"/>
              </w:rPr>
              <w:t>总</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黑体" w:hAnsi="黑体" w:eastAsia="黑体" w:cs="黑体"/>
                <w:b w:val="0"/>
                <w:bCs w:val="0"/>
                <w:i w:val="0"/>
                <w:color w:val="auto"/>
                <w:kern w:val="2"/>
                <w:sz w:val="18"/>
                <w:szCs w:val="18"/>
                <w:u w:val="none"/>
                <w:lang w:val="en-US" w:eastAsia="zh-CN" w:bidi="ar"/>
              </w:rPr>
            </w:pPr>
            <w:r>
              <w:rPr>
                <w:rFonts w:hint="eastAsia" w:ascii="黑体" w:hAnsi="黑体" w:eastAsia="黑体" w:cs="黑体"/>
                <w:b w:val="0"/>
                <w:bCs w:val="0"/>
                <w:i w:val="0"/>
                <w:color w:val="auto"/>
                <w:kern w:val="2"/>
                <w:sz w:val="18"/>
                <w:szCs w:val="18"/>
                <w:u w:val="none"/>
                <w:lang w:val="en-US" w:eastAsia="zh-CN" w:bidi="ar"/>
              </w:rPr>
              <w:t>结</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黑体" w:hAnsi="黑体" w:eastAsia="黑体" w:cs="黑体"/>
                <w:b w:val="0"/>
                <w:bCs w:val="0"/>
                <w:i w:val="0"/>
                <w:color w:val="auto"/>
                <w:kern w:val="2"/>
                <w:sz w:val="18"/>
                <w:szCs w:val="18"/>
                <w:u w:val="none"/>
                <w:lang w:val="en-US" w:eastAsia="zh-CN" w:bidi="ar"/>
              </w:rPr>
            </w:pPr>
            <w:r>
              <w:rPr>
                <w:rFonts w:hint="eastAsia" w:ascii="黑体" w:hAnsi="黑体" w:eastAsia="黑体" w:cs="黑体"/>
                <w:b w:val="0"/>
                <w:bCs w:val="0"/>
                <w:i w:val="0"/>
                <w:color w:val="auto"/>
                <w:kern w:val="2"/>
                <w:sz w:val="18"/>
                <w:szCs w:val="18"/>
                <w:u w:val="none"/>
                <w:lang w:val="en-US" w:eastAsia="zh-CN" w:bidi="ar"/>
              </w:rPr>
              <w:t>论</w:t>
            </w:r>
          </w:p>
        </w:tc>
        <w:tc>
          <w:tcPr>
            <w:tcW w:w="1163" w:type="dxa"/>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2019-2020</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现状基础</w:t>
            </w:r>
          </w:p>
        </w:tc>
        <w:tc>
          <w:tcPr>
            <w:tcW w:w="5376" w:type="dxa"/>
            <w:vAlign w:val="top"/>
          </w:tcPr>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黑体" w:hAnsi="黑体" w:eastAsia="黑体" w:cs="黑体"/>
                <w:b w:val="0"/>
                <w:bCs w:val="0"/>
                <w:i w:val="0"/>
                <w:iCs w:val="0"/>
                <w:color w:val="auto"/>
                <w:kern w:val="2"/>
                <w:sz w:val="18"/>
                <w:szCs w:val="18"/>
                <w:u w:val="none"/>
                <w:lang w:val="en-US" w:eastAsia="zh-CN" w:bidi="ar"/>
              </w:rPr>
              <w:t>2</w:t>
            </w:r>
            <w:r>
              <w:rPr>
                <w:rFonts w:hint="eastAsia" w:ascii="楷体" w:hAnsi="楷体" w:eastAsia="楷体" w:cs="楷体"/>
                <w:b w:val="0"/>
                <w:bCs w:val="0"/>
                <w:i w:val="0"/>
                <w:iCs w:val="0"/>
                <w:color w:val="auto"/>
                <w:kern w:val="2"/>
                <w:sz w:val="18"/>
                <w:szCs w:val="18"/>
                <w:u w:val="none"/>
                <w:lang w:val="en-US" w:eastAsia="zh-CN" w:bidi="ar"/>
              </w:rPr>
              <w:t>019年：全区GDP为64.3亿，建区到2019年年均增速9.1%</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黑体" w:hAnsi="黑体" w:eastAsia="黑体" w:cs="黑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2020年：全区GDP为66.3亿，建区到2020年年均增速7.9%</w:t>
            </w:r>
          </w:p>
        </w:tc>
        <w:tc>
          <w:tcPr>
            <w:tcW w:w="968" w:type="dxa"/>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auto"/>
                <w:kern w:val="2"/>
                <w:sz w:val="18"/>
                <w:szCs w:val="18"/>
                <w:u w:val="none"/>
                <w:lang w:val="en-US" w:eastAsia="zh-CN" w:bidi="ar"/>
              </w:rPr>
            </w:pPr>
            <w:r>
              <w:rPr>
                <w:rFonts w:hint="eastAsia" w:ascii="楷体" w:hAnsi="楷体" w:eastAsia="楷体" w:cs="楷体"/>
                <w:b w:val="0"/>
                <w:bCs w:val="0"/>
                <w:i w:val="0"/>
                <w:color w:val="auto"/>
                <w:kern w:val="2"/>
                <w:sz w:val="18"/>
                <w:szCs w:val="18"/>
                <w:u w:val="none"/>
                <w:lang w:val="en-US" w:eastAsia="zh-CN" w:bidi="ar"/>
              </w:rPr>
              <w:t>2020年</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黑体" w:hAnsi="黑体" w:eastAsia="黑体" w:cs="黑体"/>
                <w:b w:val="0"/>
                <w:bCs w:val="0"/>
                <w:i w:val="0"/>
                <w:iCs w:val="0"/>
                <w:color w:val="auto"/>
                <w:kern w:val="2"/>
                <w:sz w:val="18"/>
                <w:szCs w:val="18"/>
                <w:u w:val="none"/>
                <w:lang w:val="en-US" w:eastAsia="zh-CN" w:bidi="ar"/>
              </w:rPr>
            </w:pPr>
            <w:r>
              <w:rPr>
                <w:rFonts w:hint="eastAsia" w:ascii="楷体" w:hAnsi="楷体" w:eastAsia="楷体" w:cs="楷体"/>
                <w:b w:val="0"/>
                <w:bCs w:val="0"/>
                <w:i w:val="0"/>
                <w:color w:val="auto"/>
                <w:kern w:val="2"/>
                <w:sz w:val="18"/>
                <w:szCs w:val="18"/>
                <w:u w:val="none"/>
                <w:lang w:val="en-US" w:eastAsia="zh-CN" w:bidi="ar"/>
              </w:rPr>
              <w:t>66.3亿</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1015" w:type="dxa"/>
            <w:gridSpan w:val="2"/>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黑体" w:hAnsi="黑体" w:eastAsia="黑体" w:cs="黑体"/>
                <w:b w:val="0"/>
                <w:bCs w:val="0"/>
                <w:i w:val="0"/>
                <w:color w:val="auto"/>
                <w:kern w:val="2"/>
                <w:sz w:val="18"/>
                <w:szCs w:val="18"/>
                <w:u w:val="none"/>
                <w:lang w:val="en-US" w:eastAsia="zh-CN" w:bidi="ar"/>
              </w:rPr>
            </w:pPr>
          </w:p>
        </w:tc>
        <w:tc>
          <w:tcPr>
            <w:tcW w:w="1163" w:type="dxa"/>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2025年</w:t>
            </w:r>
          </w:p>
        </w:tc>
        <w:tc>
          <w:tcPr>
            <w:tcW w:w="5376" w:type="dxa"/>
            <w:vAlign w:val="top"/>
          </w:tcPr>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低值：97亿，按建区以来到GDP年均增速7.9%预测</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高值：169亿，各产业门类测算合计得到的结果，年均增速20%</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黑体" w:hAnsi="黑体" w:eastAsia="黑体" w:cs="黑体"/>
                <w:b w:val="0"/>
                <w:bCs w:val="0"/>
                <w:i w:val="0"/>
                <w:iCs w:val="0"/>
                <w:color w:val="auto"/>
                <w:kern w:val="2"/>
                <w:sz w:val="18"/>
                <w:szCs w:val="18"/>
                <w:u w:val="none"/>
                <w:lang w:val="en-US" w:eastAsia="zh-CN" w:bidi="ar"/>
              </w:rPr>
            </w:pPr>
            <w:r>
              <w:rPr>
                <w:rFonts w:hint="eastAsia" w:ascii="黑体" w:hAnsi="黑体" w:eastAsia="黑体" w:cs="黑体"/>
                <w:b w:val="0"/>
                <w:bCs w:val="0"/>
                <w:i w:val="0"/>
                <w:iCs w:val="0"/>
                <w:color w:val="auto"/>
                <w:kern w:val="2"/>
                <w:sz w:val="18"/>
                <w:szCs w:val="18"/>
                <w:u w:val="none"/>
                <w:lang w:val="en-US" w:eastAsia="zh-CN" w:bidi="ar"/>
              </w:rPr>
              <w:t>结论：</w:t>
            </w:r>
            <w:r>
              <w:rPr>
                <w:rFonts w:hint="eastAsia" w:ascii="楷体" w:hAnsi="楷体" w:eastAsia="楷体" w:cs="楷体"/>
                <w:b w:val="0"/>
                <w:bCs w:val="0"/>
                <w:i w:val="0"/>
                <w:iCs w:val="0"/>
                <w:color w:val="auto"/>
                <w:kern w:val="2"/>
                <w:sz w:val="18"/>
                <w:szCs w:val="18"/>
                <w:u w:val="none"/>
                <w:lang w:val="en-US" w:eastAsia="zh-CN" w:bidi="ar"/>
              </w:rPr>
              <w:t>参考全省目标，</w:t>
            </w:r>
            <w:r>
              <w:rPr>
                <w:rFonts w:hint="eastAsia" w:ascii="黑体" w:hAnsi="黑体" w:eastAsia="黑体" w:cs="黑体"/>
                <w:b w:val="0"/>
                <w:bCs w:val="0"/>
                <w:i w:val="0"/>
                <w:iCs w:val="0"/>
                <w:color w:val="auto"/>
                <w:kern w:val="2"/>
                <w:sz w:val="18"/>
                <w:szCs w:val="18"/>
                <w:u w:val="none"/>
                <w:lang w:val="en-US" w:eastAsia="zh-CN" w:bidi="ar"/>
              </w:rPr>
              <w:t>2025年在2020年基础上实现翻番，“十四五”实际GDP年均增速10%（名义12-13%），GDP达到130亿</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黑体" w:hAnsi="黑体" w:eastAsia="黑体" w:cs="黑体"/>
                <w:b w:val="0"/>
                <w:bCs w:val="0"/>
                <w:i w:val="0"/>
                <w:iCs w:val="0"/>
                <w:color w:val="auto"/>
                <w:kern w:val="2"/>
                <w:sz w:val="18"/>
                <w:szCs w:val="18"/>
                <w:u w:val="none"/>
                <w:lang w:val="en-US" w:eastAsia="zh-CN" w:bidi="ar"/>
              </w:rPr>
            </w:pPr>
            <w:r>
              <w:rPr>
                <w:rFonts w:hint="eastAsia" w:ascii="黑体" w:hAnsi="黑体" w:eastAsia="黑体" w:cs="黑体"/>
                <w:b w:val="0"/>
                <w:bCs w:val="0"/>
                <w:i w:val="0"/>
                <w:iCs w:val="0"/>
                <w:color w:val="auto"/>
                <w:kern w:val="2"/>
                <w:sz w:val="18"/>
                <w:szCs w:val="18"/>
                <w:u w:val="none"/>
                <w:lang w:val="en-US" w:eastAsia="zh-CN" w:bidi="ar"/>
              </w:rPr>
              <w:t>对三次产业产值进行修正</w:t>
            </w:r>
            <w:r>
              <w:rPr>
                <w:rFonts w:hint="eastAsia" w:ascii="楷体" w:hAnsi="楷体" w:eastAsia="楷体" w:cs="楷体"/>
                <w:b w:val="0"/>
                <w:bCs w:val="0"/>
                <w:i w:val="0"/>
                <w:iCs w:val="0"/>
                <w:color w:val="auto"/>
                <w:kern w:val="2"/>
                <w:sz w:val="18"/>
                <w:szCs w:val="18"/>
                <w:u w:val="none"/>
                <w:lang w:val="en-US" w:eastAsia="zh-CN" w:bidi="ar"/>
              </w:rPr>
              <w:t>（以同比例修正为基准、根据产业项目情况适当微调）</w:t>
            </w:r>
            <w:r>
              <w:rPr>
                <w:rFonts w:hint="eastAsia" w:ascii="黑体" w:hAnsi="黑体" w:eastAsia="黑体" w:cs="黑体"/>
                <w:b w:val="0"/>
                <w:bCs w:val="0"/>
                <w:i w:val="0"/>
                <w:iCs w:val="0"/>
                <w:color w:val="auto"/>
                <w:kern w:val="2"/>
                <w:sz w:val="18"/>
                <w:szCs w:val="18"/>
                <w:u w:val="none"/>
                <w:lang w:val="en-US" w:eastAsia="zh-CN" w:bidi="ar"/>
              </w:rPr>
              <w:t>，第一产业为30亿、第二产业为15亿、第三产业为85亿，三产结构为23∶12∶65</w:t>
            </w:r>
          </w:p>
        </w:tc>
        <w:tc>
          <w:tcPr>
            <w:tcW w:w="968" w:type="dxa"/>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黑体" w:hAnsi="黑体" w:eastAsia="黑体" w:cs="黑体"/>
                <w:b w:val="0"/>
                <w:bCs w:val="0"/>
                <w:i w:val="0"/>
                <w:iCs w:val="0"/>
                <w:color w:val="auto"/>
                <w:kern w:val="2"/>
                <w:sz w:val="18"/>
                <w:szCs w:val="18"/>
                <w:u w:val="none"/>
                <w:lang w:val="en-US" w:eastAsia="zh-CN" w:bidi="ar"/>
              </w:rPr>
            </w:pPr>
            <w:r>
              <w:rPr>
                <w:rFonts w:hint="eastAsia" w:ascii="黑体" w:hAnsi="黑体" w:eastAsia="黑体" w:cs="黑体"/>
                <w:b w:val="0"/>
                <w:bCs w:val="0"/>
                <w:i w:val="0"/>
                <w:iCs w:val="0"/>
                <w:color w:val="auto"/>
                <w:kern w:val="2"/>
                <w:sz w:val="18"/>
                <w:szCs w:val="18"/>
                <w:u w:val="none"/>
                <w:lang w:val="en-US" w:eastAsia="zh-CN" w:bidi="ar"/>
              </w:rPr>
              <w:t>130亿</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1015" w:type="dxa"/>
            <w:gridSpan w:val="2"/>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黑体" w:hAnsi="黑体" w:eastAsia="黑体" w:cs="黑体"/>
                <w:b w:val="0"/>
                <w:bCs w:val="0"/>
                <w:i w:val="0"/>
                <w:color w:val="auto"/>
                <w:kern w:val="2"/>
                <w:sz w:val="18"/>
                <w:szCs w:val="18"/>
                <w:u w:val="none"/>
                <w:lang w:val="en-US" w:eastAsia="zh-CN" w:bidi="ar"/>
              </w:rPr>
            </w:pPr>
          </w:p>
        </w:tc>
        <w:tc>
          <w:tcPr>
            <w:tcW w:w="1163" w:type="dxa"/>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2035年</w:t>
            </w:r>
          </w:p>
        </w:tc>
        <w:tc>
          <w:tcPr>
            <w:tcW w:w="5376" w:type="dxa"/>
            <w:vAlign w:val="top"/>
          </w:tcPr>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低值：281亿，在2025年130亿基础上，按2026-2035年名义GDP年均增速8%预测</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高值：568亿，在各产业门类分别测算的基础上合计得到的结果，2025-2035年名义GDP年均增速13%</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黑体" w:hAnsi="黑体" w:eastAsia="黑体" w:cs="黑体"/>
                <w:b w:val="0"/>
                <w:bCs w:val="0"/>
                <w:i w:val="0"/>
                <w:iCs w:val="0"/>
                <w:color w:val="auto"/>
                <w:kern w:val="2"/>
                <w:sz w:val="18"/>
                <w:szCs w:val="18"/>
                <w:u w:val="none"/>
                <w:lang w:val="en-US" w:eastAsia="zh-CN" w:bidi="ar"/>
              </w:rPr>
            </w:pPr>
            <w:r>
              <w:rPr>
                <w:rFonts w:hint="eastAsia" w:ascii="黑体" w:hAnsi="黑体" w:eastAsia="黑体" w:cs="黑体"/>
                <w:b w:val="0"/>
                <w:bCs w:val="0"/>
                <w:i w:val="0"/>
                <w:iCs w:val="0"/>
                <w:color w:val="auto"/>
                <w:kern w:val="2"/>
                <w:sz w:val="18"/>
                <w:szCs w:val="18"/>
                <w:u w:val="none"/>
                <w:lang w:val="en-US" w:eastAsia="zh-CN" w:bidi="ar"/>
              </w:rPr>
              <w:t>结论：</w:t>
            </w:r>
            <w:r>
              <w:rPr>
                <w:rFonts w:hint="eastAsia" w:ascii="楷体" w:hAnsi="楷体" w:eastAsia="楷体" w:cs="楷体"/>
                <w:b w:val="0"/>
                <w:bCs w:val="0"/>
                <w:i w:val="0"/>
                <w:iCs w:val="0"/>
                <w:color w:val="auto"/>
                <w:kern w:val="2"/>
                <w:sz w:val="18"/>
                <w:szCs w:val="18"/>
                <w:u w:val="none"/>
                <w:lang w:val="en-US" w:eastAsia="zh-CN" w:bidi="ar"/>
              </w:rPr>
              <w:t>考虑到新开发区域GDP通常由高速逐年向中高速转换，且发展基础基数不断提高壮大，2025年之后GDP的增速有所下降，</w:t>
            </w:r>
            <w:r>
              <w:rPr>
                <w:rFonts w:hint="eastAsia" w:ascii="黑体" w:hAnsi="黑体" w:eastAsia="黑体" w:cs="黑体"/>
                <w:b w:val="0"/>
                <w:bCs w:val="0"/>
                <w:i w:val="0"/>
                <w:iCs w:val="0"/>
                <w:color w:val="auto"/>
                <w:kern w:val="2"/>
                <w:sz w:val="18"/>
                <w:szCs w:val="18"/>
                <w:u w:val="none"/>
                <w:lang w:val="en-US" w:eastAsia="zh-CN" w:bidi="ar"/>
              </w:rPr>
              <w:t>取低值和高值名义GDP的平均增速11%（实际GDP为8%左右），测算2035年GDP达到370亿</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黑体" w:hAnsi="黑体" w:eastAsia="黑体" w:cs="黑体"/>
                <w:b w:val="0"/>
                <w:bCs w:val="0"/>
                <w:i w:val="0"/>
                <w:iCs w:val="0"/>
                <w:color w:val="auto"/>
                <w:kern w:val="2"/>
                <w:sz w:val="18"/>
                <w:szCs w:val="18"/>
                <w:u w:val="none"/>
                <w:lang w:val="en-US" w:eastAsia="zh-CN" w:bidi="ar"/>
              </w:rPr>
            </w:pPr>
            <w:r>
              <w:rPr>
                <w:rFonts w:hint="eastAsia" w:ascii="黑体" w:hAnsi="黑体" w:eastAsia="黑体" w:cs="黑体"/>
                <w:b w:val="0"/>
                <w:bCs w:val="0"/>
                <w:i w:val="0"/>
                <w:iCs w:val="0"/>
                <w:color w:val="auto"/>
                <w:kern w:val="2"/>
                <w:sz w:val="18"/>
                <w:szCs w:val="18"/>
                <w:u w:val="none"/>
                <w:lang w:val="en-US" w:eastAsia="zh-CN" w:bidi="ar"/>
              </w:rPr>
              <w:t>对三次产业产值进行修正</w:t>
            </w:r>
            <w:r>
              <w:rPr>
                <w:rFonts w:hint="eastAsia" w:ascii="楷体" w:hAnsi="楷体" w:eastAsia="楷体" w:cs="楷体"/>
                <w:b w:val="0"/>
                <w:bCs w:val="0"/>
                <w:i w:val="0"/>
                <w:iCs w:val="0"/>
                <w:color w:val="auto"/>
                <w:kern w:val="2"/>
                <w:sz w:val="18"/>
                <w:szCs w:val="18"/>
                <w:u w:val="none"/>
                <w:lang w:val="en-US" w:eastAsia="zh-CN" w:bidi="ar"/>
              </w:rPr>
              <w:t>（以同比例修正为基准、根据产业项目情况适当微调）</w:t>
            </w:r>
            <w:r>
              <w:rPr>
                <w:rFonts w:hint="eastAsia" w:ascii="黑体" w:hAnsi="黑体" w:eastAsia="黑体" w:cs="黑体"/>
                <w:b w:val="0"/>
                <w:bCs w:val="0"/>
                <w:i w:val="0"/>
                <w:iCs w:val="0"/>
                <w:color w:val="auto"/>
                <w:kern w:val="2"/>
                <w:sz w:val="18"/>
                <w:szCs w:val="18"/>
                <w:u w:val="none"/>
                <w:lang w:val="en-US" w:eastAsia="zh-CN" w:bidi="ar"/>
              </w:rPr>
              <w:t>，第一产业为60亿、第二产业为60亿、第三产业为250亿，三产结构为16∶16∶68</w:t>
            </w:r>
          </w:p>
        </w:tc>
        <w:tc>
          <w:tcPr>
            <w:tcW w:w="968" w:type="dxa"/>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黑体" w:hAnsi="黑体" w:eastAsia="黑体" w:cs="黑体"/>
                <w:b w:val="0"/>
                <w:bCs w:val="0"/>
                <w:i w:val="0"/>
                <w:iCs w:val="0"/>
                <w:color w:val="auto"/>
                <w:kern w:val="2"/>
                <w:sz w:val="18"/>
                <w:szCs w:val="18"/>
                <w:u w:val="none"/>
                <w:lang w:val="en-US" w:eastAsia="zh-CN" w:bidi="ar"/>
              </w:rPr>
            </w:pPr>
            <w:r>
              <w:rPr>
                <w:rFonts w:hint="eastAsia" w:ascii="黑体" w:hAnsi="黑体" w:eastAsia="黑体" w:cs="黑体"/>
                <w:b w:val="0"/>
                <w:bCs w:val="0"/>
                <w:i w:val="0"/>
                <w:iCs w:val="0"/>
                <w:color w:val="auto"/>
                <w:kern w:val="2"/>
                <w:sz w:val="18"/>
                <w:szCs w:val="18"/>
                <w:u w:val="none"/>
                <w:lang w:val="en-US" w:eastAsia="zh-CN" w:bidi="ar"/>
              </w:rPr>
              <w:t>370亿</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385"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第三产业</w:t>
            </w:r>
          </w:p>
        </w:tc>
        <w:tc>
          <w:tcPr>
            <w:tcW w:w="630"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黑体" w:hAnsi="黑体" w:eastAsia="黑体" w:cs="黑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增速预测法：</w:t>
            </w:r>
          </w:p>
        </w:tc>
        <w:tc>
          <w:tcPr>
            <w:tcW w:w="1163" w:type="dxa"/>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20" w:lineRule="exact"/>
              <w:ind w:left="0" w:leftChars="0" w:firstLine="0" w:firstLine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2019-2020</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20" w:lineRule="exact"/>
              <w:ind w:left="0" w:leftChars="0" w:firstLine="0" w:firstLine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现状基础</w:t>
            </w:r>
          </w:p>
        </w:tc>
        <w:tc>
          <w:tcPr>
            <w:tcW w:w="5376" w:type="dxa"/>
            <w:vAlign w:val="top"/>
          </w:tcPr>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2019年：三产GDP为36.2亿，建区到2019年年均增速22.3%，游客接待量109万人次，三产GDP中其他服务业15.4亿（占43%）、房地产业12.6亿（占35%）、住宿餐饮1.6亿、批零1.8亿、仓储物流0.8亿</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2020年：三产GDP为34.5亿，到2020年年均增速16.3%</w:t>
            </w:r>
          </w:p>
        </w:tc>
        <w:tc>
          <w:tcPr>
            <w:tcW w:w="968" w:type="dxa"/>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auto"/>
                <w:kern w:val="2"/>
                <w:sz w:val="18"/>
                <w:szCs w:val="18"/>
                <w:u w:val="none"/>
                <w:lang w:val="en-US" w:eastAsia="zh-CN" w:bidi="ar"/>
              </w:rPr>
            </w:pPr>
            <w:r>
              <w:rPr>
                <w:rFonts w:hint="eastAsia" w:ascii="楷体" w:hAnsi="楷体" w:eastAsia="楷体" w:cs="楷体"/>
                <w:b w:val="0"/>
                <w:bCs w:val="0"/>
                <w:i w:val="0"/>
                <w:color w:val="auto"/>
                <w:kern w:val="2"/>
                <w:sz w:val="18"/>
                <w:szCs w:val="18"/>
                <w:u w:val="none"/>
                <w:lang w:val="en-US" w:eastAsia="zh-CN" w:bidi="ar"/>
              </w:rPr>
              <w:t>2020年</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auto"/>
                <w:kern w:val="2"/>
                <w:sz w:val="18"/>
                <w:szCs w:val="18"/>
                <w:u w:val="none"/>
                <w:lang w:val="en-US" w:eastAsia="zh-CN" w:bidi="ar"/>
              </w:rPr>
            </w:pPr>
            <w:r>
              <w:rPr>
                <w:rFonts w:hint="eastAsia" w:ascii="楷体" w:hAnsi="楷体" w:eastAsia="楷体" w:cs="楷体"/>
                <w:b w:val="0"/>
                <w:bCs w:val="0"/>
                <w:i w:val="0"/>
                <w:color w:val="auto"/>
                <w:kern w:val="2"/>
                <w:sz w:val="18"/>
                <w:szCs w:val="18"/>
                <w:u w:val="none"/>
                <w:lang w:val="en-US" w:eastAsia="zh-CN" w:bidi="ar"/>
              </w:rPr>
              <w:t>34.5亿</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385"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val="0"/>
                <w:bCs w:val="0"/>
                <w:i w:val="0"/>
                <w:iCs w:val="0"/>
                <w:color w:val="auto"/>
                <w:kern w:val="2"/>
                <w:sz w:val="18"/>
                <w:szCs w:val="18"/>
                <w:u w:val="none"/>
                <w:lang w:val="en-US" w:eastAsia="zh-CN" w:bidi="ar"/>
              </w:rPr>
            </w:pPr>
          </w:p>
        </w:tc>
        <w:tc>
          <w:tcPr>
            <w:tcW w:w="630"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黑体" w:hAnsi="黑体" w:eastAsia="黑体" w:cs="黑体"/>
                <w:b w:val="0"/>
                <w:bCs w:val="0"/>
                <w:i w:val="0"/>
                <w:iCs w:val="0"/>
                <w:color w:val="auto"/>
                <w:kern w:val="2"/>
                <w:sz w:val="18"/>
                <w:szCs w:val="18"/>
                <w:u w:val="none"/>
                <w:lang w:val="en-US" w:eastAsia="zh-CN" w:bidi="ar"/>
              </w:rPr>
            </w:pPr>
          </w:p>
        </w:tc>
        <w:tc>
          <w:tcPr>
            <w:tcW w:w="1163" w:type="dxa"/>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20" w:lineRule="exact"/>
              <w:ind w:left="0" w:leftChars="0" w:firstLine="0" w:firstLine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2025年</w:t>
            </w:r>
          </w:p>
        </w:tc>
        <w:tc>
          <w:tcPr>
            <w:tcW w:w="5376" w:type="dxa"/>
            <w:vAlign w:val="top"/>
          </w:tcPr>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低值：按照建区到2020年三产GDP名义增速年均16.3%，2025年为73亿</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中值：按照建区到2019年三产GDP名义增速年均22.3%，2025年为94亿</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高值：按照GDP名义增速25%，2025年为105亿</w:t>
            </w:r>
          </w:p>
        </w:tc>
        <w:tc>
          <w:tcPr>
            <w:tcW w:w="968" w:type="dxa"/>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auto"/>
                <w:kern w:val="2"/>
                <w:sz w:val="18"/>
                <w:szCs w:val="18"/>
                <w:u w:val="none"/>
                <w:lang w:val="en-US" w:eastAsia="zh-CN" w:bidi="ar"/>
              </w:rPr>
            </w:pPr>
            <w:r>
              <w:rPr>
                <w:rFonts w:hint="eastAsia" w:ascii="楷体" w:hAnsi="楷体" w:eastAsia="楷体" w:cs="楷体"/>
                <w:b w:val="0"/>
                <w:bCs w:val="0"/>
                <w:i w:val="0"/>
                <w:color w:val="auto"/>
                <w:kern w:val="2"/>
                <w:sz w:val="18"/>
                <w:szCs w:val="18"/>
                <w:u w:val="none"/>
                <w:lang w:val="en-US" w:eastAsia="zh-CN" w:bidi="ar"/>
              </w:rPr>
              <w:t>GDP中值</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auto"/>
                <w:kern w:val="2"/>
                <w:sz w:val="18"/>
                <w:szCs w:val="18"/>
                <w:u w:val="none"/>
                <w:lang w:val="en-US" w:eastAsia="zh-CN" w:bidi="ar"/>
              </w:rPr>
            </w:pPr>
            <w:r>
              <w:rPr>
                <w:rFonts w:hint="eastAsia" w:ascii="楷体" w:hAnsi="楷体" w:eastAsia="楷体" w:cs="楷体"/>
                <w:b w:val="0"/>
                <w:bCs w:val="0"/>
                <w:i w:val="0"/>
                <w:color w:val="auto"/>
                <w:kern w:val="2"/>
                <w:sz w:val="18"/>
                <w:szCs w:val="18"/>
                <w:u w:val="none"/>
                <w:lang w:val="en-US" w:eastAsia="zh-CN" w:bidi="ar"/>
              </w:rPr>
              <w:t>94亿</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385"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val="0"/>
                <w:bCs w:val="0"/>
                <w:i w:val="0"/>
                <w:iCs w:val="0"/>
                <w:color w:val="auto"/>
                <w:kern w:val="2"/>
                <w:sz w:val="18"/>
                <w:szCs w:val="18"/>
                <w:u w:val="none"/>
                <w:lang w:val="en-US" w:eastAsia="zh-CN" w:bidi="ar"/>
              </w:rPr>
            </w:pPr>
          </w:p>
        </w:tc>
        <w:tc>
          <w:tcPr>
            <w:tcW w:w="630"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黑体" w:hAnsi="黑体" w:eastAsia="黑体" w:cs="黑体"/>
                <w:b w:val="0"/>
                <w:bCs w:val="0"/>
                <w:i w:val="0"/>
                <w:iCs w:val="0"/>
                <w:color w:val="auto"/>
                <w:kern w:val="2"/>
                <w:sz w:val="18"/>
                <w:szCs w:val="18"/>
                <w:u w:val="none"/>
                <w:lang w:val="en-US" w:eastAsia="zh-CN" w:bidi="ar"/>
              </w:rPr>
            </w:pPr>
          </w:p>
        </w:tc>
        <w:tc>
          <w:tcPr>
            <w:tcW w:w="1163" w:type="dxa"/>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20" w:lineRule="exact"/>
              <w:ind w:left="0" w:leftChars="0" w:firstLine="0" w:firstLine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2035年</w:t>
            </w:r>
          </w:p>
        </w:tc>
        <w:tc>
          <w:tcPr>
            <w:tcW w:w="5376" w:type="dxa"/>
            <w:vAlign w:val="top"/>
          </w:tcPr>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低值：在2025年基础上按名义GDP增速10%，2035年为244亿</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中值：在2025年基础上按名义GDP增速12%，2035年为290亿</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高值：在2025年基础上按名义GDP增速15%，2035年为380亿</w:t>
            </w:r>
          </w:p>
        </w:tc>
        <w:tc>
          <w:tcPr>
            <w:tcW w:w="968" w:type="dxa"/>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auto"/>
                <w:kern w:val="2"/>
                <w:sz w:val="18"/>
                <w:szCs w:val="18"/>
                <w:u w:val="none"/>
                <w:lang w:val="en-US" w:eastAsia="zh-CN" w:bidi="ar"/>
              </w:rPr>
            </w:pPr>
            <w:r>
              <w:rPr>
                <w:rFonts w:hint="eastAsia" w:ascii="楷体" w:hAnsi="楷体" w:eastAsia="楷体" w:cs="楷体"/>
                <w:b w:val="0"/>
                <w:bCs w:val="0"/>
                <w:i w:val="0"/>
                <w:color w:val="auto"/>
                <w:kern w:val="2"/>
                <w:sz w:val="18"/>
                <w:szCs w:val="18"/>
                <w:u w:val="none"/>
                <w:lang w:val="en-US" w:eastAsia="zh-CN" w:bidi="ar"/>
              </w:rPr>
              <w:t>GDP中值</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default" w:ascii="楷体" w:hAnsi="楷体" w:eastAsia="楷体" w:cs="楷体"/>
                <w:b w:val="0"/>
                <w:bCs w:val="0"/>
                <w:i w:val="0"/>
                <w:color w:val="auto"/>
                <w:kern w:val="2"/>
                <w:sz w:val="18"/>
                <w:szCs w:val="18"/>
                <w:u w:val="none"/>
                <w:lang w:val="en-US" w:eastAsia="zh-CN" w:bidi="ar"/>
              </w:rPr>
            </w:pPr>
            <w:r>
              <w:rPr>
                <w:rFonts w:hint="eastAsia" w:ascii="楷体" w:hAnsi="楷体" w:eastAsia="楷体" w:cs="楷体"/>
                <w:b w:val="0"/>
                <w:bCs w:val="0"/>
                <w:i w:val="0"/>
                <w:color w:val="auto"/>
                <w:kern w:val="2"/>
                <w:sz w:val="18"/>
                <w:szCs w:val="18"/>
                <w:u w:val="none"/>
                <w:lang w:val="en-US" w:eastAsia="zh-CN" w:bidi="ar"/>
              </w:rPr>
              <w:t>290亿</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385"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val="0"/>
                <w:bCs w:val="0"/>
                <w:i w:val="0"/>
                <w:iCs w:val="0"/>
                <w:color w:val="auto"/>
                <w:kern w:val="2"/>
                <w:sz w:val="18"/>
                <w:szCs w:val="18"/>
                <w:u w:val="none"/>
                <w:lang w:val="en-US" w:eastAsia="zh-CN" w:bidi="ar"/>
              </w:rPr>
            </w:pPr>
          </w:p>
        </w:tc>
        <w:tc>
          <w:tcPr>
            <w:tcW w:w="630" w:type="dxa"/>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结构预测法：</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旅游业</w:t>
            </w:r>
          </w:p>
        </w:tc>
        <w:tc>
          <w:tcPr>
            <w:tcW w:w="1163" w:type="dxa"/>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20" w:lineRule="exact"/>
              <w:ind w:left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主题乐园</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20" w:lineRule="exact"/>
              <w:ind w:leftChars="0"/>
              <w:jc w:val="both"/>
              <w:textAlignment w:val="auto"/>
              <w:rPr>
                <w:rFonts w:hint="default"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文旅宗旅</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20" w:lineRule="exact"/>
              <w:ind w:left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亲子研学</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20" w:lineRule="exact"/>
              <w:ind w:left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运动体验</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20" w:lineRule="exact"/>
              <w:ind w:left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休闲农渔业</w:t>
            </w:r>
          </w:p>
        </w:tc>
        <w:tc>
          <w:tcPr>
            <w:tcW w:w="5376" w:type="dxa"/>
            <w:vAlign w:val="top"/>
          </w:tcPr>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2019年：全区接待游客109万人次，占全市4.5%（全市2396万），集中在南山和大小洞天景区，过夜比例低，客单消费低</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2025年：主题乐园旅游区建成投入运营，全区客流量达500万人次，占全市10%（全市预计4860万），显著带动文旅、宗教、运动、研学、农旅等旅游业态发展。按客均消费1000元保守预计，形成50亿旅游收入、贡献增加值（GDP）15亿</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2035年：全区接待游客10年实现翻番达到1000万人次，客均消费1500元，形成150亿旅游收入、贡献增加值（GDP）45亿</w:t>
            </w:r>
          </w:p>
        </w:tc>
        <w:tc>
          <w:tcPr>
            <w:tcW w:w="968" w:type="dxa"/>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default" w:ascii="楷体" w:hAnsi="楷体" w:eastAsia="楷体" w:cs="楷体"/>
                <w:b w:val="0"/>
                <w:bCs w:val="0"/>
                <w:i w:val="0"/>
                <w:color w:val="auto"/>
                <w:kern w:val="2"/>
                <w:sz w:val="18"/>
                <w:szCs w:val="18"/>
                <w:u w:val="none"/>
                <w:lang w:val="en-US" w:eastAsia="zh-CN" w:bidi="ar"/>
              </w:rPr>
            </w:pPr>
            <w:r>
              <w:rPr>
                <w:rFonts w:hint="eastAsia" w:ascii="楷体" w:hAnsi="楷体" w:eastAsia="楷体" w:cs="楷体"/>
                <w:b w:val="0"/>
                <w:bCs w:val="0"/>
                <w:i w:val="0"/>
                <w:color w:val="auto"/>
                <w:kern w:val="2"/>
                <w:sz w:val="18"/>
                <w:szCs w:val="18"/>
                <w:u w:val="none"/>
                <w:lang w:val="en-US" w:eastAsia="zh-CN" w:bidi="ar"/>
              </w:rPr>
              <w:t>GDP贡献</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auto"/>
                <w:kern w:val="2"/>
                <w:sz w:val="18"/>
                <w:szCs w:val="18"/>
                <w:u w:val="none"/>
                <w:lang w:val="en-US" w:eastAsia="zh-CN" w:bidi="ar"/>
              </w:rPr>
            </w:pPr>
            <w:r>
              <w:rPr>
                <w:rFonts w:hint="eastAsia" w:ascii="楷体" w:hAnsi="楷体" w:eastAsia="楷体" w:cs="楷体"/>
                <w:b w:val="0"/>
                <w:bCs w:val="0"/>
                <w:i w:val="0"/>
                <w:color w:val="auto"/>
                <w:kern w:val="2"/>
                <w:sz w:val="18"/>
                <w:szCs w:val="18"/>
                <w:u w:val="none"/>
                <w:lang w:val="en-US" w:eastAsia="zh-CN" w:bidi="ar"/>
              </w:rPr>
              <w:t>2025年：</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auto"/>
                <w:kern w:val="2"/>
                <w:sz w:val="18"/>
                <w:szCs w:val="18"/>
                <w:u w:val="none"/>
                <w:lang w:val="en-US" w:eastAsia="zh-CN" w:bidi="ar"/>
              </w:rPr>
            </w:pPr>
            <w:r>
              <w:rPr>
                <w:rFonts w:hint="eastAsia" w:ascii="楷体" w:hAnsi="楷体" w:eastAsia="楷体" w:cs="楷体"/>
                <w:b w:val="0"/>
                <w:bCs w:val="0"/>
                <w:i w:val="0"/>
                <w:color w:val="auto"/>
                <w:kern w:val="2"/>
                <w:sz w:val="18"/>
                <w:szCs w:val="18"/>
                <w:u w:val="none"/>
                <w:lang w:val="en-US" w:eastAsia="zh-CN" w:bidi="ar"/>
              </w:rPr>
              <w:t>15亿</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auto"/>
                <w:kern w:val="2"/>
                <w:sz w:val="18"/>
                <w:szCs w:val="18"/>
                <w:u w:val="none"/>
                <w:lang w:val="en-US" w:eastAsia="zh-CN" w:bidi="ar"/>
              </w:rPr>
            </w:pPr>
            <w:r>
              <w:rPr>
                <w:rFonts w:hint="eastAsia" w:ascii="楷体" w:hAnsi="楷体" w:eastAsia="楷体" w:cs="楷体"/>
                <w:b w:val="0"/>
                <w:bCs w:val="0"/>
                <w:i w:val="0"/>
                <w:color w:val="auto"/>
                <w:kern w:val="2"/>
                <w:sz w:val="18"/>
                <w:szCs w:val="18"/>
                <w:u w:val="none"/>
                <w:lang w:val="en-US" w:eastAsia="zh-CN" w:bidi="ar"/>
              </w:rPr>
              <w:t>2035年：</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auto"/>
                <w:kern w:val="2"/>
                <w:sz w:val="18"/>
                <w:szCs w:val="18"/>
                <w:u w:val="none"/>
                <w:lang w:val="en-US" w:eastAsia="zh-CN" w:bidi="ar"/>
              </w:rPr>
            </w:pPr>
            <w:r>
              <w:rPr>
                <w:rFonts w:hint="eastAsia" w:ascii="楷体" w:hAnsi="楷体" w:eastAsia="楷体" w:cs="楷体"/>
                <w:b w:val="0"/>
                <w:bCs w:val="0"/>
                <w:i w:val="0"/>
                <w:color w:val="auto"/>
                <w:kern w:val="2"/>
                <w:sz w:val="18"/>
                <w:szCs w:val="18"/>
                <w:u w:val="none"/>
                <w:lang w:val="en-US" w:eastAsia="zh-CN" w:bidi="ar"/>
              </w:rPr>
              <w:t>45亿</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385"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val="0"/>
                <w:bCs w:val="0"/>
                <w:i w:val="0"/>
                <w:iCs w:val="0"/>
                <w:color w:val="auto"/>
                <w:kern w:val="2"/>
                <w:sz w:val="18"/>
                <w:szCs w:val="18"/>
                <w:u w:val="none"/>
                <w:lang w:val="en-US" w:eastAsia="zh-CN" w:bidi="ar"/>
              </w:rPr>
            </w:pPr>
          </w:p>
        </w:tc>
        <w:tc>
          <w:tcPr>
            <w:tcW w:w="630"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结构预测法：</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default"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商贸物流消费</w:t>
            </w:r>
          </w:p>
        </w:tc>
        <w:tc>
          <w:tcPr>
            <w:tcW w:w="1163" w:type="dxa"/>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20" w:lineRule="exact"/>
              <w:ind w:left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生活服务业</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20" w:lineRule="exact"/>
              <w:ind w:left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（居民一般消费）</w:t>
            </w:r>
          </w:p>
        </w:tc>
        <w:tc>
          <w:tcPr>
            <w:tcW w:w="5376" w:type="dxa"/>
            <w:vAlign w:val="top"/>
          </w:tcPr>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2019年：全区人均可支配收入2.7万，人口10.5万，参考全国居民平均收入支出比例，居民总消费能力约20亿，贡献增加值（GDP）6亿</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参考建区来GDP年均增速（取整9%），测算人均可支配收入</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2025年：全区人均可支配收入4.5万，人口14.7万人，居民总消费能力约46亿，贡献增加值（GDP）14亿</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2035年：全区人均可支配收入10万，人口25.6万人，居民总消费能力约179亿，贡献增加值（GDP）54亿</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20" w:lineRule="exact"/>
              <w:ind w:left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（注：人口数据依据《三亚崖州湾科技城总体规划（2018-2035）》）</w:t>
            </w:r>
          </w:p>
        </w:tc>
        <w:tc>
          <w:tcPr>
            <w:tcW w:w="968"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auto"/>
                <w:kern w:val="2"/>
                <w:sz w:val="18"/>
                <w:szCs w:val="18"/>
                <w:u w:val="none"/>
                <w:lang w:val="en-US" w:eastAsia="zh-CN" w:bidi="ar"/>
              </w:rPr>
            </w:pPr>
            <w:r>
              <w:rPr>
                <w:rFonts w:hint="eastAsia" w:ascii="楷体" w:hAnsi="楷体" w:eastAsia="楷体" w:cs="楷体"/>
                <w:b w:val="0"/>
                <w:bCs w:val="0"/>
                <w:i w:val="0"/>
                <w:color w:val="auto"/>
                <w:kern w:val="2"/>
                <w:sz w:val="18"/>
                <w:szCs w:val="18"/>
                <w:u w:val="none"/>
                <w:lang w:val="en-US" w:eastAsia="zh-CN" w:bidi="ar"/>
              </w:rPr>
              <w:t>GDP贡献</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auto"/>
                <w:kern w:val="2"/>
                <w:sz w:val="18"/>
                <w:szCs w:val="18"/>
                <w:u w:val="none"/>
                <w:lang w:val="en-US" w:eastAsia="zh-CN" w:bidi="ar"/>
              </w:rPr>
            </w:pPr>
            <w:r>
              <w:rPr>
                <w:rFonts w:hint="eastAsia" w:ascii="楷体" w:hAnsi="楷体" w:eastAsia="楷体" w:cs="楷体"/>
                <w:b w:val="0"/>
                <w:bCs w:val="0"/>
                <w:i w:val="0"/>
                <w:color w:val="auto"/>
                <w:kern w:val="2"/>
                <w:sz w:val="18"/>
                <w:szCs w:val="18"/>
                <w:u w:val="none"/>
                <w:lang w:val="en-US" w:eastAsia="zh-CN" w:bidi="ar"/>
              </w:rPr>
              <w:t>2025年：</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auto"/>
                <w:kern w:val="2"/>
                <w:sz w:val="18"/>
                <w:szCs w:val="18"/>
                <w:u w:val="none"/>
                <w:lang w:val="en-US" w:eastAsia="zh-CN" w:bidi="ar"/>
              </w:rPr>
            </w:pPr>
            <w:r>
              <w:rPr>
                <w:rFonts w:hint="eastAsia" w:ascii="楷体" w:hAnsi="楷体" w:eastAsia="楷体" w:cs="楷体"/>
                <w:b w:val="0"/>
                <w:bCs w:val="0"/>
                <w:i w:val="0"/>
                <w:color w:val="auto"/>
                <w:kern w:val="2"/>
                <w:sz w:val="18"/>
                <w:szCs w:val="18"/>
                <w:u w:val="none"/>
                <w:lang w:val="en-US" w:eastAsia="zh-CN" w:bidi="ar"/>
              </w:rPr>
              <w:t>31.8亿</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auto"/>
                <w:kern w:val="2"/>
                <w:sz w:val="18"/>
                <w:szCs w:val="18"/>
                <w:u w:val="none"/>
                <w:lang w:val="en-US" w:eastAsia="zh-CN" w:bidi="ar"/>
              </w:rPr>
            </w:pPr>
            <w:r>
              <w:rPr>
                <w:rFonts w:hint="eastAsia" w:ascii="楷体" w:hAnsi="楷体" w:eastAsia="楷体" w:cs="楷体"/>
                <w:b w:val="0"/>
                <w:bCs w:val="0"/>
                <w:i w:val="0"/>
                <w:color w:val="auto"/>
                <w:kern w:val="2"/>
                <w:sz w:val="18"/>
                <w:szCs w:val="18"/>
                <w:u w:val="none"/>
                <w:lang w:val="en-US" w:eastAsia="zh-CN" w:bidi="ar"/>
              </w:rPr>
              <w:t>2035年：</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auto"/>
                <w:kern w:val="2"/>
                <w:sz w:val="18"/>
                <w:szCs w:val="18"/>
                <w:u w:val="none"/>
                <w:lang w:val="en-US" w:eastAsia="zh-CN" w:bidi="ar"/>
              </w:rPr>
            </w:pPr>
            <w:r>
              <w:rPr>
                <w:rFonts w:hint="eastAsia" w:ascii="楷体" w:hAnsi="楷体" w:eastAsia="楷体" w:cs="楷体"/>
                <w:b w:val="0"/>
                <w:bCs w:val="0"/>
                <w:i w:val="0"/>
                <w:color w:val="auto"/>
                <w:kern w:val="2"/>
                <w:sz w:val="18"/>
                <w:szCs w:val="18"/>
                <w:u w:val="none"/>
                <w:lang w:val="en-US" w:eastAsia="zh-CN" w:bidi="ar"/>
              </w:rPr>
              <w:t>125.2亿</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385"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val="0"/>
                <w:bCs w:val="0"/>
                <w:i w:val="0"/>
                <w:iCs w:val="0"/>
                <w:color w:val="auto"/>
                <w:kern w:val="2"/>
                <w:sz w:val="18"/>
                <w:szCs w:val="18"/>
                <w:u w:val="none"/>
                <w:lang w:val="en-US" w:eastAsia="zh-CN" w:bidi="ar"/>
              </w:rPr>
            </w:pPr>
          </w:p>
        </w:tc>
        <w:tc>
          <w:tcPr>
            <w:tcW w:w="630"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val="0"/>
                <w:bCs w:val="0"/>
                <w:i w:val="0"/>
                <w:iCs w:val="0"/>
                <w:color w:val="auto"/>
                <w:kern w:val="2"/>
                <w:sz w:val="18"/>
                <w:szCs w:val="18"/>
                <w:u w:val="none"/>
                <w:lang w:val="en-US" w:eastAsia="zh-CN" w:bidi="ar"/>
              </w:rPr>
            </w:pPr>
          </w:p>
        </w:tc>
        <w:tc>
          <w:tcPr>
            <w:tcW w:w="1163" w:type="dxa"/>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20" w:lineRule="exact"/>
              <w:ind w:leftChars="0"/>
              <w:jc w:val="both"/>
              <w:textAlignment w:val="auto"/>
              <w:rPr>
                <w:rFonts w:hint="default"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农产品商贸物流电商</w:t>
            </w:r>
          </w:p>
        </w:tc>
        <w:tc>
          <w:tcPr>
            <w:tcW w:w="5376" w:type="dxa"/>
            <w:vAlign w:val="top"/>
          </w:tcPr>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2019年：现状2.6亿，主要为农产品交易，其中批零1.8亿、仓储物流0.8亿</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2025年：新建果蔬批发市场加速农产品商贸物流业发展，按照6年翻1番目标（年均增速12.2%），到2025年贡献增加值（GDP）5.2亿</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2035年：按照10年翻2番（4倍）的目标，到2035年贡献增加值（GDP）20.8亿</w:t>
            </w:r>
          </w:p>
        </w:tc>
        <w:tc>
          <w:tcPr>
            <w:tcW w:w="968"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auto"/>
                <w:kern w:val="2"/>
                <w:sz w:val="18"/>
                <w:szCs w:val="18"/>
                <w:u w:val="none"/>
                <w:lang w:val="en-US" w:eastAsia="zh-CN" w:bidi="ar"/>
              </w:rPr>
            </w:pP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385"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val="0"/>
                <w:bCs w:val="0"/>
                <w:i w:val="0"/>
                <w:iCs w:val="0"/>
                <w:color w:val="auto"/>
                <w:kern w:val="2"/>
                <w:sz w:val="18"/>
                <w:szCs w:val="18"/>
                <w:u w:val="none"/>
                <w:lang w:val="en-US" w:eastAsia="zh-CN" w:bidi="ar"/>
              </w:rPr>
            </w:pPr>
          </w:p>
        </w:tc>
        <w:tc>
          <w:tcPr>
            <w:tcW w:w="630"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val="0"/>
                <w:bCs w:val="0"/>
                <w:i w:val="0"/>
                <w:iCs w:val="0"/>
                <w:color w:val="auto"/>
                <w:kern w:val="2"/>
                <w:sz w:val="18"/>
                <w:szCs w:val="18"/>
                <w:u w:val="none"/>
                <w:lang w:val="en-US" w:eastAsia="zh-CN" w:bidi="ar"/>
              </w:rPr>
            </w:pPr>
          </w:p>
        </w:tc>
        <w:tc>
          <w:tcPr>
            <w:tcW w:w="1163" w:type="dxa"/>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20" w:lineRule="exact"/>
              <w:ind w:left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水产品商贸物流电商</w:t>
            </w:r>
          </w:p>
        </w:tc>
        <w:tc>
          <w:tcPr>
            <w:tcW w:w="5376" w:type="dxa"/>
            <w:vAlign w:val="top"/>
          </w:tcPr>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2025年：预计水产品有重大提升，仅考虑中心渔港京东集团每年200万吨水产品交易项目，可形成每年1000亿电商平台交易额，其中100亿仓储物流费用，为崖州贡献增加值（GDP）10亿</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2035年：结合自贸港重大利好和崖州中心渔港优越区位，按照10年翻2番（4倍）的目标，可形成4000亿电商平台交易额，估算为崖州贡献增加值（GDP）40亿</w:t>
            </w:r>
          </w:p>
        </w:tc>
        <w:tc>
          <w:tcPr>
            <w:tcW w:w="968"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auto"/>
                <w:kern w:val="2"/>
                <w:sz w:val="18"/>
                <w:szCs w:val="18"/>
                <w:u w:val="none"/>
                <w:lang w:val="en-US" w:eastAsia="zh-CN" w:bidi="ar"/>
              </w:rPr>
            </w:pP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385"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val="0"/>
                <w:bCs w:val="0"/>
                <w:i w:val="0"/>
                <w:iCs w:val="0"/>
                <w:color w:val="auto"/>
                <w:kern w:val="2"/>
                <w:sz w:val="18"/>
                <w:szCs w:val="18"/>
                <w:u w:val="none"/>
                <w:lang w:val="en-US" w:eastAsia="zh-CN" w:bidi="ar"/>
              </w:rPr>
            </w:pPr>
          </w:p>
        </w:tc>
        <w:tc>
          <w:tcPr>
            <w:tcW w:w="630"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val="0"/>
                <w:bCs w:val="0"/>
                <w:i w:val="0"/>
                <w:iCs w:val="0"/>
                <w:color w:val="auto"/>
                <w:kern w:val="2"/>
                <w:sz w:val="18"/>
                <w:szCs w:val="18"/>
                <w:u w:val="none"/>
                <w:lang w:val="en-US" w:eastAsia="zh-CN" w:bidi="ar"/>
              </w:rPr>
            </w:pPr>
          </w:p>
        </w:tc>
        <w:tc>
          <w:tcPr>
            <w:tcW w:w="1163" w:type="dxa"/>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20" w:lineRule="exact"/>
              <w:ind w:leftChars="0"/>
              <w:jc w:val="both"/>
              <w:textAlignment w:val="auto"/>
              <w:rPr>
                <w:rFonts w:hint="default"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农林牧渔服务业</w:t>
            </w:r>
          </w:p>
        </w:tc>
        <w:tc>
          <w:tcPr>
            <w:tcW w:w="5376" w:type="dxa"/>
            <w:vAlign w:val="top"/>
          </w:tcPr>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2019年：现状GDP为1.3亿</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2025年：南繁科技城加速全区农林牧渔服务业发展，按照6年翻1番目标（年均增速12.2%），到2025年贡献增加值（GDP）2.6亿</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2035年：按照10年翻2番（4倍）的目标，到2035年贡献增加值（GDP）10.4亿</w:t>
            </w:r>
          </w:p>
        </w:tc>
        <w:tc>
          <w:tcPr>
            <w:tcW w:w="968"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auto"/>
                <w:kern w:val="2"/>
                <w:sz w:val="18"/>
                <w:szCs w:val="18"/>
                <w:u w:val="none"/>
                <w:lang w:val="en-US" w:eastAsia="zh-CN" w:bidi="ar"/>
              </w:rPr>
            </w:pP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385"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both"/>
              <w:textAlignment w:val="auto"/>
              <w:rPr>
                <w:rFonts w:hint="eastAsia" w:ascii="楷体" w:hAnsi="楷体" w:eastAsia="楷体" w:cs="楷体"/>
                <w:b w:val="0"/>
                <w:bCs w:val="0"/>
                <w:i w:val="0"/>
                <w:iCs w:val="0"/>
                <w:color w:val="auto"/>
                <w:kern w:val="2"/>
                <w:sz w:val="18"/>
                <w:szCs w:val="18"/>
                <w:u w:val="none"/>
                <w:lang w:val="en-US" w:eastAsia="zh-CN" w:bidi="ar"/>
              </w:rPr>
            </w:pPr>
          </w:p>
        </w:tc>
        <w:tc>
          <w:tcPr>
            <w:tcW w:w="630"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eastAsia" w:ascii="楷体" w:hAnsi="楷体" w:eastAsia="楷体" w:cs="楷体"/>
                <w:b w:val="0"/>
                <w:bCs w:val="0"/>
                <w:i w:val="0"/>
                <w:iCs w:val="0"/>
                <w:color w:val="auto"/>
                <w:kern w:val="2"/>
                <w:sz w:val="18"/>
                <w:szCs w:val="18"/>
                <w:u w:val="none"/>
                <w:lang w:val="en-US" w:eastAsia="zh-CN" w:bidi="ar"/>
              </w:rPr>
            </w:pPr>
          </w:p>
        </w:tc>
        <w:tc>
          <w:tcPr>
            <w:tcW w:w="1163" w:type="dxa"/>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20" w:lineRule="exact"/>
              <w:ind w:left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免税购物</w:t>
            </w:r>
          </w:p>
        </w:tc>
        <w:tc>
          <w:tcPr>
            <w:tcW w:w="5376" w:type="dxa"/>
            <w:vAlign w:val="top"/>
          </w:tcPr>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在旅游业客均消费中一并考虑</w:t>
            </w:r>
          </w:p>
        </w:tc>
        <w:tc>
          <w:tcPr>
            <w:tcW w:w="968"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auto"/>
                <w:kern w:val="2"/>
                <w:sz w:val="18"/>
                <w:szCs w:val="18"/>
                <w:u w:val="none"/>
                <w:lang w:val="en-US" w:eastAsia="zh-CN" w:bidi="ar"/>
              </w:rPr>
            </w:pP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385"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both"/>
              <w:textAlignment w:val="auto"/>
              <w:rPr>
                <w:rFonts w:hint="eastAsia" w:ascii="楷体" w:hAnsi="楷体" w:eastAsia="楷体" w:cs="楷体"/>
                <w:b w:val="0"/>
                <w:bCs w:val="0"/>
                <w:i w:val="0"/>
                <w:iCs w:val="0"/>
                <w:color w:val="auto"/>
                <w:kern w:val="2"/>
                <w:sz w:val="18"/>
                <w:szCs w:val="18"/>
                <w:u w:val="none"/>
                <w:lang w:val="en-US" w:eastAsia="zh-CN" w:bidi="ar"/>
              </w:rPr>
            </w:pPr>
          </w:p>
        </w:tc>
        <w:tc>
          <w:tcPr>
            <w:tcW w:w="1793" w:type="dxa"/>
            <w:gridSpan w:val="2"/>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20" w:lineRule="exact"/>
              <w:ind w:left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结构预测法：</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20" w:lineRule="exact"/>
              <w:ind w:left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房地产业</w:t>
            </w:r>
          </w:p>
        </w:tc>
        <w:tc>
          <w:tcPr>
            <w:tcW w:w="5376" w:type="dxa"/>
            <w:vAlign w:val="top"/>
          </w:tcPr>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2019年房地产业GDP为12.6亿，崖州区、科技城处于快速发展阶段（利好因素），海南房地产调控政策较为紧密（利空因素），预计崖州房地产未来发展速度与全区实体经济GDP增速一致</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参考建区来GDP年均增速（取整9%），测算房地产发展规模</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2025年：21亿</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2035年：50亿</w:t>
            </w:r>
          </w:p>
        </w:tc>
        <w:tc>
          <w:tcPr>
            <w:tcW w:w="968" w:type="dxa"/>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auto"/>
                <w:kern w:val="2"/>
                <w:sz w:val="18"/>
                <w:szCs w:val="18"/>
                <w:u w:val="none"/>
                <w:lang w:val="en-US" w:eastAsia="zh-CN" w:bidi="ar"/>
              </w:rPr>
            </w:pPr>
            <w:r>
              <w:rPr>
                <w:rFonts w:hint="eastAsia" w:ascii="楷体" w:hAnsi="楷体" w:eastAsia="楷体" w:cs="楷体"/>
                <w:b w:val="0"/>
                <w:bCs w:val="0"/>
                <w:i w:val="0"/>
                <w:color w:val="auto"/>
                <w:kern w:val="2"/>
                <w:sz w:val="18"/>
                <w:szCs w:val="18"/>
                <w:u w:val="none"/>
                <w:lang w:val="en-US" w:eastAsia="zh-CN" w:bidi="ar"/>
              </w:rPr>
              <w:t>GDP贡献</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auto"/>
                <w:kern w:val="2"/>
                <w:sz w:val="18"/>
                <w:szCs w:val="18"/>
                <w:u w:val="none"/>
                <w:lang w:val="en-US" w:eastAsia="zh-CN" w:bidi="ar"/>
              </w:rPr>
            </w:pPr>
            <w:r>
              <w:rPr>
                <w:rFonts w:hint="eastAsia" w:ascii="楷体" w:hAnsi="楷体" w:eastAsia="楷体" w:cs="楷体"/>
                <w:b w:val="0"/>
                <w:bCs w:val="0"/>
                <w:i w:val="0"/>
                <w:color w:val="auto"/>
                <w:kern w:val="2"/>
                <w:sz w:val="18"/>
                <w:szCs w:val="18"/>
                <w:u w:val="none"/>
                <w:lang w:val="en-US" w:eastAsia="zh-CN" w:bidi="ar"/>
              </w:rPr>
              <w:t>2025年：</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auto"/>
                <w:kern w:val="2"/>
                <w:sz w:val="18"/>
                <w:szCs w:val="18"/>
                <w:u w:val="none"/>
                <w:lang w:val="en-US" w:eastAsia="zh-CN" w:bidi="ar"/>
              </w:rPr>
            </w:pPr>
            <w:r>
              <w:rPr>
                <w:rFonts w:hint="eastAsia" w:ascii="楷体" w:hAnsi="楷体" w:eastAsia="楷体" w:cs="楷体"/>
                <w:b w:val="0"/>
                <w:bCs w:val="0"/>
                <w:i w:val="0"/>
                <w:color w:val="auto"/>
                <w:kern w:val="2"/>
                <w:sz w:val="18"/>
                <w:szCs w:val="18"/>
                <w:u w:val="none"/>
                <w:lang w:val="en-US" w:eastAsia="zh-CN" w:bidi="ar"/>
              </w:rPr>
              <w:t>21亿</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auto"/>
                <w:kern w:val="2"/>
                <w:sz w:val="18"/>
                <w:szCs w:val="18"/>
                <w:u w:val="none"/>
                <w:lang w:val="en-US" w:eastAsia="zh-CN" w:bidi="ar"/>
              </w:rPr>
            </w:pPr>
            <w:r>
              <w:rPr>
                <w:rFonts w:hint="eastAsia" w:ascii="楷体" w:hAnsi="楷体" w:eastAsia="楷体" w:cs="楷体"/>
                <w:b w:val="0"/>
                <w:bCs w:val="0"/>
                <w:i w:val="0"/>
                <w:color w:val="auto"/>
                <w:kern w:val="2"/>
                <w:sz w:val="18"/>
                <w:szCs w:val="18"/>
                <w:u w:val="none"/>
                <w:lang w:val="en-US" w:eastAsia="zh-CN" w:bidi="ar"/>
              </w:rPr>
              <w:t>2035年：</w:t>
            </w:r>
          </w:p>
          <w:p>
            <w:pPr>
              <w:keepNext w:val="0"/>
              <w:keepLines w:val="0"/>
              <w:pageBreakBefore w:val="0"/>
              <w:widowControl/>
              <w:suppressLineNumbers w:val="0"/>
              <w:kinsoku/>
              <w:wordWrap/>
              <w:overflowPunct/>
              <w:topLinePunct w:val="0"/>
              <w:autoSpaceDE/>
              <w:autoSpaceDN/>
              <w:bidi w:val="0"/>
              <w:adjustRightInd/>
              <w:snapToGrid/>
              <w:spacing w:line="220" w:lineRule="exact"/>
              <w:ind w:left="0" w:leftChars="0" w:right="0" w:rightChars="0" w:firstLine="0" w:firstLineChars="0"/>
              <w:jc w:val="right"/>
              <w:textAlignment w:val="auto"/>
              <w:rPr>
                <w:rFonts w:hint="eastAsia" w:ascii="楷体" w:hAnsi="楷体" w:eastAsia="楷体" w:cs="楷体"/>
                <w:b w:val="0"/>
                <w:bCs w:val="0"/>
                <w:i w:val="0"/>
                <w:color w:val="auto"/>
                <w:kern w:val="2"/>
                <w:sz w:val="18"/>
                <w:szCs w:val="18"/>
                <w:u w:val="none"/>
                <w:lang w:val="en-US" w:eastAsia="zh-CN" w:bidi="ar"/>
              </w:rPr>
            </w:pPr>
            <w:r>
              <w:rPr>
                <w:rFonts w:hint="eastAsia" w:ascii="楷体" w:hAnsi="楷体" w:eastAsia="楷体" w:cs="楷体"/>
                <w:b w:val="0"/>
                <w:bCs w:val="0"/>
                <w:i w:val="0"/>
                <w:color w:val="auto"/>
                <w:kern w:val="2"/>
                <w:sz w:val="18"/>
                <w:szCs w:val="18"/>
                <w:u w:val="none"/>
                <w:lang w:val="en-US" w:eastAsia="zh-CN" w:bidi="ar"/>
              </w:rPr>
              <w:t>50亿</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385"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both"/>
              <w:textAlignment w:val="auto"/>
              <w:rPr>
                <w:rFonts w:hint="default" w:ascii="楷体" w:hAnsi="楷体" w:eastAsia="楷体" w:cs="楷体"/>
                <w:b w:val="0"/>
                <w:bCs w:val="0"/>
                <w:i w:val="0"/>
                <w:iCs w:val="0"/>
                <w:color w:val="auto"/>
                <w:kern w:val="2"/>
                <w:sz w:val="18"/>
                <w:szCs w:val="18"/>
                <w:u w:val="none"/>
                <w:lang w:val="en-US" w:eastAsia="zh-CN" w:bidi="ar"/>
              </w:rPr>
            </w:pPr>
          </w:p>
        </w:tc>
        <w:tc>
          <w:tcPr>
            <w:tcW w:w="630"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center"/>
              <w:textAlignment w:val="auto"/>
              <w:rPr>
                <w:rFonts w:hint="default"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崖州湾科技城贡献</w:t>
            </w:r>
          </w:p>
        </w:tc>
        <w:tc>
          <w:tcPr>
            <w:tcW w:w="1163" w:type="dxa"/>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20" w:lineRule="exact"/>
              <w:ind w:left="0" w:leftChars="0" w:firstLine="0" w:firstLine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深海科技产业及科教研发产业</w:t>
            </w:r>
          </w:p>
        </w:tc>
        <w:tc>
          <w:tcPr>
            <w:tcW w:w="5376" w:type="dxa"/>
            <w:vAlign w:val="top"/>
          </w:tcPr>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2020年：实现产值40亿元、地区生产总值（GDP）10亿元</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2025年：实现产值99亿元、地区生产总值（GDP）24亿元</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2035年：实现产值600亿元、地区生产总值（GDP）140亿元</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20" w:lineRule="exact"/>
              <w:ind w:left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（注：2020年、2035年数据依据《三亚崖州湾科技城总体规划（2018-2035）》，2025年数据根据平均增速测算）</w:t>
            </w:r>
          </w:p>
        </w:tc>
        <w:tc>
          <w:tcPr>
            <w:tcW w:w="968" w:type="dxa"/>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auto"/>
                <w:kern w:val="2"/>
                <w:sz w:val="18"/>
                <w:szCs w:val="18"/>
                <w:u w:val="none"/>
                <w:lang w:val="en-US" w:eastAsia="zh-CN" w:bidi="ar"/>
              </w:rPr>
            </w:pPr>
            <w:r>
              <w:rPr>
                <w:rFonts w:hint="eastAsia" w:ascii="楷体" w:hAnsi="楷体" w:eastAsia="楷体" w:cs="楷体"/>
                <w:b w:val="0"/>
                <w:bCs w:val="0"/>
                <w:i w:val="0"/>
                <w:color w:val="auto"/>
                <w:kern w:val="2"/>
                <w:sz w:val="18"/>
                <w:szCs w:val="18"/>
                <w:u w:val="none"/>
                <w:lang w:val="en-US" w:eastAsia="zh-CN" w:bidi="ar"/>
              </w:rPr>
              <w:t>GDP贡献</w:t>
            </w:r>
          </w:p>
          <w:p>
            <w:pPr>
              <w:keepNext w:val="0"/>
              <w:keepLines w:val="0"/>
              <w:pageBreakBefore w:val="0"/>
              <w:widowControl/>
              <w:suppressLineNumbers w:val="0"/>
              <w:kinsoku/>
              <w:wordWrap w:val="0"/>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auto"/>
                <w:kern w:val="2"/>
                <w:sz w:val="18"/>
                <w:szCs w:val="18"/>
                <w:u w:val="none"/>
                <w:lang w:val="en-US" w:eastAsia="zh-CN" w:bidi="ar"/>
              </w:rPr>
            </w:pPr>
            <w:r>
              <w:rPr>
                <w:rFonts w:hint="eastAsia" w:ascii="楷体" w:hAnsi="楷体" w:eastAsia="楷体" w:cs="楷体"/>
                <w:b w:val="0"/>
                <w:bCs w:val="0"/>
                <w:i w:val="0"/>
                <w:color w:val="auto"/>
                <w:kern w:val="2"/>
                <w:sz w:val="18"/>
                <w:szCs w:val="18"/>
                <w:u w:val="none"/>
                <w:lang w:val="en-US" w:eastAsia="zh-CN" w:bidi="ar"/>
              </w:rPr>
              <w:t>2025年：</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auto"/>
                <w:kern w:val="2"/>
                <w:sz w:val="18"/>
                <w:szCs w:val="18"/>
                <w:u w:val="none"/>
                <w:lang w:val="en-US" w:eastAsia="zh-CN" w:bidi="ar"/>
              </w:rPr>
            </w:pPr>
            <w:r>
              <w:rPr>
                <w:rFonts w:hint="eastAsia" w:ascii="楷体" w:hAnsi="楷体" w:eastAsia="楷体" w:cs="楷体"/>
                <w:b w:val="0"/>
                <w:bCs w:val="0"/>
                <w:i w:val="0"/>
                <w:color w:val="auto"/>
                <w:kern w:val="2"/>
                <w:sz w:val="18"/>
                <w:szCs w:val="18"/>
                <w:u w:val="none"/>
                <w:lang w:val="en-US" w:eastAsia="zh-CN" w:bidi="ar"/>
              </w:rPr>
              <w:t>24亿</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auto"/>
                <w:kern w:val="2"/>
                <w:sz w:val="18"/>
                <w:szCs w:val="18"/>
                <w:u w:val="none"/>
                <w:lang w:val="en-US" w:eastAsia="zh-CN" w:bidi="ar"/>
              </w:rPr>
            </w:pPr>
            <w:r>
              <w:rPr>
                <w:rFonts w:hint="eastAsia" w:ascii="楷体" w:hAnsi="楷体" w:eastAsia="楷体" w:cs="楷体"/>
                <w:b w:val="0"/>
                <w:bCs w:val="0"/>
                <w:i w:val="0"/>
                <w:color w:val="auto"/>
                <w:kern w:val="2"/>
                <w:sz w:val="18"/>
                <w:szCs w:val="18"/>
                <w:u w:val="none"/>
                <w:lang w:val="en-US" w:eastAsia="zh-CN" w:bidi="ar"/>
              </w:rPr>
              <w:t>2035年：</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default" w:ascii="楷体" w:hAnsi="楷体" w:eastAsia="楷体" w:cs="楷体"/>
                <w:b w:val="0"/>
                <w:bCs w:val="0"/>
                <w:i w:val="0"/>
                <w:color w:val="auto"/>
                <w:kern w:val="2"/>
                <w:sz w:val="18"/>
                <w:szCs w:val="18"/>
                <w:u w:val="none"/>
                <w:lang w:val="en-US" w:eastAsia="zh-CN" w:bidi="ar"/>
              </w:rPr>
            </w:pPr>
            <w:r>
              <w:rPr>
                <w:rFonts w:hint="eastAsia" w:ascii="楷体" w:hAnsi="楷体" w:eastAsia="楷体" w:cs="楷体"/>
                <w:b w:val="0"/>
                <w:bCs w:val="0"/>
                <w:i w:val="0"/>
                <w:color w:val="auto"/>
                <w:kern w:val="2"/>
                <w:sz w:val="18"/>
                <w:szCs w:val="18"/>
                <w:u w:val="none"/>
                <w:lang w:val="en-US" w:eastAsia="zh-CN" w:bidi="ar"/>
              </w:rPr>
              <w:t>140亿</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385"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both"/>
              <w:textAlignment w:val="auto"/>
              <w:rPr>
                <w:rFonts w:hint="eastAsia" w:ascii="楷体" w:hAnsi="楷体" w:eastAsia="楷体" w:cs="楷体"/>
                <w:b w:val="0"/>
                <w:bCs w:val="0"/>
                <w:i w:val="0"/>
                <w:iCs w:val="0"/>
                <w:color w:val="auto"/>
                <w:kern w:val="2"/>
                <w:sz w:val="18"/>
                <w:szCs w:val="18"/>
                <w:u w:val="none"/>
                <w:lang w:val="en-US" w:eastAsia="zh-CN" w:bidi="ar"/>
              </w:rPr>
            </w:pPr>
          </w:p>
        </w:tc>
        <w:tc>
          <w:tcPr>
            <w:tcW w:w="630" w:type="dxa"/>
            <w:vMerge w:val="continue"/>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20" w:lineRule="exact"/>
              <w:ind w:leftChars="0"/>
              <w:jc w:val="both"/>
              <w:textAlignment w:val="auto"/>
              <w:rPr>
                <w:rFonts w:hint="eastAsia" w:ascii="楷体" w:hAnsi="楷体" w:eastAsia="楷体" w:cs="楷体"/>
                <w:b w:val="0"/>
                <w:bCs w:val="0"/>
                <w:i w:val="0"/>
                <w:iCs w:val="0"/>
                <w:color w:val="auto"/>
                <w:kern w:val="2"/>
                <w:sz w:val="18"/>
                <w:szCs w:val="18"/>
                <w:u w:val="none"/>
                <w:lang w:val="en-US" w:eastAsia="zh-CN" w:bidi="ar"/>
              </w:rPr>
            </w:pPr>
          </w:p>
        </w:tc>
        <w:tc>
          <w:tcPr>
            <w:tcW w:w="1163" w:type="dxa"/>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20" w:lineRule="exact"/>
              <w:ind w:left="0" w:leftChars="0" w:firstLine="0" w:firstLine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南繁科技产业</w:t>
            </w:r>
          </w:p>
        </w:tc>
        <w:tc>
          <w:tcPr>
            <w:tcW w:w="5376" w:type="dxa"/>
            <w:vAlign w:val="top"/>
          </w:tcPr>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2020年：实现产值60亿元、地区生产总值（GDP）20亿元</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2025年：实现产值113亿元、地区生产总值（GDP）33亿元</w:t>
            </w:r>
          </w:p>
          <w:p>
            <w:pPr>
              <w:keepNext w:val="0"/>
              <w:keepLines w:val="0"/>
              <w:pageBreakBefore w:val="0"/>
              <w:widowControl/>
              <w:numPr>
                <w:ilvl w:val="0"/>
                <w:numId w:val="8"/>
              </w:numPr>
              <w:suppressLineNumbers w:val="0"/>
              <w:kinsoku/>
              <w:wordWrap/>
              <w:overflowPunct/>
              <w:topLinePunct w:val="0"/>
              <w:autoSpaceDE/>
              <w:autoSpaceDN/>
              <w:bidi w:val="0"/>
              <w:adjustRightInd/>
              <w:snapToGrid/>
              <w:spacing w:line="220" w:lineRule="exact"/>
              <w:ind w:left="227" w:leftChars="0" w:hanging="227" w:firstLine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2035年：实现产值400亿元、地区生产总值（GDP）90亿元</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20" w:lineRule="exact"/>
              <w:ind w:leftChars="0"/>
              <w:jc w:val="both"/>
              <w:textAlignment w:val="auto"/>
              <w:rPr>
                <w:rFonts w:hint="eastAsia" w:ascii="楷体" w:hAnsi="楷体" w:eastAsia="楷体" w:cs="楷体"/>
                <w:b w:val="0"/>
                <w:bCs w:val="0"/>
                <w:i w:val="0"/>
                <w:iCs w:val="0"/>
                <w:color w:val="auto"/>
                <w:kern w:val="2"/>
                <w:sz w:val="18"/>
                <w:szCs w:val="18"/>
                <w:u w:val="none"/>
                <w:lang w:val="en-US" w:eastAsia="zh-CN" w:bidi="ar"/>
              </w:rPr>
            </w:pPr>
            <w:r>
              <w:rPr>
                <w:rFonts w:hint="eastAsia" w:ascii="楷体" w:hAnsi="楷体" w:eastAsia="楷体" w:cs="楷体"/>
                <w:b w:val="0"/>
                <w:bCs w:val="0"/>
                <w:i w:val="0"/>
                <w:iCs w:val="0"/>
                <w:color w:val="auto"/>
                <w:kern w:val="2"/>
                <w:sz w:val="18"/>
                <w:szCs w:val="18"/>
                <w:u w:val="none"/>
                <w:lang w:val="en-US" w:eastAsia="zh-CN" w:bidi="ar"/>
              </w:rPr>
              <w:t>（注：2020年、2035年数据依据《三亚崖州湾科技城总体规划（2018-2035）》，2025年数据根据平均增速测算）</w:t>
            </w:r>
          </w:p>
        </w:tc>
        <w:tc>
          <w:tcPr>
            <w:tcW w:w="968" w:type="dxa"/>
            <w:vAlign w:val="center"/>
          </w:tcPr>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auto"/>
                <w:kern w:val="2"/>
                <w:sz w:val="18"/>
                <w:szCs w:val="18"/>
                <w:u w:val="none"/>
                <w:lang w:val="en-US" w:eastAsia="zh-CN" w:bidi="ar"/>
              </w:rPr>
            </w:pPr>
            <w:r>
              <w:rPr>
                <w:rFonts w:hint="eastAsia" w:ascii="楷体" w:hAnsi="楷体" w:eastAsia="楷体" w:cs="楷体"/>
                <w:b w:val="0"/>
                <w:bCs w:val="0"/>
                <w:i w:val="0"/>
                <w:color w:val="auto"/>
                <w:kern w:val="2"/>
                <w:sz w:val="18"/>
                <w:szCs w:val="18"/>
                <w:u w:val="none"/>
                <w:lang w:val="en-US" w:eastAsia="zh-CN" w:bidi="ar"/>
              </w:rPr>
              <w:t>GDP贡献</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auto"/>
                <w:kern w:val="2"/>
                <w:sz w:val="18"/>
                <w:szCs w:val="18"/>
                <w:u w:val="none"/>
                <w:lang w:val="en-US" w:eastAsia="zh-CN" w:bidi="ar"/>
              </w:rPr>
            </w:pPr>
            <w:r>
              <w:rPr>
                <w:rFonts w:hint="eastAsia" w:ascii="楷体" w:hAnsi="楷体" w:eastAsia="楷体" w:cs="楷体"/>
                <w:b w:val="0"/>
                <w:bCs w:val="0"/>
                <w:i w:val="0"/>
                <w:color w:val="auto"/>
                <w:kern w:val="2"/>
                <w:sz w:val="18"/>
                <w:szCs w:val="18"/>
                <w:u w:val="none"/>
                <w:lang w:val="en-US" w:eastAsia="zh-CN" w:bidi="ar"/>
              </w:rPr>
              <w:t>2025年：</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auto"/>
                <w:kern w:val="2"/>
                <w:sz w:val="18"/>
                <w:szCs w:val="18"/>
                <w:u w:val="none"/>
                <w:lang w:val="en-US" w:eastAsia="zh-CN" w:bidi="ar"/>
              </w:rPr>
            </w:pPr>
            <w:r>
              <w:rPr>
                <w:rFonts w:hint="eastAsia" w:ascii="楷体" w:hAnsi="楷体" w:eastAsia="楷体" w:cs="楷体"/>
                <w:b w:val="0"/>
                <w:bCs w:val="0"/>
                <w:i w:val="0"/>
                <w:color w:val="auto"/>
                <w:kern w:val="2"/>
                <w:sz w:val="18"/>
                <w:szCs w:val="18"/>
                <w:u w:val="none"/>
                <w:lang w:val="en-US" w:eastAsia="zh-CN" w:bidi="ar"/>
              </w:rPr>
              <w:t>33亿</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auto"/>
                <w:kern w:val="2"/>
                <w:sz w:val="18"/>
                <w:szCs w:val="18"/>
                <w:u w:val="none"/>
                <w:lang w:val="en-US" w:eastAsia="zh-CN" w:bidi="ar"/>
              </w:rPr>
            </w:pPr>
            <w:r>
              <w:rPr>
                <w:rFonts w:hint="eastAsia" w:ascii="楷体" w:hAnsi="楷体" w:eastAsia="楷体" w:cs="楷体"/>
                <w:b w:val="0"/>
                <w:bCs w:val="0"/>
                <w:i w:val="0"/>
                <w:color w:val="auto"/>
                <w:kern w:val="2"/>
                <w:sz w:val="18"/>
                <w:szCs w:val="18"/>
                <w:u w:val="none"/>
                <w:lang w:val="en-US" w:eastAsia="zh-CN" w:bidi="ar"/>
              </w:rPr>
              <w:t>2035年：</w:t>
            </w:r>
          </w:p>
          <w:p>
            <w:pPr>
              <w:keepNext w:val="0"/>
              <w:keepLines w:val="0"/>
              <w:pageBreakBefore w:val="0"/>
              <w:widowControl/>
              <w:suppressLineNumbers w:val="0"/>
              <w:kinsoku/>
              <w:wordWrap/>
              <w:overflowPunct/>
              <w:topLinePunct w:val="0"/>
              <w:autoSpaceDE/>
              <w:autoSpaceDN/>
              <w:bidi w:val="0"/>
              <w:adjustRightInd/>
              <w:snapToGrid/>
              <w:spacing w:line="220" w:lineRule="exact"/>
              <w:ind w:firstLine="0" w:firstLineChars="0"/>
              <w:jc w:val="right"/>
              <w:textAlignment w:val="auto"/>
              <w:rPr>
                <w:rFonts w:hint="eastAsia" w:ascii="楷体" w:hAnsi="楷体" w:eastAsia="楷体" w:cs="楷体"/>
                <w:b w:val="0"/>
                <w:bCs w:val="0"/>
                <w:i w:val="0"/>
                <w:color w:val="auto"/>
                <w:kern w:val="2"/>
                <w:sz w:val="18"/>
                <w:szCs w:val="18"/>
                <w:u w:val="none"/>
                <w:lang w:val="en-US" w:eastAsia="zh-CN" w:bidi="ar"/>
              </w:rPr>
            </w:pPr>
            <w:r>
              <w:rPr>
                <w:rFonts w:hint="eastAsia" w:ascii="楷体" w:hAnsi="楷体" w:eastAsia="楷体" w:cs="楷体"/>
                <w:b w:val="0"/>
                <w:bCs w:val="0"/>
                <w:i w:val="0"/>
                <w:color w:val="auto"/>
                <w:kern w:val="2"/>
                <w:sz w:val="18"/>
                <w:szCs w:val="18"/>
                <w:u w:val="none"/>
                <w:lang w:val="en-US" w:eastAsia="zh-CN" w:bidi="ar"/>
              </w:rPr>
              <w:t>90亿</w:t>
            </w:r>
          </w:p>
        </w:tc>
      </w:tr>
    </w:tbl>
    <w:p>
      <w:pPr>
        <w:pStyle w:val="3"/>
        <w:bidi w:val="0"/>
        <w:rPr>
          <w:rFonts w:hint="default"/>
          <w:lang w:val="en-US" w:eastAsia="zh-CN"/>
        </w:rPr>
      </w:pPr>
      <w:bookmarkStart w:id="516" w:name="_Toc18547"/>
      <w:bookmarkStart w:id="517" w:name="_Toc6839"/>
      <w:bookmarkStart w:id="518" w:name="_Toc9651"/>
      <w:r>
        <w:rPr>
          <w:rFonts w:hint="eastAsia"/>
          <w:lang w:val="en-US" w:eastAsia="zh-CN"/>
        </w:rPr>
        <w:t>第五节  产业布局</w:t>
      </w:r>
      <w:bookmarkEnd w:id="516"/>
      <w:bookmarkEnd w:id="517"/>
      <w:bookmarkEnd w:id="518"/>
    </w:p>
    <w:p>
      <w:pPr>
        <w:pStyle w:val="4"/>
        <w:bidi w:val="0"/>
        <w:rPr>
          <w:rFonts w:hint="eastAsia"/>
          <w:lang w:val="en-US" w:eastAsia="zh-CN"/>
        </w:rPr>
      </w:pPr>
      <w:bookmarkStart w:id="519" w:name="_Toc29749"/>
      <w:bookmarkStart w:id="520" w:name="_Toc9605"/>
      <w:bookmarkStart w:id="521" w:name="_Toc25797"/>
      <w:r>
        <w:rPr>
          <w:rFonts w:hint="eastAsia"/>
          <w:lang w:val="en-US" w:eastAsia="zh-CN"/>
        </w:rPr>
        <w:t>一、旅游业布局</w:t>
      </w:r>
      <w:bookmarkEnd w:id="519"/>
      <w:bookmarkEnd w:id="520"/>
      <w:bookmarkEnd w:id="521"/>
    </w:p>
    <w:p>
      <w:pPr>
        <w:rPr>
          <w:rFonts w:hint="default"/>
          <w:lang w:val="en-US" w:eastAsia="zh-CN"/>
        </w:rPr>
      </w:pPr>
      <w:r>
        <w:rPr>
          <w:rFonts w:hint="default"/>
          <w:lang w:val="en-US" w:eastAsia="zh-CN"/>
        </w:rPr>
        <w:t>崖州区打造形成</w:t>
      </w:r>
      <w:r>
        <w:rPr>
          <w:rFonts w:hint="default"/>
          <w:b/>
          <w:bCs/>
          <w:lang w:val="en-US" w:eastAsia="zh-CN"/>
        </w:rPr>
        <w:t>“</w:t>
      </w:r>
      <w:r>
        <w:rPr>
          <w:rFonts w:hint="eastAsia"/>
          <w:b/>
          <w:bCs/>
          <w:lang w:val="en-US" w:eastAsia="zh-CN"/>
        </w:rPr>
        <w:t>两带三</w:t>
      </w:r>
      <w:r>
        <w:rPr>
          <w:rFonts w:hint="default"/>
          <w:b/>
          <w:bCs/>
          <w:lang w:val="en-US" w:eastAsia="zh-CN"/>
        </w:rPr>
        <w:t>地、一古城三</w:t>
      </w:r>
      <w:r>
        <w:rPr>
          <w:rFonts w:hint="eastAsia"/>
          <w:b/>
          <w:bCs/>
          <w:lang w:val="en-US" w:eastAsia="zh-CN"/>
        </w:rPr>
        <w:t>新</w:t>
      </w:r>
      <w:r>
        <w:rPr>
          <w:rFonts w:hint="default"/>
          <w:b/>
          <w:bCs/>
          <w:lang w:val="en-US" w:eastAsia="zh-CN"/>
        </w:rPr>
        <w:t>城</w:t>
      </w:r>
      <w:r>
        <w:rPr>
          <w:rFonts w:hint="eastAsia"/>
          <w:b/>
          <w:bCs/>
          <w:lang w:val="en-US" w:eastAsia="zh-CN"/>
        </w:rPr>
        <w:t>、全域多点</w:t>
      </w:r>
      <w:r>
        <w:rPr>
          <w:rFonts w:hint="default"/>
          <w:b/>
          <w:bCs/>
          <w:lang w:val="en-US" w:eastAsia="zh-CN"/>
        </w:rPr>
        <w:t>”</w:t>
      </w:r>
      <w:r>
        <w:rPr>
          <w:rFonts w:hint="default"/>
          <w:lang w:val="en-US" w:eastAsia="zh-CN"/>
        </w:rPr>
        <w:t>的</w:t>
      </w:r>
      <w:r>
        <w:rPr>
          <w:rFonts w:hint="eastAsia" w:ascii="仿宋_GB2312" w:eastAsia="仿宋_GB2312"/>
          <w:lang w:val="en-US" w:eastAsia="zh-CN"/>
        </w:rPr>
        <w:t>旅游业</w:t>
      </w:r>
      <w:r>
        <w:rPr>
          <w:rFonts w:hint="default"/>
          <w:lang w:val="en-US" w:eastAsia="zh-CN"/>
        </w:rPr>
        <w:t>功能布局。</w:t>
      </w:r>
    </w:p>
    <w:p>
      <w:pPr>
        <w:rPr>
          <w:rFonts w:hint="default"/>
          <w:lang w:val="en-US" w:eastAsia="zh-CN"/>
        </w:rPr>
      </w:pPr>
      <w:r>
        <w:rPr>
          <w:rFonts w:hint="default"/>
          <w:lang w:val="en-US" w:eastAsia="zh-CN"/>
        </w:rPr>
        <w:t>“两带”指宁远河文旅带和滨海旅游带，是旅游要素集中、未来前景可期的两条带状区域。宁远河文旅带重点发展文化旅游、生态观光游、研学亲子游等，滨海旅游带重点发展主题乐园游、休闲渔业游、南山宗教文化游、红色旅游等。</w:t>
      </w:r>
    </w:p>
    <w:p>
      <w:pPr>
        <w:rPr>
          <w:rFonts w:hint="default"/>
          <w:lang w:val="en-US" w:eastAsia="zh-CN"/>
        </w:rPr>
      </w:pPr>
      <w:r>
        <w:rPr>
          <w:rFonts w:hint="default"/>
          <w:lang w:val="en-US" w:eastAsia="zh-CN"/>
        </w:rPr>
        <w:t>“三地”指南山宗教文化圣地、中心渔港南海渔业观光体验地、梅山爱国主义教育基地，南山文化圣地包括南山文化旅游区和大小洞天风景区两个国家5A级景区，是佛教文化和道家文化旅游胜地，崖州中心渔港是极具南海渔业特色的休闲渔业观光体验景点，梅山革命烈士陵园和梅山革命史馆是开展革命传统教育、爱国主义教育和廉政教育的标准化基地。</w:t>
      </w:r>
    </w:p>
    <w:p>
      <w:pPr>
        <w:rPr>
          <w:rFonts w:hint="default"/>
          <w:lang w:val="en-US" w:eastAsia="zh-CN"/>
        </w:rPr>
      </w:pPr>
      <w:r>
        <w:rPr>
          <w:rFonts w:hint="default"/>
          <w:lang w:val="en-US" w:eastAsia="zh-CN"/>
        </w:rPr>
        <w:t>“一古城”指崖州古城及周边历史景点，是三亚历史文化的发源地，拥有中国最南端的孔庙崖城学宫，以古城为核心、串联历史文化景点，形成经典的文旅探秘自由行路线。</w:t>
      </w:r>
    </w:p>
    <w:p>
      <w:pPr>
        <w:rPr>
          <w:rFonts w:hint="default"/>
          <w:lang w:val="en-US" w:eastAsia="zh-CN"/>
        </w:rPr>
      </w:pPr>
      <w:r>
        <w:rPr>
          <w:rFonts w:hint="default"/>
          <w:lang w:val="en-US" w:eastAsia="zh-CN"/>
        </w:rPr>
        <w:t>“三</w:t>
      </w:r>
      <w:r>
        <w:rPr>
          <w:rFonts w:hint="eastAsia"/>
          <w:lang w:val="en-US" w:eastAsia="zh-CN"/>
        </w:rPr>
        <w:t>新</w:t>
      </w:r>
      <w:r>
        <w:rPr>
          <w:rFonts w:hint="default"/>
          <w:lang w:val="en-US" w:eastAsia="zh-CN"/>
        </w:rPr>
        <w:t>城”指南繁科技城、深海科技城、大学城，整合</w:t>
      </w:r>
      <w:r>
        <w:rPr>
          <w:rFonts w:hint="eastAsia"/>
          <w:lang w:val="en-US" w:eastAsia="zh-CN"/>
        </w:rPr>
        <w:t>崖州湾</w:t>
      </w:r>
      <w:r>
        <w:rPr>
          <w:rFonts w:hint="default"/>
          <w:lang w:val="en-US" w:eastAsia="zh-CN"/>
        </w:rPr>
        <w:t>南繁科技</w:t>
      </w:r>
      <w:r>
        <w:rPr>
          <w:rFonts w:hint="eastAsia"/>
          <w:lang w:val="en-US" w:eastAsia="zh-CN"/>
        </w:rPr>
        <w:t>、深海科技和大学教育</w:t>
      </w:r>
      <w:r>
        <w:rPr>
          <w:rFonts w:hint="default"/>
          <w:lang w:val="en-US" w:eastAsia="zh-CN"/>
        </w:rPr>
        <w:t>资源，</w:t>
      </w:r>
      <w:r>
        <w:rPr>
          <w:rFonts w:hint="eastAsia"/>
          <w:lang w:val="en-US" w:eastAsia="zh-CN"/>
        </w:rPr>
        <w:t>打造世界一流的深海南繁特色科普、体验、</w:t>
      </w:r>
      <w:r>
        <w:rPr>
          <w:rFonts w:hint="default"/>
          <w:lang w:val="en-US" w:eastAsia="zh-CN"/>
        </w:rPr>
        <w:t>研学</w:t>
      </w:r>
      <w:r>
        <w:rPr>
          <w:rFonts w:hint="eastAsia"/>
          <w:lang w:val="en-US" w:eastAsia="zh-CN"/>
        </w:rPr>
        <w:t>、亲子基地，形成新的旅游特色产品</w:t>
      </w:r>
      <w:r>
        <w:rPr>
          <w:rFonts w:hint="default"/>
          <w:lang w:val="en-US" w:eastAsia="zh-CN"/>
        </w:rPr>
        <w:t>。</w:t>
      </w:r>
    </w:p>
    <w:p>
      <w:pPr>
        <w:rPr>
          <w:rFonts w:hint="eastAsia" w:ascii="仿宋_GB2312" w:eastAsia="仿宋_GB2312"/>
          <w:lang w:val="en-US" w:eastAsia="zh-CN"/>
        </w:rPr>
      </w:pPr>
      <w:r>
        <w:rPr>
          <w:rFonts w:hint="eastAsia" w:ascii="仿宋_GB2312" w:eastAsia="仿宋_GB2312"/>
          <w:lang w:val="en-US" w:eastAsia="zh-CN"/>
        </w:rPr>
        <w:t>“</w:t>
      </w:r>
      <w:r>
        <w:rPr>
          <w:rFonts w:hint="eastAsia"/>
          <w:lang w:val="en-US" w:eastAsia="zh-CN"/>
        </w:rPr>
        <w:t>全域</w:t>
      </w:r>
      <w:r>
        <w:rPr>
          <w:rFonts w:hint="eastAsia" w:ascii="仿宋_GB2312" w:eastAsia="仿宋_GB2312"/>
          <w:lang w:val="en-US" w:eastAsia="zh-CN"/>
        </w:rPr>
        <w:t>多点”指遍布全区的各处景点，以六园（6大类主题公园乐园）、八景（“新崖州八景”）、两休闲（休闲农业、休闲渔业）为主体，打造古城探秘、八景巡游、宁远游乐、南海之恋、主题乐园、研学亲子、疍家文化、红色文化等八条目的地旅游路线，结合新兴培育的体育旅游产业，形成全域旅游发展格局。</w:t>
      </w:r>
    </w:p>
    <w:p>
      <w:pPr>
        <w:bidi w:val="0"/>
        <w:ind w:left="0" w:leftChars="0" w:firstLine="0" w:firstLineChars="0"/>
        <w:jc w:val="center"/>
        <w:rPr>
          <w:rFonts w:hint="eastAsia" w:ascii="楷体" w:hAnsi="楷体" w:eastAsia="楷体" w:cs="楷体"/>
          <w:b/>
          <w:bCs/>
          <w:sz w:val="28"/>
          <w:szCs w:val="28"/>
          <w:lang w:val="en-US" w:eastAsia="zh-CN"/>
        </w:rPr>
      </w:pPr>
      <w:r>
        <w:rPr>
          <w:rFonts w:hint="eastAsia" w:ascii="楷体" w:hAnsi="楷体" w:eastAsia="楷体" w:cs="楷体"/>
          <w:b/>
          <w:bCs/>
          <w:sz w:val="28"/>
          <w:szCs w:val="28"/>
          <w:lang w:val="en-US" w:eastAsia="zh-CN"/>
        </w:rPr>
        <w:drawing>
          <wp:inline distT="0" distB="0" distL="114300" distR="114300">
            <wp:extent cx="8496300" cy="5099685"/>
            <wp:effectExtent l="0" t="0" r="5715" b="0"/>
            <wp:docPr id="4" name="图片 4" descr="制图ppt_页面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制图ppt_页面_6"/>
                    <pic:cNvPicPr>
                      <a:picLocks noChangeAspect="1"/>
                    </pic:cNvPicPr>
                  </pic:nvPicPr>
                  <pic:blipFill>
                    <a:blip r:embed="rId22"/>
                    <a:srcRect t="4436" b="9366"/>
                    <a:stretch>
                      <a:fillRect/>
                    </a:stretch>
                  </pic:blipFill>
                  <pic:spPr>
                    <a:xfrm rot="5400000">
                      <a:off x="0" y="0"/>
                      <a:ext cx="8496300" cy="5099685"/>
                    </a:xfrm>
                    <a:prstGeom prst="rect">
                      <a:avLst/>
                    </a:prstGeom>
                  </pic:spPr>
                </pic:pic>
              </a:graphicData>
            </a:graphic>
          </wp:inline>
        </w:drawing>
      </w:r>
    </w:p>
    <w:p>
      <w:pPr>
        <w:ind w:left="0" w:leftChars="0" w:firstLine="0" w:firstLineChars="0"/>
        <w:jc w:val="center"/>
        <w:rPr>
          <w:rFonts w:hint="eastAsia"/>
          <w:b w:val="0"/>
          <w:bCs w:val="0"/>
          <w:lang w:val="en-US" w:eastAsia="zh-CN"/>
        </w:rPr>
      </w:pPr>
      <w:r>
        <w:rPr>
          <w:rFonts w:hint="eastAsia" w:ascii="楷体" w:hAnsi="楷体" w:eastAsia="楷体" w:cs="楷体"/>
          <w:b w:val="0"/>
          <w:bCs w:val="0"/>
          <w:sz w:val="28"/>
          <w:szCs w:val="28"/>
          <w:lang w:val="en-US" w:eastAsia="zh-CN"/>
        </w:rPr>
        <w:t>图6  崖州区旅游业发展布局示意图</w:t>
      </w:r>
    </w:p>
    <w:p>
      <w:pPr>
        <w:pStyle w:val="4"/>
        <w:bidi w:val="0"/>
        <w:rPr>
          <w:rFonts w:hint="eastAsia"/>
          <w:lang w:val="en-US" w:eastAsia="zh-CN"/>
        </w:rPr>
      </w:pPr>
      <w:bookmarkStart w:id="522" w:name="_Toc8426"/>
      <w:bookmarkStart w:id="523" w:name="_Toc17790"/>
      <w:bookmarkStart w:id="524" w:name="_Toc30481"/>
      <w:r>
        <w:rPr>
          <w:rFonts w:hint="eastAsia"/>
          <w:lang w:val="en-US" w:eastAsia="zh-CN"/>
        </w:rPr>
        <w:t>二、商贸物流业布局</w:t>
      </w:r>
      <w:bookmarkEnd w:id="522"/>
      <w:bookmarkEnd w:id="523"/>
      <w:bookmarkEnd w:id="524"/>
    </w:p>
    <w:p>
      <w:pPr>
        <w:rPr>
          <w:rFonts w:hint="default"/>
          <w:lang w:val="en-US" w:eastAsia="zh-CN"/>
        </w:rPr>
      </w:pPr>
      <w:r>
        <w:rPr>
          <w:rFonts w:hint="default"/>
          <w:lang w:val="en-US" w:eastAsia="zh-CN"/>
        </w:rPr>
        <w:t>崖州区打造形成</w:t>
      </w:r>
      <w:r>
        <w:rPr>
          <w:rFonts w:hint="default"/>
          <w:b/>
          <w:bCs/>
          <w:lang w:val="en-US" w:eastAsia="zh-CN"/>
        </w:rPr>
        <w:t>“</w:t>
      </w:r>
      <w:r>
        <w:rPr>
          <w:rFonts w:hint="eastAsia"/>
          <w:b/>
          <w:bCs/>
          <w:lang w:val="en-US" w:eastAsia="zh-CN"/>
        </w:rPr>
        <w:t>一中心、两基地</w:t>
      </w:r>
      <w:r>
        <w:rPr>
          <w:rFonts w:hint="default"/>
          <w:b/>
          <w:bCs/>
          <w:lang w:val="en-US" w:eastAsia="zh-CN"/>
        </w:rPr>
        <w:t>、多</w:t>
      </w:r>
      <w:r>
        <w:rPr>
          <w:rFonts w:hint="eastAsia"/>
          <w:b/>
          <w:bCs/>
          <w:lang w:val="en-US" w:eastAsia="zh-CN"/>
        </w:rPr>
        <w:t>层次</w:t>
      </w:r>
      <w:r>
        <w:rPr>
          <w:rFonts w:hint="default"/>
          <w:b/>
          <w:bCs/>
          <w:lang w:val="en-US" w:eastAsia="zh-CN"/>
        </w:rPr>
        <w:t>”</w:t>
      </w:r>
      <w:r>
        <w:rPr>
          <w:rFonts w:hint="default"/>
          <w:lang w:val="en-US" w:eastAsia="zh-CN"/>
        </w:rPr>
        <w:t>的商贸物流业功能布局。</w:t>
      </w:r>
    </w:p>
    <w:p>
      <w:pPr>
        <w:rPr>
          <w:rFonts w:hint="default"/>
          <w:lang w:val="en-US" w:eastAsia="zh-CN"/>
        </w:rPr>
      </w:pPr>
      <w:r>
        <w:rPr>
          <w:rFonts w:hint="eastAsia"/>
          <w:lang w:val="en-US" w:eastAsia="zh-CN"/>
        </w:rPr>
        <w:t>“一中心”指主城组团现代服务业发展中心，重点发展创新研发、科教培训、总部基地，发展现代生活服务业、中介服务业，建设大型商业综合体，提供消费升级场景。</w:t>
      </w:r>
    </w:p>
    <w:p>
      <w:pPr>
        <w:rPr>
          <w:rFonts w:hint="default"/>
          <w:lang w:val="en-US" w:eastAsia="zh-CN"/>
        </w:rPr>
      </w:pPr>
      <w:r>
        <w:rPr>
          <w:rFonts w:hint="default"/>
          <w:lang w:val="en-US" w:eastAsia="zh-CN"/>
        </w:rPr>
        <w:t>“</w:t>
      </w:r>
      <w:r>
        <w:rPr>
          <w:rFonts w:hint="eastAsia"/>
          <w:lang w:val="en-US" w:eastAsia="zh-CN"/>
        </w:rPr>
        <w:t>两基地</w:t>
      </w:r>
      <w:r>
        <w:rPr>
          <w:rFonts w:hint="default"/>
          <w:lang w:val="en-US" w:eastAsia="zh-CN"/>
        </w:rPr>
        <w:t>”指</w:t>
      </w:r>
      <w:r>
        <w:rPr>
          <w:rFonts w:hint="eastAsia"/>
          <w:lang w:val="en-US" w:eastAsia="zh-CN"/>
        </w:rPr>
        <w:t>三亚</w:t>
      </w:r>
      <w:r>
        <w:rPr>
          <w:rFonts w:hint="default"/>
          <w:lang w:val="en-US" w:eastAsia="zh-CN"/>
        </w:rPr>
        <w:t>崖州果蔬综合批发市场和三亚崖州中心渔港，是中国最深入南海、最靠近东南亚国家的</w:t>
      </w:r>
      <w:r>
        <w:rPr>
          <w:rFonts w:hint="eastAsia"/>
          <w:lang w:val="en-US" w:eastAsia="zh-CN"/>
        </w:rPr>
        <w:t>商贸</w:t>
      </w:r>
      <w:r>
        <w:rPr>
          <w:rFonts w:hint="default"/>
          <w:lang w:val="en-US" w:eastAsia="zh-CN"/>
        </w:rPr>
        <w:t>节点，是中国最南端的物流桥头堡，</w:t>
      </w:r>
      <w:r>
        <w:rPr>
          <w:rFonts w:hint="eastAsia"/>
          <w:lang w:val="en-US" w:eastAsia="zh-CN"/>
        </w:rPr>
        <w:t>在</w:t>
      </w:r>
      <w:r>
        <w:rPr>
          <w:rFonts w:hint="default"/>
          <w:lang w:val="en-US" w:eastAsia="zh-CN"/>
        </w:rPr>
        <w:t>自贸港</w:t>
      </w:r>
      <w:r>
        <w:rPr>
          <w:rFonts w:hint="eastAsia"/>
          <w:lang w:val="en-US" w:eastAsia="zh-CN"/>
        </w:rPr>
        <w:t>建设下</w:t>
      </w:r>
      <w:r>
        <w:rPr>
          <w:rFonts w:hint="default"/>
          <w:lang w:val="en-US" w:eastAsia="zh-CN"/>
        </w:rPr>
        <w:t>把崖州从中国最南的“盲端”变为内外联络的“枢纽”。</w:t>
      </w:r>
    </w:p>
    <w:p>
      <w:pPr>
        <w:rPr>
          <w:rFonts w:hint="eastAsia"/>
          <w:highlight w:val="none"/>
          <w:lang w:val="en-US" w:eastAsia="zh-CN"/>
        </w:rPr>
      </w:pPr>
      <w:r>
        <w:rPr>
          <w:rFonts w:hint="eastAsia"/>
          <w:highlight w:val="none"/>
          <w:lang w:val="en-US" w:eastAsia="zh-CN"/>
        </w:rPr>
        <w:t>“多层次”指分布城乡、覆盖线上线下的</w:t>
      </w:r>
      <w:r>
        <w:rPr>
          <w:rFonts w:hint="default"/>
          <w:lang w:val="en-US" w:eastAsia="zh-CN"/>
        </w:rPr>
        <w:t>便民生活服务网店</w:t>
      </w:r>
      <w:r>
        <w:rPr>
          <w:rFonts w:hint="eastAsia"/>
          <w:lang w:val="en-US" w:eastAsia="zh-CN"/>
        </w:rPr>
        <w:t>、</w:t>
      </w:r>
      <w:r>
        <w:rPr>
          <w:rFonts w:hint="default"/>
          <w:lang w:val="en-US" w:eastAsia="zh-CN"/>
        </w:rPr>
        <w:t>农村快递物流网络</w:t>
      </w:r>
      <w:r>
        <w:rPr>
          <w:rFonts w:hint="eastAsia"/>
          <w:lang w:val="en-US" w:eastAsia="zh-CN"/>
        </w:rPr>
        <w:t>、</w:t>
      </w:r>
      <w:r>
        <w:rPr>
          <w:rFonts w:hint="default"/>
          <w:lang w:val="en-US" w:eastAsia="zh-CN"/>
        </w:rPr>
        <w:t>电商专业村</w:t>
      </w:r>
      <w:r>
        <w:rPr>
          <w:rFonts w:hint="eastAsia"/>
          <w:lang w:val="en-US" w:eastAsia="zh-CN"/>
        </w:rPr>
        <w:t>、</w:t>
      </w:r>
      <w:r>
        <w:rPr>
          <w:rFonts w:hint="default"/>
          <w:lang w:val="en-US" w:eastAsia="zh-CN"/>
        </w:rPr>
        <w:t>城乡商业网点优化提升</w:t>
      </w:r>
      <w:r>
        <w:rPr>
          <w:rFonts w:hint="eastAsia"/>
          <w:lang w:val="en-US" w:eastAsia="zh-CN"/>
        </w:rPr>
        <w:t>工程、专业免税购物店等商贸物流网络。</w:t>
      </w:r>
    </w:p>
    <w:p>
      <w:pPr>
        <w:ind w:left="0" w:leftChars="0" w:firstLine="0" w:firstLineChars="0"/>
        <w:rPr>
          <w:rFonts w:hint="default"/>
          <w:lang w:val="en-US" w:eastAsia="zh-CN"/>
        </w:rPr>
      </w:pPr>
      <w:r>
        <w:rPr>
          <w:rFonts w:hint="default"/>
          <w:lang w:val="en-US" w:eastAsia="zh-CN"/>
        </w:rPr>
        <w:drawing>
          <wp:inline distT="0" distB="0" distL="114300" distR="114300">
            <wp:extent cx="8496300" cy="5383530"/>
            <wp:effectExtent l="0" t="0" r="7620" b="0"/>
            <wp:docPr id="7" name="图片 7" descr="制图ppt_页面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制图ppt_页面_10"/>
                    <pic:cNvPicPr>
                      <a:picLocks noChangeAspect="1"/>
                    </pic:cNvPicPr>
                  </pic:nvPicPr>
                  <pic:blipFill>
                    <a:blip r:embed="rId23"/>
                    <a:srcRect t="4583" b="4421"/>
                    <a:stretch>
                      <a:fillRect/>
                    </a:stretch>
                  </pic:blipFill>
                  <pic:spPr>
                    <a:xfrm rot="5400000">
                      <a:off x="0" y="0"/>
                      <a:ext cx="8496300" cy="5383530"/>
                    </a:xfrm>
                    <a:prstGeom prst="rect">
                      <a:avLst/>
                    </a:prstGeom>
                  </pic:spPr>
                </pic:pic>
              </a:graphicData>
            </a:graphic>
          </wp:inline>
        </w:drawing>
      </w:r>
    </w:p>
    <w:p>
      <w:pPr>
        <w:ind w:left="0" w:leftChars="0" w:firstLine="0" w:firstLineChars="0"/>
        <w:jc w:val="center"/>
        <w:rPr>
          <w:rFonts w:hint="default"/>
          <w:b w:val="0"/>
          <w:bCs w:val="0"/>
          <w:lang w:val="en-US" w:eastAsia="zh-CN"/>
        </w:rPr>
      </w:pPr>
      <w:r>
        <w:rPr>
          <w:rFonts w:hint="eastAsia" w:ascii="楷体" w:hAnsi="楷体" w:eastAsia="楷体" w:cs="楷体"/>
          <w:b w:val="0"/>
          <w:bCs w:val="0"/>
          <w:sz w:val="28"/>
          <w:szCs w:val="28"/>
          <w:lang w:val="en-US" w:eastAsia="zh-CN"/>
        </w:rPr>
        <w:t>图7  崖州区商贸物流业发展布局示意图</w:t>
      </w:r>
    </w:p>
    <w:p>
      <w:pPr>
        <w:rPr>
          <w:rFonts w:hint="default"/>
          <w:b w:val="0"/>
          <w:bCs w:val="0"/>
          <w:lang w:val="en-US" w:eastAsia="zh-CN"/>
        </w:rPr>
        <w:sectPr>
          <w:footnotePr>
            <w:numFmt w:val="decimalEnclosedCircleChinese"/>
            <w:numRestart w:val="eachPage"/>
          </w:footnotePr>
          <w:pgSz w:w="11906" w:h="16838"/>
          <w:pgMar w:top="1440" w:right="1800" w:bottom="1440" w:left="1800" w:header="851" w:footer="992" w:gutter="0"/>
          <w:cols w:space="425" w:num="1"/>
          <w:docGrid w:type="lines" w:linePitch="312" w:charSpace="0"/>
        </w:sectPr>
      </w:pPr>
    </w:p>
    <w:p>
      <w:pPr>
        <w:pStyle w:val="3"/>
        <w:bidi w:val="0"/>
        <w:rPr>
          <w:rFonts w:hint="eastAsia"/>
          <w:lang w:val="en-US" w:eastAsia="zh-CN"/>
        </w:rPr>
      </w:pPr>
      <w:bookmarkStart w:id="525" w:name="_Toc12278"/>
      <w:bookmarkStart w:id="526" w:name="_Toc2002"/>
      <w:bookmarkStart w:id="527" w:name="_Toc27439"/>
      <w:r>
        <w:rPr>
          <w:rFonts w:hint="eastAsia"/>
          <w:lang w:val="en-US" w:eastAsia="zh-CN"/>
        </w:rPr>
        <w:t>第六节  项目策划</w:t>
      </w:r>
      <w:bookmarkEnd w:id="525"/>
      <w:bookmarkEnd w:id="526"/>
      <w:bookmarkEnd w:id="527"/>
    </w:p>
    <w:p>
      <w:pPr>
        <w:pStyle w:val="4"/>
        <w:bidi w:val="0"/>
        <w:rPr>
          <w:rFonts w:hint="eastAsia"/>
          <w:lang w:val="en-US" w:eastAsia="zh-CN"/>
        </w:rPr>
      </w:pPr>
      <w:bookmarkStart w:id="528" w:name="_Toc26464"/>
      <w:bookmarkStart w:id="529" w:name="_Toc411"/>
      <w:bookmarkStart w:id="530" w:name="_Toc7182"/>
      <w:r>
        <w:rPr>
          <w:rFonts w:hint="eastAsia"/>
          <w:lang w:val="en-US" w:eastAsia="zh-CN"/>
        </w:rPr>
        <w:t>一、旅游业项目策划</w:t>
      </w:r>
      <w:bookmarkEnd w:id="528"/>
      <w:bookmarkEnd w:id="529"/>
      <w:bookmarkEnd w:id="530"/>
    </w:p>
    <w:p>
      <w:pPr>
        <w:bidi w:val="0"/>
        <w:spacing w:line="240" w:lineRule="auto"/>
        <w:ind w:firstLine="0" w:firstLineChars="0"/>
        <w:jc w:val="center"/>
        <w:rPr>
          <w:rFonts w:hint="eastAsia" w:ascii="楷体" w:hAnsi="楷体" w:eastAsia="楷体" w:cs="楷体"/>
          <w:b w:val="0"/>
          <w:bCs w:val="0"/>
          <w:sz w:val="28"/>
          <w:szCs w:val="28"/>
          <w:highlight w:val="none"/>
          <w:lang w:val="en-US" w:eastAsia="zh-CN"/>
        </w:rPr>
      </w:pPr>
      <w:r>
        <w:rPr>
          <w:rFonts w:hint="eastAsia" w:ascii="楷体" w:hAnsi="楷体" w:eastAsia="楷体" w:cs="楷体"/>
          <w:b w:val="0"/>
          <w:bCs w:val="0"/>
          <w:sz w:val="28"/>
          <w:szCs w:val="28"/>
          <w:highlight w:val="none"/>
          <w:lang w:val="en-US" w:eastAsia="zh-CN"/>
        </w:rPr>
        <w:t>表31  旅游业重点项目策划</w:t>
      </w:r>
    </w:p>
    <w:tbl>
      <w:tblPr>
        <w:tblStyle w:val="18"/>
        <w:tblW w:w="5000" w:type="pct"/>
        <w:jc w:val="center"/>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1"/>
        <w:gridCol w:w="739"/>
        <w:gridCol w:w="1436"/>
        <w:gridCol w:w="7180"/>
        <w:gridCol w:w="1436"/>
        <w:gridCol w:w="1436"/>
        <w:gridCol w:w="1436"/>
      </w:tblGrid>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blHeader/>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iCs w:val="0"/>
                <w:color w:val="000000"/>
                <w:kern w:val="2"/>
                <w:sz w:val="24"/>
                <w:szCs w:val="24"/>
                <w:u w:val="none"/>
                <w:lang w:val="en-US" w:eastAsia="zh-CN" w:bidi="ar"/>
              </w:rPr>
            </w:pPr>
          </w:p>
        </w:tc>
        <w:tc>
          <w:tcPr>
            <w:tcW w:w="739"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类型</w:t>
            </w:r>
          </w:p>
        </w:tc>
        <w:tc>
          <w:tcPr>
            <w:tcW w:w="1436"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项目名称</w:t>
            </w:r>
          </w:p>
        </w:tc>
        <w:tc>
          <w:tcPr>
            <w:tcW w:w="718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项目内容</w:t>
            </w:r>
          </w:p>
        </w:tc>
        <w:tc>
          <w:tcPr>
            <w:tcW w:w="1436"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投资主体</w:t>
            </w:r>
          </w:p>
        </w:tc>
        <w:tc>
          <w:tcPr>
            <w:tcW w:w="1436"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选址建议</w:t>
            </w:r>
          </w:p>
        </w:tc>
        <w:tc>
          <w:tcPr>
            <w:tcW w:w="1436"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启动时序</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w:t>
            </w:r>
          </w:p>
        </w:tc>
        <w:tc>
          <w:tcPr>
            <w:tcW w:w="739"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文化旅游</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崖州古城综合性保护开发</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按照5A级景区标准，全面梳理古城保护开发利用，提升古城文化价值、旅游价值，打造崖州文化脉络，释放“旅游+文化”经济效能。策划“崖州文化径”、建设标识系统、公路及高铁站古城入口、宁远河及相关遗产慢行系统、环境整治等。</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30亿元，崖州区政府、三亚旅文集团</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崖州古城及周边区域</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（1-3年）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2</w:t>
            </w:r>
          </w:p>
        </w:tc>
        <w:tc>
          <w:tcPr>
            <w:tcW w:w="739"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中国南繁博物馆</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建设国家一级博物馆，分为南繁发展主题展区、科普教育主题展区、南繁科技城规划区，具备VR互动展示空间、多样化种质标本、热带植物观赏体验园、规划展示平台等功能，占地15亩，建筑面积21667.8㎡。</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4.88亿，</w:t>
            </w:r>
            <w:r>
              <w:rPr>
                <w:rFonts w:hint="default" w:ascii="楷体" w:hAnsi="楷体" w:eastAsia="楷体" w:cs="楷体"/>
                <w:b w:val="0"/>
                <w:bCs w:val="0"/>
                <w:i w:val="0"/>
                <w:iCs w:val="0"/>
                <w:color w:val="000000"/>
                <w:kern w:val="2"/>
                <w:sz w:val="24"/>
                <w:szCs w:val="24"/>
                <w:u w:val="none"/>
                <w:lang w:val="en-US" w:eastAsia="zh-CN" w:bidi="ar"/>
              </w:rPr>
              <w:t>崖州湾科技城开发建设公司</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崖州湾科技城</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（1-3年）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3</w:t>
            </w:r>
          </w:p>
        </w:tc>
        <w:tc>
          <w:tcPr>
            <w:tcW w:w="739"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中国深海博物馆</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建设国家一级博物馆，位于崖州湾科技城范围内，占地30.7亩。</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6.747亿，</w:t>
            </w:r>
            <w:r>
              <w:rPr>
                <w:rFonts w:hint="default" w:ascii="楷体" w:hAnsi="楷体" w:eastAsia="楷体" w:cs="楷体"/>
                <w:b w:val="0"/>
                <w:bCs w:val="0"/>
                <w:i w:val="0"/>
                <w:iCs w:val="0"/>
                <w:color w:val="000000"/>
                <w:kern w:val="2"/>
                <w:sz w:val="24"/>
                <w:szCs w:val="24"/>
                <w:u w:val="none"/>
                <w:lang w:val="en-US" w:eastAsia="zh-CN" w:bidi="ar"/>
              </w:rPr>
              <w:t>崖州湾科技城开发建设公司</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崖州湾科技城</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（1-3年）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4</w:t>
            </w:r>
          </w:p>
        </w:tc>
        <w:tc>
          <w:tcPr>
            <w:tcW w:w="739"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宁远河南海文化公园（宁远河综合治理工程）</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以“南海”为主题的生态景观文化公园，在宁远河综合治理工程基础上实施水岸景观提升，以南海崖州古文化、南海多宗教包容文化、南海多民族融合文化、南海疍家文化、《更路簿》等为元素，设计文化景观、雕塑、小品、标识工程、灯光工程、休憩设施，开设“古城站-渔港站”水上观光旅游航线</w:t>
            </w:r>
            <w:r>
              <w:rPr>
                <w:rFonts w:hint="default" w:ascii="楷体" w:hAnsi="楷体" w:eastAsia="楷体" w:cs="楷体"/>
                <w:b w:val="0"/>
                <w:bCs w:val="0"/>
                <w:i w:val="0"/>
                <w:iCs w:val="0"/>
                <w:color w:val="000000"/>
                <w:kern w:val="2"/>
                <w:sz w:val="24"/>
                <w:szCs w:val="24"/>
                <w:u w:val="none"/>
                <w:lang w:val="en-US" w:eastAsia="zh-CN" w:bidi="ar"/>
              </w:rPr>
              <w:t>，</w:t>
            </w:r>
            <w:r>
              <w:rPr>
                <w:rFonts w:hint="eastAsia" w:ascii="楷体" w:hAnsi="楷体" w:eastAsia="楷体" w:cs="楷体"/>
                <w:b w:val="0"/>
                <w:bCs w:val="0"/>
                <w:i w:val="0"/>
                <w:iCs w:val="0"/>
                <w:color w:val="000000"/>
                <w:kern w:val="2"/>
                <w:sz w:val="24"/>
                <w:szCs w:val="24"/>
                <w:u w:val="none"/>
                <w:lang w:val="en-US" w:eastAsia="zh-CN" w:bidi="ar"/>
              </w:rPr>
              <w:t>部分河段设置餐饮、购物、文化设施，打造集滨河风光、历史文化、南海主权、崖州民俗、商业街区、休闲小憩</w:t>
            </w:r>
            <w:r>
              <w:rPr>
                <w:rFonts w:hint="default" w:ascii="楷体" w:hAnsi="楷体" w:eastAsia="楷体" w:cs="楷体"/>
                <w:b w:val="0"/>
                <w:bCs w:val="0"/>
                <w:i w:val="0"/>
                <w:iCs w:val="0"/>
                <w:color w:val="000000"/>
                <w:kern w:val="2"/>
                <w:sz w:val="24"/>
                <w:szCs w:val="24"/>
                <w:u w:val="none"/>
                <w:lang w:val="en-US" w:eastAsia="zh-CN" w:bidi="ar"/>
              </w:rPr>
              <w:t>为一体的城市活力中心</w:t>
            </w:r>
            <w:r>
              <w:rPr>
                <w:rFonts w:hint="eastAsia" w:ascii="楷体" w:hAnsi="楷体" w:eastAsia="楷体" w:cs="楷体"/>
                <w:b w:val="0"/>
                <w:bCs w:val="0"/>
                <w:i w:val="0"/>
                <w:iCs w:val="0"/>
                <w:color w:val="000000"/>
                <w:kern w:val="2"/>
                <w:sz w:val="24"/>
                <w:szCs w:val="24"/>
                <w:u w:val="none"/>
                <w:lang w:val="en-US" w:eastAsia="zh-CN" w:bidi="ar"/>
              </w:rPr>
              <w:t>，打造</w:t>
            </w:r>
            <w:r>
              <w:rPr>
                <w:rFonts w:hint="default" w:ascii="楷体" w:hAnsi="楷体" w:eastAsia="楷体" w:cs="楷体"/>
                <w:b w:val="0"/>
                <w:bCs w:val="0"/>
                <w:i w:val="0"/>
                <w:iCs w:val="0"/>
                <w:color w:val="000000"/>
                <w:kern w:val="2"/>
                <w:sz w:val="24"/>
                <w:szCs w:val="24"/>
                <w:u w:val="none"/>
                <w:lang w:val="en-US" w:eastAsia="zh-CN" w:bidi="ar"/>
              </w:rPr>
              <w:t>崖州版“清明上河图”</w:t>
            </w:r>
            <w:r>
              <w:rPr>
                <w:rFonts w:hint="eastAsia" w:ascii="楷体" w:hAnsi="楷体" w:eastAsia="楷体" w:cs="楷体"/>
                <w:b w:val="0"/>
                <w:bCs w:val="0"/>
                <w:i w:val="0"/>
                <w:iCs w:val="0"/>
                <w:color w:val="000000"/>
                <w:kern w:val="2"/>
                <w:sz w:val="24"/>
                <w:szCs w:val="24"/>
                <w:u w:val="none"/>
                <w:lang w:val="en-US" w:eastAsia="zh-CN" w:bidi="ar"/>
              </w:rPr>
              <w:t>。</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综合治理工程2.6亿（不含文化公园），政府投资</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城区宁远河沿线</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（1-3年）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5</w:t>
            </w:r>
          </w:p>
        </w:tc>
        <w:tc>
          <w:tcPr>
            <w:tcW w:w="739"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崖州湾丝路文化海岸公园</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挖掘崖州海岸带旅游资源，建设“更路薄”博物馆酒店、国际海丝文化交流中心、此时小港天涯社区、幻奇美度假村、梅联渔博村、东锣西鼓岛、海天浪浪园、天涯海田和渔歌海岸度假岛等文化体验与休闲度假游乐项目。</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城投公司、企业</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梅安附近滨海区域</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（1-3年）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6</w:t>
            </w:r>
          </w:p>
        </w:tc>
        <w:tc>
          <w:tcPr>
            <w:tcW w:w="739"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南海之恋婚庆主题公园</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建设“南海之恋”地标、婚恋类雕塑小品、热带植物苗圃、四季花廊、植物迷宫、探海平台，打造外景拍摄、营车基地、休闲度假、活动举办、商务服务等功能，吸引旅拍公司进入，打造业内闻名的旅拍外景基地。</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城投公司</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梅山角头湾附近滨海区域</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（1-3年）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7</w:t>
            </w:r>
          </w:p>
        </w:tc>
        <w:tc>
          <w:tcPr>
            <w:tcW w:w="739"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东锣岛整体包装开发</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引入全球顶级旅游度假集团，实施东锣岛整体性包装开发，按照生态第一、适度建设的原则，打造高端旅游度假基地</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企业</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东锣岛</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近中期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（1-5年）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8</w:t>
            </w:r>
          </w:p>
        </w:tc>
        <w:tc>
          <w:tcPr>
            <w:tcW w:w="739"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佛学文化馆和禅修体验馆</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依托南山风景区佛教文化知名度和每年大量客流，在景区内设置佛学文化馆提供文化交流展示等服务功能，设置禅修体验馆提供禅修、辟谷等服务功能。</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企业</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南山风景区</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（1-3年）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9</w:t>
            </w:r>
          </w:p>
        </w:tc>
        <w:tc>
          <w:tcPr>
            <w:tcW w:w="739"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南山养心谷</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依托南山风景区发展南山养心谷度假项目，结合美丽乡村建设打造静心修养度假、福寿南山森林康养、黎族养生医疗等产品。</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企业</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南山风景区</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（1-3年）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10</w:t>
            </w:r>
          </w:p>
        </w:tc>
        <w:tc>
          <w:tcPr>
            <w:tcW w:w="739"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主题公园乐园</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乐高主题乐园</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占地面积600亩，建设乐园娱乐设施、主题酒店、商业街区及其他相关服务配套等设施。</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企业</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中心渔港以西近海区域</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（1-3年）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11</w:t>
            </w:r>
          </w:p>
        </w:tc>
        <w:tc>
          <w:tcPr>
            <w:tcW w:w="739"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阿凡达世界主题乐园</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迪士尼重子产品、沉浸式娱乐典型代表，通过3D和动作捕捉技术的结合实现真正的“身临其境”，打造“潘多拉星”宏大背景。</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企业</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中心渔港以西近海区域</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近中期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（1-5年）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12</w:t>
            </w:r>
          </w:p>
        </w:tc>
        <w:tc>
          <w:tcPr>
            <w:tcW w:w="739"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杜莎夫人蜡像馆</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室内主题公园，解决夏季气温高的短板，配建小型剧场、艺术馆、美术馆、雕塑馆等文化展览馆。</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企业</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大型主题乐园周边</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（1-3年）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13</w:t>
            </w:r>
          </w:p>
        </w:tc>
        <w:tc>
          <w:tcPr>
            <w:tcW w:w="739"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法拉利世界主题乐园</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毗邻F1大奖赛三亚站街道的赛道，包括模拟驾驶一级方程车跑车过山车，法拉利主题餐厅、法拉利赛车展示馆等设施。</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企业</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中心渔港以西平坦区域</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近中期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（1-5年）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14</w:t>
            </w:r>
          </w:p>
        </w:tc>
        <w:tc>
          <w:tcPr>
            <w:tcW w:w="739"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乐天世界</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以室内</w:t>
            </w:r>
            <w:r>
              <w:rPr>
                <w:rFonts w:hint="eastAsia" w:ascii="楷体" w:hAnsi="楷体" w:eastAsia="楷体" w:cs="楷体"/>
                <w:b w:val="0"/>
                <w:bCs w:val="0"/>
                <w:i w:val="0"/>
                <w:iCs w:val="0"/>
                <w:color w:val="000000"/>
                <w:kern w:val="2"/>
                <w:sz w:val="24"/>
                <w:szCs w:val="24"/>
                <w:u w:val="none"/>
                <w:lang w:val="en-US" w:eastAsia="zh-CN" w:bidi="ar"/>
              </w:rPr>
              <w:fldChar w:fldCharType="begin"/>
            </w:r>
            <w:r>
              <w:rPr>
                <w:rFonts w:hint="eastAsia" w:ascii="楷体" w:hAnsi="楷体" w:eastAsia="楷体" w:cs="楷体"/>
                <w:b w:val="0"/>
                <w:bCs w:val="0"/>
                <w:i w:val="0"/>
                <w:iCs w:val="0"/>
                <w:color w:val="000000"/>
                <w:kern w:val="2"/>
                <w:sz w:val="24"/>
                <w:szCs w:val="24"/>
                <w:u w:val="none"/>
                <w:lang w:val="en-US" w:eastAsia="zh-CN" w:bidi="ar"/>
              </w:rPr>
              <w:instrText xml:space="preserve"> HYPERLINK "https://baike.baidu.com/item/%E4%B8%BB%E9%A2%98%E5%85%AC%E5%9B%AD/7536524" \t "https://baike.baidu.com/item/%E4%B9%90%E5%A4%A9%E4%B8%96%E7%95%8C/_blank" </w:instrText>
            </w:r>
            <w:r>
              <w:rPr>
                <w:rFonts w:hint="eastAsia" w:ascii="楷体" w:hAnsi="楷体" w:eastAsia="楷体" w:cs="楷体"/>
                <w:b w:val="0"/>
                <w:bCs w:val="0"/>
                <w:i w:val="0"/>
                <w:iCs w:val="0"/>
                <w:color w:val="000000"/>
                <w:kern w:val="2"/>
                <w:sz w:val="24"/>
                <w:szCs w:val="24"/>
                <w:u w:val="none"/>
                <w:lang w:val="en-US" w:eastAsia="zh-CN" w:bidi="ar"/>
              </w:rPr>
              <w:fldChar w:fldCharType="separate"/>
            </w:r>
            <w:r>
              <w:rPr>
                <w:rFonts w:hint="eastAsia" w:ascii="楷体" w:hAnsi="楷体" w:eastAsia="楷体" w:cs="楷体"/>
                <w:b w:val="0"/>
                <w:bCs w:val="0"/>
                <w:i w:val="0"/>
                <w:iCs w:val="0"/>
                <w:color w:val="000000"/>
                <w:kern w:val="2"/>
                <w:sz w:val="24"/>
                <w:szCs w:val="24"/>
                <w:u w:val="none"/>
                <w:lang w:val="en-US" w:eastAsia="zh-CN" w:bidi="ar"/>
              </w:rPr>
              <w:t>主题公园</w:t>
            </w:r>
            <w:r>
              <w:rPr>
                <w:rFonts w:hint="eastAsia" w:ascii="楷体" w:hAnsi="楷体" w:eastAsia="楷体" w:cs="楷体"/>
                <w:b w:val="0"/>
                <w:bCs w:val="0"/>
                <w:i w:val="0"/>
                <w:iCs w:val="0"/>
                <w:color w:val="000000"/>
                <w:kern w:val="2"/>
                <w:sz w:val="24"/>
                <w:szCs w:val="24"/>
                <w:u w:val="none"/>
                <w:lang w:val="en-US" w:eastAsia="zh-CN" w:bidi="ar"/>
              </w:rPr>
              <w:fldChar w:fldCharType="end"/>
            </w:r>
            <w:r>
              <w:rPr>
                <w:rFonts w:hint="eastAsia" w:ascii="楷体" w:hAnsi="楷体" w:eastAsia="楷体" w:cs="楷体"/>
                <w:b w:val="0"/>
                <w:bCs w:val="0"/>
                <w:i w:val="0"/>
                <w:iCs w:val="0"/>
                <w:color w:val="000000"/>
                <w:kern w:val="2"/>
                <w:sz w:val="24"/>
                <w:szCs w:val="24"/>
                <w:u w:val="none"/>
                <w:lang w:val="en-US" w:eastAsia="zh-CN" w:bidi="ar"/>
              </w:rPr>
              <w:t>为特色，兼顾室外娱乐设施，解决夏季气温高的短板，除主题公园外还可建设酒店、免税店、奥特莱斯、体育中心等。</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企业</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中心渔港以西近海区域</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近中期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（1-5年）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15</w:t>
            </w:r>
          </w:p>
        </w:tc>
        <w:tc>
          <w:tcPr>
            <w:tcW w:w="739"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愤怒小鸟游戏乐园</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小型主题乐园，占地小、投入少、主题突出、互动性强，玩家可以到乐园现场体验愤怒小鸟的剧情内容</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企业</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大型主题乐园周边</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（1-3年）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16</w:t>
            </w:r>
          </w:p>
        </w:tc>
        <w:tc>
          <w:tcPr>
            <w:tcW w:w="739"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休闲农业渔业</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热带农业科学公园（热带农业青少年科普基地）</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结合城市绿化，联动周边科研功能，发展热带农业特色休闲体验旅游基地，打造亲近型、体验型、科普型、景观型热带农业洋田生态展示区，兼具绿色生态功能、观光旅游功能、科普教育功能，为热带农业科普观光提供展示宣传体验空间。</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城投公司</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水南村</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（1-3年）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17</w:t>
            </w:r>
          </w:p>
        </w:tc>
        <w:tc>
          <w:tcPr>
            <w:tcW w:w="739"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南滨田园综合体（南繁主题植物公园）</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在南滨医院地块位置，依托北侧南繁育种大田景观，打造“南繁+旅游”精品旅游体验项目南繁主题植物公园，以南繁科技亲子研学、南繁种植文化展示、经济作物采摘、生态艺术酒店、琼南风格特色民宿为重点，推动南繁种业与科普教育、休闲养生有机结合，打造南繁田园综合体特色小镇，建设田园度假休闲康养基地。</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3亿，企业、城投公司</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南滨农场</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（1-3年）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18</w:t>
            </w:r>
          </w:p>
        </w:tc>
        <w:tc>
          <w:tcPr>
            <w:tcW w:w="739"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芒果小镇</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发展芒果文化主题的芒果产业集群基地，发展芒果种植加工+产品包装展销+农业文旅融合，挖掘赤草村特色生态旅游价值，凝聚具有芒果特色的文旅产业基地，打造青春主题、与媒体跨界融合的芒果青春小镇。</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企业、城投公司</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赤草村</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（1-3年）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19</w:t>
            </w:r>
          </w:p>
        </w:tc>
        <w:tc>
          <w:tcPr>
            <w:tcW w:w="739"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农旅休闲体验项目</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建设多个热带水果、设施农业、共享农庄、田洋风光、乡村游学等农旅休闲体验观光旅游项目。</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企业（多个）</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农旅资源结合较好地区</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（1-3年）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20</w:t>
            </w:r>
          </w:p>
        </w:tc>
        <w:tc>
          <w:tcPr>
            <w:tcW w:w="739"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崖州热带水果嘉年华</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在冬季旅游旺季举办，设计推广崖州水果形象公仔，以芒果、莲雾、香蕉、蜜瓜等种植基地为依托，开展各类水果观赏、采摘活动，并结合冬季瓜菜展示，提高崖州水果瓜菜知名度。</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城投公司</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代表性果园示范基地</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近期每年冬季</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（1-3年）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21</w:t>
            </w:r>
          </w:p>
        </w:tc>
        <w:tc>
          <w:tcPr>
            <w:tcW w:w="739"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休闲渔业示范基地和特色小镇</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在崖州中心渔港基础上打造休闲渔业示范基地，在渔港周边适宜区域打造海洋与渔业文化、旅游观光、休闲养生“三位一体”的休闲渔业特色小镇。</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城投公司、企业</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崖州中心渔港及附近</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（1-3年）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22</w:t>
            </w:r>
          </w:p>
        </w:tc>
        <w:tc>
          <w:tcPr>
            <w:tcW w:w="739"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崖州中心渔港海钓基地</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建设休闲渔业船舶公共码头、运管中心、接待中心、功能区域、休闲垂钓平台（浮台），提供海钓赛事、体验基地、装备服务、游客体验等海钓综合服务。</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城投公司、企业</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崖州中心渔港</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（1-3年）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23</w:t>
            </w:r>
          </w:p>
        </w:tc>
        <w:tc>
          <w:tcPr>
            <w:tcW w:w="739"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海钓赛事和节庆活动</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举办赛事展览、运动培训、休闲垂钓、渔业节庆活动，积极推进各级别、各层次海钓赛事在崖州落地。</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政府、企业</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崖州中心渔港</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（1-3年）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24</w:t>
            </w:r>
          </w:p>
        </w:tc>
        <w:tc>
          <w:tcPr>
            <w:tcW w:w="739"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“丝路之塔”功能提升项目</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突出崖州地标性建筑的功能地位，结合中心渔港功能升级开展旅游文化宣传与开发提升，探索提升观景功能。</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政府、企业</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崖州中心渔港</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（1-3年）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25</w:t>
            </w:r>
          </w:p>
        </w:tc>
        <w:tc>
          <w:tcPr>
            <w:tcW w:w="739"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雅安田洋共享农庄</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依托雅安美丽乡村建设，联动南山风景区，挖掘田洋农庄资源本底，发展生态型、休闲康养度假型民宿旅游，发展耕、游、学、育为一体的深度农业观光体验、科普教育、研学亲子产业。</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村集体、企业</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雅安村</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（1-3年）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26</w:t>
            </w:r>
          </w:p>
        </w:tc>
        <w:tc>
          <w:tcPr>
            <w:tcW w:w="739"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旅游基础服务设施</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崖州站游客服务中心</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建筑面积约2万㎡，具备宣传推介、集散换乘、导游服务、餐饮住宿、购物、咨询投诉等功能。</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1亿，三亚市创意新城开发建设有限公司</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崖州站</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（1-3年）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27</w:t>
            </w:r>
          </w:p>
        </w:tc>
        <w:tc>
          <w:tcPr>
            <w:tcW w:w="739"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党校（社会主义学院）</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沿承梅山优秀革命传统，谋划建设党校（社会主义学院），具备干部培训、革命历史展等功能。</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政府</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梅山</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（1-3年）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28</w:t>
            </w:r>
          </w:p>
        </w:tc>
        <w:tc>
          <w:tcPr>
            <w:tcW w:w="739"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崖州湾科技城公交枢纽站游客集散中心</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公交枢纽站占地9903平方米，在用地范围内建设游客集散中心，配套租赁汽车停车场、充电桩设施、公共自行车、旅游巴士停靠等设施，提供旅游咨询、售票、酒店预订、商品售卖、投诉服务等功能。</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1.11亿（含游客集散中心），三亚市交通局</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崖州湾科技城</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（1-3年）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29</w:t>
            </w:r>
          </w:p>
        </w:tc>
        <w:tc>
          <w:tcPr>
            <w:tcW w:w="739"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default" w:ascii="楷体" w:hAnsi="楷体" w:eastAsia="楷体" w:cs="楷体"/>
                <w:b w:val="0"/>
                <w:bCs w:val="0"/>
                <w:i w:val="0"/>
                <w:iCs w:val="0"/>
                <w:color w:val="000000"/>
                <w:kern w:val="2"/>
                <w:sz w:val="24"/>
                <w:szCs w:val="24"/>
                <w:u w:val="none"/>
                <w:lang w:val="en-US" w:eastAsia="zh-CN" w:bidi="ar"/>
              </w:rPr>
              <w:t>三亚乐东城际快轨南山北站旅游服务中心</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建筑面积约2万㎡，具备宣传推介、集散换乘、导游服务、餐饮住宿、购物、咨询投诉等功能。</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1亿</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南山北站</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（1-3年）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30</w:t>
            </w:r>
          </w:p>
        </w:tc>
        <w:tc>
          <w:tcPr>
            <w:tcW w:w="739"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default" w:ascii="楷体" w:hAnsi="楷体" w:eastAsia="楷体" w:cs="楷体"/>
                <w:b w:val="0"/>
                <w:bCs w:val="0"/>
                <w:i w:val="0"/>
                <w:iCs w:val="0"/>
                <w:color w:val="000000"/>
                <w:kern w:val="2"/>
                <w:sz w:val="24"/>
                <w:szCs w:val="24"/>
                <w:u w:val="none"/>
                <w:lang w:val="en-US" w:eastAsia="zh-CN" w:bidi="ar"/>
              </w:rPr>
              <w:t>三亚乐东城际快轨</w:t>
            </w:r>
            <w:r>
              <w:rPr>
                <w:rFonts w:hint="eastAsia" w:ascii="楷体" w:hAnsi="楷体" w:eastAsia="楷体" w:cs="楷体"/>
                <w:b w:val="0"/>
                <w:bCs w:val="0"/>
                <w:i w:val="0"/>
                <w:iCs w:val="0"/>
                <w:color w:val="000000"/>
                <w:kern w:val="2"/>
                <w:sz w:val="24"/>
                <w:szCs w:val="24"/>
                <w:u w:val="none"/>
                <w:lang w:val="en-US" w:eastAsia="zh-CN" w:bidi="ar"/>
              </w:rPr>
              <w:t>科技城站综合旅游交通枢纽</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建设集旅游交通、旅游集散中心、商业服务、办公酒店等功能为一体的多功能综合客运枢纽，打造科技城城际站的门户枢纽。</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城投公司</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快轨科技城站</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近中期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（1-5年）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31</w:t>
            </w:r>
          </w:p>
        </w:tc>
        <w:tc>
          <w:tcPr>
            <w:tcW w:w="739"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default" w:ascii="楷体" w:hAnsi="楷体" w:eastAsia="楷体" w:cs="楷体"/>
                <w:b w:val="0"/>
                <w:bCs w:val="0"/>
                <w:i w:val="0"/>
                <w:iCs w:val="0"/>
                <w:color w:val="000000"/>
                <w:kern w:val="2"/>
                <w:sz w:val="24"/>
                <w:szCs w:val="24"/>
                <w:u w:val="none"/>
                <w:lang w:val="en-US" w:eastAsia="zh-CN" w:bidi="ar"/>
              </w:rPr>
              <w:t>中心渔港旅游服务中心</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建筑面积约1万㎡，具备宣传推介、集散换乘、导游服务、餐饮住宿、购物、咨询投诉等功能。</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5000万元</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中心渔港</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（1-3年）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32</w:t>
            </w:r>
          </w:p>
        </w:tc>
        <w:tc>
          <w:tcPr>
            <w:tcW w:w="739"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default" w:ascii="楷体" w:hAnsi="楷体" w:eastAsia="楷体" w:cs="楷体"/>
                <w:b w:val="0"/>
                <w:bCs w:val="0"/>
                <w:i w:val="0"/>
                <w:iCs w:val="0"/>
                <w:color w:val="000000"/>
                <w:kern w:val="2"/>
                <w:sz w:val="24"/>
                <w:szCs w:val="24"/>
                <w:u w:val="none"/>
                <w:lang w:val="en-US" w:eastAsia="zh-CN" w:bidi="ar"/>
              </w:rPr>
              <w:t>沙滩运动主题</w:t>
            </w:r>
            <w:r>
              <w:rPr>
                <w:rFonts w:hint="eastAsia" w:ascii="楷体" w:hAnsi="楷体" w:eastAsia="楷体" w:cs="楷体"/>
                <w:b w:val="0"/>
                <w:bCs w:val="0"/>
                <w:i w:val="0"/>
                <w:iCs w:val="0"/>
                <w:color w:val="000000"/>
                <w:kern w:val="2"/>
                <w:sz w:val="24"/>
                <w:szCs w:val="24"/>
                <w:u w:val="none"/>
                <w:lang w:val="en-US" w:eastAsia="zh-CN" w:bidi="ar"/>
              </w:rPr>
              <w:t>公园</w:t>
            </w:r>
            <w:r>
              <w:rPr>
                <w:rFonts w:hint="default" w:ascii="楷体" w:hAnsi="楷体" w:eastAsia="楷体" w:cs="楷体"/>
                <w:b w:val="0"/>
                <w:bCs w:val="0"/>
                <w:i w:val="0"/>
                <w:iCs w:val="0"/>
                <w:color w:val="000000"/>
                <w:kern w:val="2"/>
                <w:sz w:val="24"/>
                <w:szCs w:val="24"/>
                <w:u w:val="none"/>
                <w:lang w:val="en-US" w:eastAsia="zh-CN" w:bidi="ar"/>
              </w:rPr>
              <w:t>旅游服务中心</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建筑面积约1万㎡，具备宣传推介、集散换乘、导游服务、餐饮住宿、购物、咨询投诉等功能。</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5000万元</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梅山鼻头角</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（1-3年）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33</w:t>
            </w:r>
          </w:p>
        </w:tc>
        <w:tc>
          <w:tcPr>
            <w:tcW w:w="739"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0" w:type="auto"/>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海南环岛旅游公路“崖州红韵”驿站</w:t>
            </w:r>
          </w:p>
        </w:tc>
        <w:tc>
          <w:tcPr>
            <w:tcW w:w="0" w:type="auto"/>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建设以文化旅游（红色文化、南海文化）为核心的公路驿站，根据《海南环岛旅游公路及驿站规划》基本配置包括游客到访中心、停车场（带充电桩）、旅游公厕、餐饮、小商品/旅游纪念品商店、精品酒店、旅游医疗点、警务服务点，结合鼻头角沙滩运动主题乐园增配文化主题广场、沙滩运动体验、帐篷营地、滨海垂钓等设施，占地面积100亩。</w:t>
            </w:r>
          </w:p>
        </w:tc>
        <w:tc>
          <w:tcPr>
            <w:tcW w:w="0" w:type="auto"/>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政府投资</w:t>
            </w:r>
          </w:p>
        </w:tc>
        <w:tc>
          <w:tcPr>
            <w:tcW w:w="0" w:type="auto"/>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角头岭仔北侧</w:t>
            </w:r>
          </w:p>
        </w:tc>
        <w:tc>
          <w:tcPr>
            <w:tcW w:w="0" w:type="auto"/>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（1-3年）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34</w:t>
            </w:r>
          </w:p>
        </w:tc>
        <w:tc>
          <w:tcPr>
            <w:tcW w:w="739"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0" w:type="auto"/>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海南环岛旅游公路崖州段升级改造</w:t>
            </w:r>
          </w:p>
        </w:tc>
        <w:tc>
          <w:tcPr>
            <w:tcW w:w="0" w:type="auto"/>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根据《海南环岛旅游公路及驿站规划》，崖州段以利用现有G225国道改造升级为主，按照国际一流风景旅游道路的要求，通过多种景观设计手法，达到“全域风景化、公路景观化”的整体效果。</w:t>
            </w:r>
          </w:p>
        </w:tc>
        <w:tc>
          <w:tcPr>
            <w:tcW w:w="0" w:type="auto"/>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政府</w:t>
            </w:r>
          </w:p>
        </w:tc>
        <w:tc>
          <w:tcPr>
            <w:tcW w:w="0" w:type="auto"/>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default" w:ascii="楷体" w:hAnsi="楷体" w:eastAsia="楷体" w:cs="楷体"/>
                <w:b w:val="0"/>
                <w:bCs w:val="0"/>
                <w:i w:val="0"/>
                <w:iCs w:val="0"/>
                <w:color w:val="000000"/>
                <w:kern w:val="2"/>
                <w:sz w:val="24"/>
                <w:szCs w:val="24"/>
                <w:u w:val="none"/>
                <w:lang w:val="en-US" w:eastAsia="zh-CN" w:bidi="ar"/>
              </w:rPr>
              <w:t>G225国道</w:t>
            </w:r>
            <w:r>
              <w:rPr>
                <w:rFonts w:hint="eastAsia" w:ascii="楷体" w:hAnsi="楷体" w:eastAsia="楷体" w:cs="楷体"/>
                <w:b w:val="0"/>
                <w:bCs w:val="0"/>
                <w:i w:val="0"/>
                <w:iCs w:val="0"/>
                <w:color w:val="000000"/>
                <w:kern w:val="2"/>
                <w:sz w:val="24"/>
                <w:szCs w:val="24"/>
                <w:u w:val="none"/>
                <w:lang w:val="en-US" w:eastAsia="zh-CN" w:bidi="ar"/>
              </w:rPr>
              <w:t>等</w:t>
            </w:r>
          </w:p>
        </w:tc>
        <w:tc>
          <w:tcPr>
            <w:tcW w:w="0" w:type="auto"/>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highlight w:val="none"/>
                <w:u w:val="none"/>
                <w:lang w:val="en-US" w:eastAsia="zh-CN" w:bidi="ar"/>
              </w:rPr>
            </w:pPr>
            <w:r>
              <w:rPr>
                <w:rFonts w:hint="eastAsia" w:ascii="楷体" w:hAnsi="楷体" w:eastAsia="楷体" w:cs="楷体"/>
                <w:b w:val="0"/>
                <w:bCs w:val="0"/>
                <w:i w:val="0"/>
                <w:iCs w:val="0"/>
                <w:color w:val="000000"/>
                <w:kern w:val="2"/>
                <w:sz w:val="24"/>
                <w:szCs w:val="24"/>
                <w:highlight w:val="none"/>
                <w:u w:val="none"/>
                <w:lang w:val="en-US" w:eastAsia="zh-CN" w:bidi="ar"/>
              </w:rPr>
              <w:t>近期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highlight w:val="yellow"/>
                <w:u w:val="none"/>
                <w:lang w:val="en-US" w:eastAsia="zh-CN" w:bidi="ar"/>
              </w:rPr>
            </w:pPr>
            <w:r>
              <w:rPr>
                <w:rFonts w:hint="eastAsia" w:ascii="楷体" w:hAnsi="楷体" w:eastAsia="楷体" w:cs="楷体"/>
                <w:b w:val="0"/>
                <w:bCs w:val="0"/>
                <w:i w:val="0"/>
                <w:iCs w:val="0"/>
                <w:color w:val="000000"/>
                <w:kern w:val="2"/>
                <w:sz w:val="24"/>
                <w:szCs w:val="24"/>
                <w:highlight w:val="none"/>
                <w:u w:val="none"/>
                <w:lang w:val="en-US" w:eastAsia="zh-CN" w:bidi="ar"/>
              </w:rPr>
              <w:t>（1-3年）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35</w:t>
            </w:r>
          </w:p>
        </w:tc>
        <w:tc>
          <w:tcPr>
            <w:tcW w:w="739"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0" w:type="auto"/>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科技城海岸线生态修复</w:t>
            </w:r>
          </w:p>
        </w:tc>
        <w:tc>
          <w:tcPr>
            <w:tcW w:w="0" w:type="auto"/>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绿地景观用地面积357163平方米，打造独特的滨海景观带，实施海岸生态修复、景观绿地、带状景观公园、疍家文化内涵滨海景观码头，满足看海玩海、文化观光、休闲体验的需求。</w:t>
            </w:r>
          </w:p>
        </w:tc>
        <w:tc>
          <w:tcPr>
            <w:tcW w:w="0" w:type="auto"/>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3亿，崖州湾科技城开发建设公司</w:t>
            </w:r>
          </w:p>
        </w:tc>
        <w:tc>
          <w:tcPr>
            <w:tcW w:w="0" w:type="auto"/>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科技城7号路（南山港）至宁远河出海口</w:t>
            </w:r>
          </w:p>
        </w:tc>
        <w:tc>
          <w:tcPr>
            <w:tcW w:w="0" w:type="auto"/>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（1-3年）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36</w:t>
            </w:r>
          </w:p>
        </w:tc>
        <w:tc>
          <w:tcPr>
            <w:tcW w:w="739"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0" w:type="auto"/>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宁远河出海口河岸生态修复（河道环境治理）</w:t>
            </w:r>
          </w:p>
        </w:tc>
        <w:tc>
          <w:tcPr>
            <w:tcW w:w="0" w:type="auto"/>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绿地景观用地面积575373平方米，满足防洪排涝、湿地固碳、为野生动物提供栖息地、保护物种多样性功能，在生态功能基础上设置带状景观绿地、文化公园、三角洲特色风貌，满足休闲观光、亲近自然的需求。</w:t>
            </w:r>
          </w:p>
        </w:tc>
        <w:tc>
          <w:tcPr>
            <w:tcW w:w="0" w:type="auto"/>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5亿，崖州湾科技城开发建设公司</w:t>
            </w:r>
          </w:p>
        </w:tc>
        <w:tc>
          <w:tcPr>
            <w:tcW w:w="0" w:type="auto"/>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宁远河出海口至G98高速大桥</w:t>
            </w:r>
          </w:p>
        </w:tc>
        <w:tc>
          <w:tcPr>
            <w:tcW w:w="0" w:type="auto"/>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（1-3年）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37</w:t>
            </w:r>
          </w:p>
        </w:tc>
        <w:tc>
          <w:tcPr>
            <w:tcW w:w="739"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崖州八景重塑再现</w:t>
            </w:r>
          </w:p>
        </w:tc>
        <w:tc>
          <w:tcPr>
            <w:tcW w:w="0" w:type="auto"/>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一景</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抱郭双流</w:t>
            </w:r>
          </w:p>
        </w:tc>
        <w:tc>
          <w:tcPr>
            <w:tcW w:w="0" w:type="auto"/>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实施崖州古城修复和宁远河综合治理，打造古城景区和宁远河文化主题公园，重现水曲绕城景观。</w:t>
            </w:r>
          </w:p>
        </w:tc>
        <w:tc>
          <w:tcPr>
            <w:tcW w:w="0" w:type="auto"/>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政府</w:t>
            </w:r>
          </w:p>
        </w:tc>
        <w:tc>
          <w:tcPr>
            <w:tcW w:w="0" w:type="auto"/>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崖州古城和宁远河</w:t>
            </w:r>
          </w:p>
        </w:tc>
        <w:tc>
          <w:tcPr>
            <w:tcW w:w="1436" w:type="dxa"/>
            <w:vMerge w:val="restart"/>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（1-3年）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739"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0" w:type="auto"/>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二景</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鲸海西风</w:t>
            </w:r>
          </w:p>
        </w:tc>
        <w:tc>
          <w:tcPr>
            <w:tcW w:w="0" w:type="auto"/>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角头湾为南北走向岸线，在岸边礁石区域设置面朝西方的探海观景台，观览南海波涛、领略南海西风。</w:t>
            </w:r>
          </w:p>
        </w:tc>
        <w:tc>
          <w:tcPr>
            <w:tcW w:w="0" w:type="auto"/>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政府</w:t>
            </w:r>
          </w:p>
        </w:tc>
        <w:tc>
          <w:tcPr>
            <w:tcW w:w="0" w:type="auto"/>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角头湾</w:t>
            </w:r>
          </w:p>
        </w:tc>
        <w:tc>
          <w:tcPr>
            <w:tcW w:w="1436" w:type="dxa"/>
            <w:vMerge w:val="continue"/>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739"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0" w:type="auto"/>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三景</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边城斜照</w:t>
            </w:r>
          </w:p>
        </w:tc>
        <w:tc>
          <w:tcPr>
            <w:tcW w:w="0" w:type="auto"/>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在新修复的崖州古城墙之上欣赏夕阳、远眺落日晚霞。</w:t>
            </w:r>
          </w:p>
        </w:tc>
        <w:tc>
          <w:tcPr>
            <w:tcW w:w="0" w:type="auto"/>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城投公司</w:t>
            </w:r>
          </w:p>
        </w:tc>
        <w:tc>
          <w:tcPr>
            <w:tcW w:w="0" w:type="auto"/>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崖州古城</w:t>
            </w:r>
          </w:p>
        </w:tc>
        <w:tc>
          <w:tcPr>
            <w:tcW w:w="1436" w:type="dxa"/>
            <w:vMerge w:val="continue"/>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739"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0" w:type="auto"/>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四景</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水南暮雨</w:t>
            </w:r>
          </w:p>
        </w:tc>
        <w:tc>
          <w:tcPr>
            <w:tcW w:w="0" w:type="auto"/>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保护水南村传统建筑风貌和村落居住环境，与宁远河景观带融为一体。</w:t>
            </w:r>
          </w:p>
        </w:tc>
        <w:tc>
          <w:tcPr>
            <w:tcW w:w="0" w:type="auto"/>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政府</w:t>
            </w:r>
          </w:p>
        </w:tc>
        <w:tc>
          <w:tcPr>
            <w:tcW w:w="0" w:type="auto"/>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水南村</w:t>
            </w:r>
          </w:p>
        </w:tc>
        <w:tc>
          <w:tcPr>
            <w:tcW w:w="1436" w:type="dxa"/>
            <w:vMerge w:val="continue"/>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739"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0" w:type="auto"/>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五景</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稻陇眠鸥</w:t>
            </w:r>
          </w:p>
        </w:tc>
        <w:tc>
          <w:tcPr>
            <w:tcW w:w="0" w:type="auto"/>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在南滨医院地块位置，依托水稻南繁育种大田景观打造南滨田园综合体（南繁主题植物公园），设置鸥鸟投食点，重现“稻陇眠鸥”千年景观。</w:t>
            </w:r>
          </w:p>
        </w:tc>
        <w:tc>
          <w:tcPr>
            <w:tcW w:w="0" w:type="auto"/>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城投公司、企业</w:t>
            </w:r>
          </w:p>
        </w:tc>
        <w:tc>
          <w:tcPr>
            <w:tcW w:w="0" w:type="auto"/>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南滨农场</w:t>
            </w:r>
          </w:p>
        </w:tc>
        <w:tc>
          <w:tcPr>
            <w:tcW w:w="1436" w:type="dxa"/>
            <w:vMerge w:val="continue"/>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739"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0" w:type="auto"/>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六景</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镜湖秋月</w:t>
            </w:r>
          </w:p>
        </w:tc>
        <w:tc>
          <w:tcPr>
            <w:tcW w:w="0" w:type="auto"/>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结合抱古村美丽乡村建设和莲花特色产业，在抱古水库营造月光水色莲花景观，再现“镜湖秋月”风貌。</w:t>
            </w:r>
          </w:p>
        </w:tc>
        <w:tc>
          <w:tcPr>
            <w:tcW w:w="0" w:type="auto"/>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政府</w:t>
            </w:r>
          </w:p>
        </w:tc>
        <w:tc>
          <w:tcPr>
            <w:tcW w:w="0" w:type="auto"/>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抱古村</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抱古水库</w:t>
            </w:r>
          </w:p>
        </w:tc>
        <w:tc>
          <w:tcPr>
            <w:tcW w:w="1436" w:type="dxa"/>
            <w:vMerge w:val="continue"/>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739"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0" w:type="auto"/>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七景</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温泉漱玉</w:t>
            </w:r>
          </w:p>
        </w:tc>
        <w:tc>
          <w:tcPr>
            <w:tcW w:w="0" w:type="auto"/>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修建洗手池、泡脚池，重现海南岛最古老温泉的往日景象。</w:t>
            </w:r>
          </w:p>
        </w:tc>
        <w:tc>
          <w:tcPr>
            <w:tcW w:w="0" w:type="auto"/>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城投公司</w:t>
            </w:r>
          </w:p>
        </w:tc>
        <w:tc>
          <w:tcPr>
            <w:tcW w:w="0" w:type="auto"/>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既济亭热水池</w:t>
            </w:r>
          </w:p>
        </w:tc>
        <w:tc>
          <w:tcPr>
            <w:tcW w:w="1436" w:type="dxa"/>
            <w:vMerge w:val="continue"/>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739"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0" w:type="auto"/>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八景</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南山秋蟾</w:t>
            </w:r>
          </w:p>
        </w:tc>
        <w:tc>
          <w:tcPr>
            <w:tcW w:w="0" w:type="auto"/>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依托南山或洞天风景区，选择适当位置设立雕塑小品，阐述蟾与佛教道教文化渊源，品味“南山秋蟾”趣意。</w:t>
            </w:r>
          </w:p>
        </w:tc>
        <w:tc>
          <w:tcPr>
            <w:tcW w:w="0" w:type="auto"/>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企业</w:t>
            </w:r>
          </w:p>
        </w:tc>
        <w:tc>
          <w:tcPr>
            <w:tcW w:w="0" w:type="auto"/>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南山</w:t>
            </w:r>
          </w:p>
        </w:tc>
        <w:tc>
          <w:tcPr>
            <w:tcW w:w="1436" w:type="dxa"/>
            <w:vMerge w:val="continue"/>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p>
        </w:tc>
      </w:tr>
    </w:tbl>
    <w:p>
      <w:pPr>
        <w:pStyle w:val="4"/>
        <w:bidi w:val="0"/>
        <w:rPr>
          <w:rFonts w:hint="default"/>
          <w:lang w:val="en-US" w:eastAsia="zh-CN"/>
        </w:rPr>
      </w:pPr>
      <w:bookmarkStart w:id="531" w:name="_Toc15678"/>
      <w:bookmarkStart w:id="532" w:name="_Toc18383"/>
      <w:bookmarkStart w:id="533" w:name="_Toc29876"/>
      <w:r>
        <w:rPr>
          <w:rFonts w:hint="eastAsia"/>
          <w:lang w:val="en-US" w:eastAsia="zh-CN"/>
        </w:rPr>
        <w:t>二、商贸物流业项目策划</w:t>
      </w:r>
      <w:bookmarkEnd w:id="531"/>
      <w:bookmarkEnd w:id="532"/>
      <w:bookmarkEnd w:id="533"/>
    </w:p>
    <w:p>
      <w:pPr>
        <w:bidi w:val="0"/>
        <w:spacing w:line="240" w:lineRule="auto"/>
        <w:ind w:firstLine="0" w:firstLineChars="0"/>
        <w:jc w:val="center"/>
        <w:rPr>
          <w:rFonts w:hint="eastAsia" w:ascii="楷体" w:hAnsi="楷体" w:eastAsia="楷体" w:cs="楷体"/>
          <w:b w:val="0"/>
          <w:bCs w:val="0"/>
          <w:sz w:val="28"/>
          <w:szCs w:val="28"/>
          <w:highlight w:val="none"/>
          <w:lang w:val="en-US" w:eastAsia="zh-CN"/>
        </w:rPr>
      </w:pPr>
      <w:r>
        <w:rPr>
          <w:rFonts w:hint="eastAsia" w:ascii="楷体" w:hAnsi="楷体" w:eastAsia="楷体" w:cs="楷体"/>
          <w:b w:val="0"/>
          <w:bCs w:val="0"/>
          <w:sz w:val="28"/>
          <w:szCs w:val="28"/>
          <w:highlight w:val="none"/>
          <w:lang w:val="en-US" w:eastAsia="zh-CN"/>
        </w:rPr>
        <w:t>表32  商贸物流业重点项目策划</w:t>
      </w:r>
    </w:p>
    <w:tbl>
      <w:tblPr>
        <w:tblStyle w:val="18"/>
        <w:tblW w:w="5000" w:type="pct"/>
        <w:jc w:val="center"/>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1"/>
        <w:gridCol w:w="739"/>
        <w:gridCol w:w="1436"/>
        <w:gridCol w:w="7180"/>
        <w:gridCol w:w="1436"/>
        <w:gridCol w:w="1436"/>
        <w:gridCol w:w="1436"/>
      </w:tblGrid>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blHeader/>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iCs w:val="0"/>
                <w:color w:val="000000"/>
                <w:kern w:val="2"/>
                <w:sz w:val="24"/>
                <w:szCs w:val="24"/>
                <w:u w:val="none"/>
                <w:lang w:val="en-US" w:eastAsia="zh-CN" w:bidi="ar"/>
              </w:rPr>
            </w:pPr>
          </w:p>
        </w:tc>
        <w:tc>
          <w:tcPr>
            <w:tcW w:w="739"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类型</w:t>
            </w:r>
          </w:p>
        </w:tc>
        <w:tc>
          <w:tcPr>
            <w:tcW w:w="1436"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项目名称</w:t>
            </w:r>
          </w:p>
        </w:tc>
        <w:tc>
          <w:tcPr>
            <w:tcW w:w="718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项目内容</w:t>
            </w:r>
          </w:p>
        </w:tc>
        <w:tc>
          <w:tcPr>
            <w:tcW w:w="1436"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投资主体</w:t>
            </w:r>
          </w:p>
        </w:tc>
        <w:tc>
          <w:tcPr>
            <w:tcW w:w="1436"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选址建议</w:t>
            </w:r>
          </w:p>
        </w:tc>
        <w:tc>
          <w:tcPr>
            <w:tcW w:w="1436"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启动时序</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w:t>
            </w:r>
          </w:p>
        </w:tc>
        <w:tc>
          <w:tcPr>
            <w:tcW w:w="739"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default" w:ascii="楷体" w:hAnsi="楷体" w:eastAsia="楷体" w:cs="楷体"/>
                <w:b w:val="0"/>
                <w:bCs w:val="0"/>
                <w:i w:val="0"/>
                <w:iCs w:val="0"/>
                <w:color w:val="000000"/>
                <w:kern w:val="2"/>
                <w:sz w:val="24"/>
                <w:szCs w:val="24"/>
                <w:u w:val="none"/>
                <w:lang w:val="en-US" w:eastAsia="zh-CN" w:bidi="ar"/>
              </w:rPr>
              <w:t>农渔产品交易</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和</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default" w:ascii="楷体" w:hAnsi="楷体" w:eastAsia="楷体" w:cs="楷体"/>
                <w:b w:val="0"/>
                <w:bCs w:val="0"/>
                <w:i w:val="0"/>
                <w:iCs w:val="0"/>
                <w:color w:val="000000"/>
                <w:kern w:val="2"/>
                <w:sz w:val="24"/>
                <w:szCs w:val="24"/>
                <w:u w:val="none"/>
                <w:lang w:val="en-US" w:eastAsia="zh-CN" w:bidi="ar"/>
              </w:rPr>
              <w:t>现代物流</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三亚崖州果蔬综合批发市场新建</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占地面积273亩，包括交易、冷链仓储物流、酒店民宿、电商、乡村旅游集散等功能。</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6亿元，城投公司</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果蔬批发市场新址</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（1-3年）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2</w:t>
            </w:r>
          </w:p>
        </w:tc>
        <w:tc>
          <w:tcPr>
            <w:tcW w:w="739"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果蔬冷链仓储物流</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在三亚崖州果蔬综合批发市场内建设恒温冷藏区、低温处理区、配送区、第三方冷链物流运输、物流中介等功能，为冬季瓜菜和热带水果低温运输做好基础。</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城投公司、企业</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果蔬批发市场新址</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（1-3年）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3</w:t>
            </w:r>
          </w:p>
        </w:tc>
        <w:tc>
          <w:tcPr>
            <w:tcW w:w="739"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进岛农产品“北菜南运”集散</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发挥新建崖州果蔬综合批发市场冷链仓储、集散空间、对外交通等优势，承担大三亚区域进岛农产品“北菜南运”的集散功能，打造一年四季全天候交易市场。</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企业</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果蔬批发市场新址</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（1-3年）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4</w:t>
            </w:r>
          </w:p>
        </w:tc>
        <w:tc>
          <w:tcPr>
            <w:tcW w:w="739"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南海国际渔业交易中心</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在自贸港重大背景下，面向东南亚国家及全球各国捕捞船队，发展保税型跨境渔业交易、保税冷链仓储物流、保税加工业务、生鲜进口分拨、线上交易平台、保税柴油补给，成为南海及太平洋西岸最大的国际渔业交易中心。</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城投公司、企业</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崖州中心渔港</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（1-3年）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5</w:t>
            </w:r>
          </w:p>
        </w:tc>
        <w:tc>
          <w:tcPr>
            <w:tcW w:w="739"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水产品冷链物流中心</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建设冷冻区、冷藏区、低温加工区、配送区、第三方冷链物流运输、物流中介、金融配套等功能，至少满足30万吨冷冻货物容量需求，大幅提升崖州中心渔港冷链能力，为渔港大发展做好基础。</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城投公司、企业</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崖州中心渔港</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（1-3年）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6</w:t>
            </w:r>
          </w:p>
        </w:tc>
        <w:tc>
          <w:tcPr>
            <w:tcW w:w="739"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大型供冷中心和制冰厂</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在新建果蔬综合批发市场及中心渔港附近建设大型集中供冷中心和制冰厂，利用夜间峰谷差制冰，降低电网负荷</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城投公司、企业</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果蔬批发市场新址、崖州中心渔港</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（1-3年）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7</w:t>
            </w:r>
          </w:p>
        </w:tc>
        <w:tc>
          <w:tcPr>
            <w:tcW w:w="739"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三亚崖州中心渔港海关特殊监管区域</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default" w:ascii="楷体" w:hAnsi="楷体" w:eastAsia="楷体" w:cs="楷体"/>
                <w:b w:val="0"/>
                <w:bCs w:val="0"/>
                <w:i w:val="0"/>
                <w:iCs w:val="0"/>
                <w:color w:val="000000"/>
                <w:kern w:val="2"/>
                <w:sz w:val="24"/>
                <w:szCs w:val="24"/>
                <w:u w:val="none"/>
                <w:lang w:val="en-US" w:eastAsia="zh-CN" w:bidi="ar"/>
              </w:rPr>
              <w:t>发展水产品进出口贸易、仓储中转、现货期货交割、跨境电商</w:t>
            </w:r>
            <w:r>
              <w:rPr>
                <w:rFonts w:hint="eastAsia" w:ascii="楷体" w:hAnsi="楷体" w:eastAsia="楷体" w:cs="楷体"/>
                <w:b w:val="0"/>
                <w:bCs w:val="0"/>
                <w:i w:val="0"/>
                <w:iCs w:val="0"/>
                <w:color w:val="000000"/>
                <w:kern w:val="2"/>
                <w:sz w:val="24"/>
                <w:szCs w:val="24"/>
                <w:u w:val="none"/>
                <w:lang w:val="en-US" w:eastAsia="zh-CN" w:bidi="ar"/>
              </w:rPr>
              <w:t>、to C端</w:t>
            </w:r>
            <w:r>
              <w:rPr>
                <w:rFonts w:hint="default" w:ascii="楷体" w:hAnsi="楷体" w:eastAsia="楷体" w:cs="楷体"/>
                <w:b w:val="0"/>
                <w:bCs w:val="0"/>
                <w:i w:val="0"/>
                <w:iCs w:val="0"/>
                <w:color w:val="000000"/>
                <w:kern w:val="2"/>
                <w:sz w:val="24"/>
                <w:szCs w:val="24"/>
                <w:u w:val="none"/>
                <w:lang w:val="en-US" w:eastAsia="zh-CN" w:bidi="ar"/>
              </w:rPr>
              <w:t>分拨</w:t>
            </w:r>
            <w:r>
              <w:rPr>
                <w:rFonts w:hint="eastAsia" w:ascii="楷体" w:hAnsi="楷体" w:eastAsia="楷体" w:cs="楷体"/>
                <w:b w:val="0"/>
                <w:bCs w:val="0"/>
                <w:i w:val="0"/>
                <w:iCs w:val="0"/>
                <w:color w:val="000000"/>
                <w:kern w:val="2"/>
                <w:sz w:val="24"/>
                <w:szCs w:val="24"/>
                <w:u w:val="none"/>
                <w:lang w:val="en-US" w:eastAsia="zh-CN" w:bidi="ar"/>
              </w:rPr>
              <w:t>、</w:t>
            </w:r>
            <w:r>
              <w:rPr>
                <w:rFonts w:hint="default" w:ascii="楷体" w:hAnsi="楷体" w:eastAsia="楷体" w:cs="楷体"/>
                <w:b w:val="0"/>
                <w:bCs w:val="0"/>
                <w:i w:val="0"/>
                <w:iCs w:val="0"/>
                <w:color w:val="000000"/>
                <w:kern w:val="2"/>
                <w:sz w:val="24"/>
                <w:szCs w:val="24"/>
                <w:u w:val="none"/>
                <w:lang w:val="en-US" w:eastAsia="zh-CN" w:bidi="ar"/>
              </w:rPr>
              <w:t>保税柴油等</w:t>
            </w:r>
            <w:r>
              <w:rPr>
                <w:rFonts w:hint="eastAsia" w:ascii="楷体" w:hAnsi="楷体" w:eastAsia="楷体" w:cs="楷体"/>
                <w:b w:val="0"/>
                <w:bCs w:val="0"/>
                <w:i w:val="0"/>
                <w:iCs w:val="0"/>
                <w:color w:val="000000"/>
                <w:kern w:val="2"/>
                <w:sz w:val="24"/>
                <w:szCs w:val="24"/>
                <w:u w:val="none"/>
                <w:lang w:val="en-US" w:eastAsia="zh-CN" w:bidi="ar"/>
              </w:rPr>
              <w:t>业务。</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城投公司、企业</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崖州中心渔港</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（1-3年）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8</w:t>
            </w:r>
          </w:p>
        </w:tc>
        <w:tc>
          <w:tcPr>
            <w:tcW w:w="739"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农村快递物流网络</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推进主要快递物流公司健全覆盖全区农村的快递物流网络、快递站点</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企业</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全区农村</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（1-3年）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9</w:t>
            </w:r>
          </w:p>
        </w:tc>
        <w:tc>
          <w:tcPr>
            <w:tcW w:w="739"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生活服务</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default" w:ascii="楷体" w:hAnsi="楷体" w:eastAsia="楷体" w:cs="楷体"/>
                <w:b w:val="0"/>
                <w:bCs w:val="0"/>
                <w:i w:val="0"/>
                <w:iCs w:val="0"/>
                <w:color w:val="000000"/>
                <w:kern w:val="2"/>
                <w:sz w:val="24"/>
                <w:szCs w:val="24"/>
                <w:u w:val="none"/>
                <w:lang w:val="en-US" w:eastAsia="zh-CN" w:bidi="ar"/>
              </w:rPr>
              <w:t>大型商业综合体</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在</w:t>
            </w:r>
            <w:r>
              <w:rPr>
                <w:rFonts w:hint="default" w:ascii="楷体" w:hAnsi="楷体" w:eastAsia="楷体" w:cs="楷体"/>
                <w:b w:val="0"/>
                <w:bCs w:val="0"/>
                <w:i w:val="0"/>
                <w:iCs w:val="0"/>
                <w:color w:val="000000"/>
                <w:kern w:val="2"/>
                <w:sz w:val="24"/>
                <w:szCs w:val="24"/>
                <w:u w:val="none"/>
                <w:lang w:val="en-US" w:eastAsia="zh-CN" w:bidi="ar"/>
              </w:rPr>
              <w:t>崖州湾科技城范围内靠近大学城和崖州区新城</w:t>
            </w:r>
            <w:r>
              <w:rPr>
                <w:rFonts w:hint="eastAsia" w:ascii="楷体" w:hAnsi="楷体" w:eastAsia="楷体" w:cs="楷体"/>
                <w:b w:val="0"/>
                <w:bCs w:val="0"/>
                <w:i w:val="0"/>
                <w:iCs w:val="0"/>
                <w:color w:val="000000"/>
                <w:kern w:val="2"/>
                <w:sz w:val="24"/>
                <w:szCs w:val="24"/>
                <w:u w:val="none"/>
                <w:lang w:val="en-US" w:eastAsia="zh-CN" w:bidi="ar"/>
              </w:rPr>
              <w:t>新建大型商业综合体，满足日常消费、购物餐饮、专业免税店、娱乐体验、教育培训、酒店、办公、公寓、SOHO等多种需要。</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企业</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大学城附近</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近中期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（1-5年）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10</w:t>
            </w:r>
          </w:p>
        </w:tc>
        <w:tc>
          <w:tcPr>
            <w:tcW w:w="739"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夜间经济（外摆摊位）</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在海堤路、河堤路、崖州古城、南山花园路建设外摆摊位，可接待8500人消费，经营内容为商铺自家外摆及农产工艺品外摆。</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600万，城投公司</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海堤路、河堤路、崖州古城、南山花园路</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（1-3年）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11</w:t>
            </w:r>
          </w:p>
        </w:tc>
        <w:tc>
          <w:tcPr>
            <w:tcW w:w="739"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夜间经济（临时建筑）</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在海堤路、崖州站前广场建设临时建筑，经营内容为美食广场，可接待2200人消费。</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2000万，城投公司</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海堤路、崖州站前广场</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（1-3年）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12</w:t>
            </w:r>
          </w:p>
        </w:tc>
        <w:tc>
          <w:tcPr>
            <w:tcW w:w="739"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乡村便民生活服务区</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提供便民生活服务，满足居民自产自销需要，缓解农贸市场压力。</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政府</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部分村（居）</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（1-3年）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13</w:t>
            </w:r>
          </w:p>
        </w:tc>
        <w:tc>
          <w:tcPr>
            <w:tcW w:w="739"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公益性批发零售市场</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政府出资主导建设公益性市场，降低商户成本，向居民提供平价蔬菜禽蛋食品。</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政府</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城区</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（1-3年）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14</w:t>
            </w:r>
          </w:p>
        </w:tc>
        <w:tc>
          <w:tcPr>
            <w:tcW w:w="739"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城乡商业网点优化提升工程</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调查摸底全区城乡各类商业网点，规划城乡各类商业网点分布，促进城乡消费品、农资用品流通，促进各类生活服务业、中介服务业、生产性服务业发展。</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政府</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全区</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（1-3年）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15</w:t>
            </w:r>
          </w:p>
        </w:tc>
        <w:tc>
          <w:tcPr>
            <w:tcW w:w="739"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建材家居市场</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建设中大型建材、家居、家具、电器市场，服务崖州及周边区域。</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企业</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城区</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近中期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（1-5年）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16</w:t>
            </w:r>
          </w:p>
        </w:tc>
        <w:tc>
          <w:tcPr>
            <w:tcW w:w="739"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电子商务</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default" w:ascii="楷体" w:hAnsi="楷体" w:eastAsia="楷体" w:cs="楷体"/>
                <w:b w:val="0"/>
                <w:bCs w:val="0"/>
                <w:i w:val="0"/>
                <w:iCs w:val="0"/>
                <w:color w:val="000000"/>
                <w:kern w:val="2"/>
                <w:sz w:val="24"/>
                <w:szCs w:val="24"/>
                <w:u w:val="none"/>
                <w:lang w:val="en-US" w:eastAsia="zh-CN" w:bidi="ar"/>
              </w:rPr>
              <w:t>三亚崖州果蔬综合批发市场</w:t>
            </w:r>
            <w:r>
              <w:rPr>
                <w:rFonts w:hint="eastAsia" w:ascii="楷体" w:hAnsi="楷体" w:eastAsia="楷体" w:cs="楷体"/>
                <w:b w:val="0"/>
                <w:bCs w:val="0"/>
                <w:i w:val="0"/>
                <w:iCs w:val="0"/>
                <w:color w:val="000000"/>
                <w:kern w:val="2"/>
                <w:sz w:val="24"/>
                <w:szCs w:val="24"/>
                <w:u w:val="none"/>
                <w:lang w:val="en-US" w:eastAsia="zh-CN" w:bidi="ar"/>
              </w:rPr>
              <w:t>电商中心</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default" w:ascii="楷体" w:hAnsi="楷体" w:eastAsia="楷体" w:cs="楷体"/>
                <w:b w:val="0"/>
                <w:bCs w:val="0"/>
                <w:i w:val="0"/>
                <w:iCs w:val="0"/>
                <w:color w:val="000000"/>
                <w:kern w:val="2"/>
                <w:sz w:val="24"/>
                <w:szCs w:val="24"/>
                <w:u w:val="none"/>
                <w:lang w:val="en-US" w:eastAsia="zh-CN" w:bidi="ar"/>
              </w:rPr>
              <w:t>在三亚崖州果蔬综合批发市场内</w:t>
            </w:r>
            <w:r>
              <w:rPr>
                <w:rFonts w:hint="eastAsia" w:ascii="楷体" w:hAnsi="楷体" w:eastAsia="楷体" w:cs="楷体"/>
                <w:b w:val="0"/>
                <w:bCs w:val="0"/>
                <w:i w:val="0"/>
                <w:iCs w:val="0"/>
                <w:color w:val="000000"/>
                <w:kern w:val="2"/>
                <w:sz w:val="24"/>
                <w:szCs w:val="24"/>
                <w:u w:val="none"/>
                <w:lang w:val="en-US" w:eastAsia="zh-CN" w:bidi="ar"/>
              </w:rPr>
              <w:t>建设电商功能区，满足办公、直播、展示、冷藏仓储周转、打包、快递物流、培训、公寓等功能需要，为电商运营团队提供孵化空间。</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城投公司、企业</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果蔬批发市场新址</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（1-3年）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17</w:t>
            </w:r>
          </w:p>
        </w:tc>
        <w:tc>
          <w:tcPr>
            <w:tcW w:w="739"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default" w:ascii="楷体" w:hAnsi="楷体" w:eastAsia="楷体" w:cs="楷体"/>
                <w:b w:val="0"/>
                <w:bCs w:val="0"/>
                <w:i w:val="0"/>
                <w:iCs w:val="0"/>
                <w:color w:val="000000"/>
                <w:kern w:val="2"/>
                <w:sz w:val="24"/>
                <w:szCs w:val="24"/>
                <w:u w:val="none"/>
                <w:lang w:val="en-US" w:eastAsia="zh-CN" w:bidi="ar"/>
              </w:rPr>
              <w:t>三亚崖州中心渔港</w:t>
            </w:r>
            <w:r>
              <w:rPr>
                <w:rFonts w:hint="eastAsia" w:ascii="楷体" w:hAnsi="楷体" w:eastAsia="楷体" w:cs="楷体"/>
                <w:b w:val="0"/>
                <w:bCs w:val="0"/>
                <w:i w:val="0"/>
                <w:iCs w:val="0"/>
                <w:color w:val="000000"/>
                <w:kern w:val="2"/>
                <w:sz w:val="24"/>
                <w:szCs w:val="24"/>
                <w:u w:val="none"/>
                <w:lang w:val="en-US" w:eastAsia="zh-CN" w:bidi="ar"/>
              </w:rPr>
              <w:t>电商中心</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default" w:ascii="楷体" w:hAnsi="楷体" w:eastAsia="楷体" w:cs="楷体"/>
                <w:b w:val="0"/>
                <w:bCs w:val="0"/>
                <w:i w:val="0"/>
                <w:iCs w:val="0"/>
                <w:color w:val="000000"/>
                <w:kern w:val="2"/>
                <w:sz w:val="24"/>
                <w:szCs w:val="24"/>
                <w:u w:val="none"/>
                <w:lang w:val="en-US" w:eastAsia="zh-CN" w:bidi="ar"/>
              </w:rPr>
              <w:t>在三亚崖州中心渔港内建设电商</w:t>
            </w:r>
            <w:r>
              <w:rPr>
                <w:rFonts w:hint="eastAsia" w:ascii="楷体" w:hAnsi="楷体" w:eastAsia="楷体" w:cs="楷体"/>
                <w:b w:val="0"/>
                <w:bCs w:val="0"/>
                <w:i w:val="0"/>
                <w:iCs w:val="0"/>
                <w:color w:val="000000"/>
                <w:kern w:val="2"/>
                <w:sz w:val="24"/>
                <w:szCs w:val="24"/>
                <w:u w:val="none"/>
                <w:lang w:val="en-US" w:eastAsia="zh-CN" w:bidi="ar"/>
              </w:rPr>
              <w:t>功能区</w:t>
            </w:r>
            <w:r>
              <w:rPr>
                <w:rFonts w:hint="default" w:ascii="楷体" w:hAnsi="楷体" w:eastAsia="楷体" w:cs="楷体"/>
                <w:b w:val="0"/>
                <w:bCs w:val="0"/>
                <w:i w:val="0"/>
                <w:iCs w:val="0"/>
                <w:color w:val="000000"/>
                <w:kern w:val="2"/>
                <w:sz w:val="24"/>
                <w:szCs w:val="24"/>
                <w:u w:val="none"/>
                <w:lang w:val="en-US" w:eastAsia="zh-CN" w:bidi="ar"/>
              </w:rPr>
              <w:t>，满足办公、直播、展示、</w:t>
            </w:r>
            <w:r>
              <w:rPr>
                <w:rFonts w:hint="eastAsia" w:ascii="楷体" w:hAnsi="楷体" w:eastAsia="楷体" w:cs="楷体"/>
                <w:b w:val="0"/>
                <w:bCs w:val="0"/>
                <w:i w:val="0"/>
                <w:iCs w:val="0"/>
                <w:color w:val="000000"/>
                <w:kern w:val="2"/>
                <w:sz w:val="24"/>
                <w:szCs w:val="24"/>
                <w:u w:val="none"/>
                <w:lang w:val="en-US" w:eastAsia="zh-CN" w:bidi="ar"/>
              </w:rPr>
              <w:t>冷链</w:t>
            </w:r>
            <w:r>
              <w:rPr>
                <w:rFonts w:hint="default" w:ascii="楷体" w:hAnsi="楷体" w:eastAsia="楷体" w:cs="楷体"/>
                <w:b w:val="0"/>
                <w:bCs w:val="0"/>
                <w:i w:val="0"/>
                <w:iCs w:val="0"/>
                <w:color w:val="000000"/>
                <w:kern w:val="2"/>
                <w:sz w:val="24"/>
                <w:szCs w:val="24"/>
                <w:u w:val="none"/>
                <w:lang w:val="en-US" w:eastAsia="zh-CN" w:bidi="ar"/>
              </w:rPr>
              <w:t>仓储周转、打包、快递物流、培训等功能需要，为电商运营团队提供孵化空间。</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城投公司、企业</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崖州中心渔港</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（1-3年）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18</w:t>
            </w:r>
          </w:p>
        </w:tc>
        <w:tc>
          <w:tcPr>
            <w:tcW w:w="739"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电商服务和电商销售专业村</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default" w:ascii="楷体" w:hAnsi="楷体" w:eastAsia="楷体" w:cs="楷体"/>
                <w:b w:val="0"/>
                <w:bCs w:val="0"/>
                <w:i w:val="0"/>
                <w:iCs w:val="0"/>
                <w:color w:val="000000"/>
                <w:kern w:val="2"/>
                <w:sz w:val="24"/>
                <w:szCs w:val="24"/>
                <w:u w:val="none"/>
                <w:lang w:val="en-US" w:eastAsia="zh-CN" w:bidi="ar"/>
              </w:rPr>
              <w:t>培育发展电商专业村，提供物流、仓储、包装、售后等专业服务，发挥“一村一品”优势开展特色种养殖产品电商销售</w:t>
            </w:r>
            <w:r>
              <w:rPr>
                <w:rFonts w:hint="eastAsia" w:ascii="楷体" w:hAnsi="楷体" w:eastAsia="楷体" w:cs="楷体"/>
                <w:b w:val="0"/>
                <w:bCs w:val="0"/>
                <w:i w:val="0"/>
                <w:iCs w:val="0"/>
                <w:color w:val="000000"/>
                <w:kern w:val="2"/>
                <w:sz w:val="24"/>
                <w:szCs w:val="24"/>
                <w:u w:val="none"/>
                <w:lang w:val="en-US" w:eastAsia="zh-CN" w:bidi="ar"/>
              </w:rPr>
              <w:t>。</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政府、企业</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default" w:ascii="楷体" w:hAnsi="楷体" w:eastAsia="楷体" w:cs="楷体"/>
                <w:b w:val="0"/>
                <w:bCs w:val="0"/>
                <w:i w:val="0"/>
                <w:iCs w:val="0"/>
                <w:color w:val="000000"/>
                <w:kern w:val="2"/>
                <w:sz w:val="24"/>
                <w:szCs w:val="24"/>
                <w:u w:val="none"/>
                <w:lang w:val="en-US" w:eastAsia="zh-CN" w:bidi="ar"/>
              </w:rPr>
              <w:t>全区农村</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（1-3年）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19</w:t>
            </w:r>
          </w:p>
        </w:tc>
        <w:tc>
          <w:tcPr>
            <w:tcW w:w="739"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电商水果种植基地</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default" w:ascii="楷体" w:hAnsi="楷体" w:eastAsia="楷体" w:cs="楷体"/>
                <w:b w:val="0"/>
                <w:bCs w:val="0"/>
                <w:i w:val="0"/>
                <w:iCs w:val="0"/>
                <w:color w:val="000000"/>
                <w:kern w:val="2"/>
                <w:sz w:val="24"/>
                <w:szCs w:val="24"/>
                <w:u w:val="none"/>
                <w:lang w:val="en-US" w:eastAsia="zh-CN" w:bidi="ar"/>
              </w:rPr>
              <w:t>建设现代化热带水果果园，</w:t>
            </w:r>
            <w:r>
              <w:rPr>
                <w:rFonts w:hint="eastAsia" w:ascii="楷体" w:hAnsi="楷体" w:eastAsia="楷体" w:cs="楷体"/>
                <w:b w:val="0"/>
                <w:bCs w:val="0"/>
                <w:i w:val="0"/>
                <w:iCs w:val="0"/>
                <w:color w:val="000000"/>
                <w:kern w:val="2"/>
                <w:sz w:val="24"/>
                <w:szCs w:val="24"/>
                <w:u w:val="none"/>
                <w:lang w:val="en-US" w:eastAsia="zh-CN" w:bidi="ar"/>
              </w:rPr>
              <w:t>种植</w:t>
            </w:r>
            <w:r>
              <w:rPr>
                <w:rFonts w:hint="default" w:ascii="楷体" w:hAnsi="楷体" w:eastAsia="楷体" w:cs="楷体"/>
                <w:b w:val="0"/>
                <w:bCs w:val="0"/>
                <w:i w:val="0"/>
                <w:iCs w:val="0"/>
                <w:color w:val="000000"/>
                <w:kern w:val="2"/>
                <w:sz w:val="24"/>
                <w:szCs w:val="24"/>
                <w:u w:val="none"/>
                <w:lang w:val="en-US" w:eastAsia="zh-CN" w:bidi="ar"/>
              </w:rPr>
              <w:t>专供电商销售的高品质热带水果、稀缺品种水果等</w:t>
            </w:r>
            <w:r>
              <w:rPr>
                <w:rFonts w:hint="eastAsia" w:ascii="楷体" w:hAnsi="楷体" w:eastAsia="楷体" w:cs="楷体"/>
                <w:b w:val="0"/>
                <w:bCs w:val="0"/>
                <w:i w:val="0"/>
                <w:iCs w:val="0"/>
                <w:color w:val="000000"/>
                <w:kern w:val="2"/>
                <w:sz w:val="24"/>
                <w:szCs w:val="24"/>
                <w:u w:val="none"/>
                <w:lang w:val="en-US" w:eastAsia="zh-CN" w:bidi="ar"/>
              </w:rPr>
              <w:t>。</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全区农村</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（1-3年）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20</w:t>
            </w:r>
          </w:p>
        </w:tc>
        <w:tc>
          <w:tcPr>
            <w:tcW w:w="739"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网红崖州打造计划</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default" w:ascii="楷体" w:hAnsi="楷体" w:eastAsia="楷体" w:cs="楷体"/>
                <w:b w:val="0"/>
                <w:bCs w:val="0"/>
                <w:i w:val="0"/>
                <w:iCs w:val="0"/>
                <w:color w:val="000000"/>
                <w:kern w:val="2"/>
                <w:sz w:val="24"/>
                <w:szCs w:val="24"/>
                <w:u w:val="none"/>
                <w:lang w:val="en-US" w:eastAsia="zh-CN" w:bidi="ar"/>
              </w:rPr>
              <w:t>官方支持、企业主导</w:t>
            </w:r>
            <w:r>
              <w:rPr>
                <w:rFonts w:hint="eastAsia" w:ascii="楷体" w:hAnsi="楷体" w:eastAsia="楷体" w:cs="楷体"/>
                <w:b w:val="0"/>
                <w:bCs w:val="0"/>
                <w:i w:val="0"/>
                <w:iCs w:val="0"/>
                <w:color w:val="000000"/>
                <w:kern w:val="2"/>
                <w:sz w:val="24"/>
                <w:szCs w:val="24"/>
                <w:u w:val="none"/>
                <w:lang w:val="en-US" w:eastAsia="zh-CN" w:bidi="ar"/>
              </w:rPr>
              <w:t>，</w:t>
            </w:r>
            <w:r>
              <w:rPr>
                <w:rFonts w:hint="default" w:ascii="楷体" w:hAnsi="楷体" w:eastAsia="楷体" w:cs="楷体"/>
                <w:b w:val="0"/>
                <w:bCs w:val="0"/>
                <w:i w:val="0"/>
                <w:iCs w:val="0"/>
                <w:color w:val="000000"/>
                <w:kern w:val="2"/>
                <w:sz w:val="24"/>
                <w:szCs w:val="24"/>
                <w:u w:val="none"/>
                <w:lang w:val="en-US" w:eastAsia="zh-CN" w:bidi="ar"/>
              </w:rPr>
              <w:t>策划打造一批崖州网红水果、网红水产品、网红农旅休闲基地，叫响崖州地理品牌</w:t>
            </w:r>
            <w:r>
              <w:rPr>
                <w:rFonts w:hint="eastAsia" w:ascii="楷体" w:hAnsi="楷体" w:eastAsia="楷体" w:cs="楷体"/>
                <w:b w:val="0"/>
                <w:bCs w:val="0"/>
                <w:i w:val="0"/>
                <w:iCs w:val="0"/>
                <w:color w:val="000000"/>
                <w:kern w:val="2"/>
                <w:sz w:val="24"/>
                <w:szCs w:val="24"/>
                <w:u w:val="none"/>
                <w:lang w:val="en-US" w:eastAsia="zh-CN" w:bidi="ar"/>
              </w:rPr>
              <w:t>。</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政府、企业</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电商中心</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（1-3年）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21</w:t>
            </w:r>
          </w:p>
        </w:tc>
        <w:tc>
          <w:tcPr>
            <w:tcW w:w="739"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水果出口跨境电商基地</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在</w:t>
            </w:r>
            <w:r>
              <w:rPr>
                <w:rFonts w:hint="default" w:ascii="楷体" w:hAnsi="楷体" w:eastAsia="楷体" w:cs="楷体"/>
                <w:b w:val="0"/>
                <w:bCs w:val="0"/>
                <w:i w:val="0"/>
                <w:iCs w:val="0"/>
                <w:color w:val="000000"/>
                <w:kern w:val="2"/>
                <w:sz w:val="24"/>
                <w:szCs w:val="24"/>
                <w:u w:val="none"/>
                <w:lang w:val="en-US" w:eastAsia="zh-CN" w:bidi="ar"/>
              </w:rPr>
              <w:t>三亚崖州果蔬综合批发市场电商中心</w:t>
            </w:r>
            <w:r>
              <w:rPr>
                <w:rFonts w:hint="eastAsia" w:ascii="楷体" w:hAnsi="楷体" w:eastAsia="楷体" w:cs="楷体"/>
                <w:b w:val="0"/>
                <w:bCs w:val="0"/>
                <w:i w:val="0"/>
                <w:iCs w:val="0"/>
                <w:color w:val="000000"/>
                <w:kern w:val="2"/>
                <w:sz w:val="24"/>
                <w:szCs w:val="24"/>
                <w:u w:val="none"/>
                <w:lang w:val="en-US" w:eastAsia="zh-CN" w:bidi="ar"/>
              </w:rPr>
              <w:t>内发展出口跨境电商，把崖州热带水果销往温带国家地区。</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企业</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电商中心</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近期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（1-3年）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22</w:t>
            </w:r>
          </w:p>
        </w:tc>
        <w:tc>
          <w:tcPr>
            <w:tcW w:w="739"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免税购物</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default" w:ascii="楷体" w:hAnsi="楷体" w:eastAsia="楷体" w:cs="楷体"/>
                <w:b w:val="0"/>
                <w:bCs w:val="0"/>
                <w:i w:val="0"/>
                <w:iCs w:val="0"/>
                <w:color w:val="000000"/>
                <w:kern w:val="2"/>
                <w:sz w:val="24"/>
                <w:szCs w:val="24"/>
                <w:u w:val="none"/>
                <w:lang w:val="en-US" w:eastAsia="zh-CN" w:bidi="ar"/>
              </w:rPr>
              <w:t>玩具游戏机娱乐设备</w:t>
            </w:r>
            <w:r>
              <w:rPr>
                <w:rFonts w:hint="eastAsia" w:ascii="楷体" w:hAnsi="楷体" w:eastAsia="楷体" w:cs="楷体"/>
                <w:b w:val="0"/>
                <w:bCs w:val="0"/>
                <w:i w:val="0"/>
                <w:iCs w:val="0"/>
                <w:color w:val="000000"/>
                <w:kern w:val="2"/>
                <w:sz w:val="24"/>
                <w:szCs w:val="24"/>
                <w:u w:val="none"/>
                <w:lang w:val="en-US" w:eastAsia="zh-CN" w:bidi="ar"/>
              </w:rPr>
              <w:t>免税购物</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建设免税购物专业店，发展玩具游戏机娱乐设备免税购物。</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企业</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导入主题乐园项目周边</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中期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（3-5年）</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23</w:t>
            </w:r>
          </w:p>
        </w:tc>
        <w:tc>
          <w:tcPr>
            <w:tcW w:w="739"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动漫游戏</w:t>
            </w:r>
            <w:r>
              <w:rPr>
                <w:rFonts w:hint="default" w:ascii="楷体" w:hAnsi="楷体" w:eastAsia="楷体" w:cs="楷体"/>
                <w:b w:val="0"/>
                <w:bCs w:val="0"/>
                <w:i w:val="0"/>
                <w:iCs w:val="0"/>
                <w:color w:val="000000"/>
                <w:kern w:val="2"/>
                <w:sz w:val="24"/>
                <w:szCs w:val="24"/>
                <w:u w:val="none"/>
                <w:lang w:val="en-US" w:eastAsia="zh-CN" w:bidi="ar"/>
              </w:rPr>
              <w:t>周边</w:t>
            </w:r>
            <w:r>
              <w:rPr>
                <w:rFonts w:hint="eastAsia" w:ascii="楷体" w:hAnsi="楷体" w:eastAsia="楷体" w:cs="楷体"/>
                <w:b w:val="0"/>
                <w:bCs w:val="0"/>
                <w:i w:val="0"/>
                <w:iCs w:val="0"/>
                <w:color w:val="000000"/>
                <w:kern w:val="2"/>
                <w:sz w:val="24"/>
                <w:szCs w:val="24"/>
                <w:u w:val="none"/>
                <w:lang w:val="en-US" w:eastAsia="zh-CN" w:bidi="ar"/>
              </w:rPr>
              <w:t>免税购物</w:t>
            </w:r>
          </w:p>
        </w:tc>
        <w:tc>
          <w:tcPr>
            <w:tcW w:w="7180"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default" w:ascii="楷体" w:hAnsi="楷体" w:eastAsia="楷体" w:cs="楷体"/>
                <w:b w:val="0"/>
                <w:bCs w:val="0"/>
                <w:i w:val="0"/>
                <w:iCs w:val="0"/>
                <w:color w:val="000000"/>
                <w:kern w:val="2"/>
                <w:sz w:val="24"/>
                <w:szCs w:val="24"/>
                <w:u w:val="none"/>
                <w:lang w:val="en-US" w:eastAsia="zh-CN" w:bidi="ar"/>
              </w:rPr>
              <w:t>建设免税购物专业店，发展动漫游戏周边商品免税购物</w:t>
            </w:r>
            <w:r>
              <w:rPr>
                <w:rFonts w:hint="eastAsia" w:ascii="楷体" w:hAnsi="楷体" w:eastAsia="楷体" w:cs="楷体"/>
                <w:b w:val="0"/>
                <w:bCs w:val="0"/>
                <w:i w:val="0"/>
                <w:iCs w:val="0"/>
                <w:color w:val="000000"/>
                <w:kern w:val="2"/>
                <w:sz w:val="24"/>
                <w:szCs w:val="24"/>
                <w:u w:val="none"/>
                <w:lang w:val="en-US" w:eastAsia="zh-CN" w:bidi="ar"/>
              </w:rPr>
              <w:t>。</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企业</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导入主题乐园项目周边</w:t>
            </w:r>
          </w:p>
        </w:tc>
        <w:tc>
          <w:tcPr>
            <w:tcW w:w="1436"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中期</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（3-5年）</w:t>
            </w:r>
          </w:p>
        </w:tc>
      </w:tr>
    </w:tbl>
    <w:p>
      <w:pPr>
        <w:pStyle w:val="3"/>
        <w:bidi w:val="0"/>
        <w:rPr>
          <w:rFonts w:hint="default"/>
          <w:lang w:val="en-US" w:eastAsia="zh-CN"/>
        </w:rPr>
      </w:pPr>
      <w:bookmarkStart w:id="534" w:name="_Toc20927"/>
      <w:bookmarkStart w:id="535" w:name="_Toc2565"/>
      <w:bookmarkStart w:id="536" w:name="_Toc5981"/>
      <w:r>
        <w:rPr>
          <w:rFonts w:hint="eastAsia"/>
          <w:lang w:val="en-US" w:eastAsia="zh-CN"/>
        </w:rPr>
        <w:t>第七节  招商建议</w:t>
      </w:r>
      <w:bookmarkEnd w:id="534"/>
      <w:bookmarkEnd w:id="535"/>
      <w:bookmarkEnd w:id="536"/>
    </w:p>
    <w:p>
      <w:pPr>
        <w:pStyle w:val="4"/>
        <w:bidi w:val="0"/>
        <w:rPr>
          <w:rFonts w:hint="default"/>
          <w:lang w:val="en-US" w:eastAsia="zh-CN"/>
        </w:rPr>
      </w:pPr>
      <w:bookmarkStart w:id="537" w:name="_Toc3150"/>
      <w:bookmarkStart w:id="538" w:name="_Toc19380"/>
      <w:bookmarkStart w:id="539" w:name="_Toc28540"/>
      <w:r>
        <w:rPr>
          <w:rFonts w:hint="eastAsia"/>
          <w:lang w:val="en-US" w:eastAsia="zh-CN"/>
        </w:rPr>
        <w:t>一、旅游业招商建议</w:t>
      </w:r>
      <w:bookmarkEnd w:id="537"/>
      <w:bookmarkEnd w:id="538"/>
      <w:bookmarkEnd w:id="539"/>
    </w:p>
    <w:p>
      <w:pPr>
        <w:bidi w:val="0"/>
        <w:spacing w:line="240" w:lineRule="auto"/>
        <w:ind w:firstLine="0" w:firstLineChars="0"/>
        <w:jc w:val="center"/>
        <w:rPr>
          <w:rFonts w:hint="eastAsia"/>
          <w:b w:val="0"/>
          <w:bCs w:val="0"/>
          <w:lang w:val="en-US" w:eastAsia="zh-CN"/>
        </w:rPr>
      </w:pPr>
      <w:r>
        <w:rPr>
          <w:rFonts w:hint="eastAsia" w:ascii="楷体" w:hAnsi="楷体" w:eastAsia="楷体" w:cs="楷体"/>
          <w:b w:val="0"/>
          <w:bCs w:val="0"/>
          <w:sz w:val="28"/>
          <w:szCs w:val="28"/>
          <w:lang w:val="en-US" w:eastAsia="zh-CN"/>
        </w:rPr>
        <w:t>表33  旅游业招商建议</w:t>
      </w:r>
    </w:p>
    <w:tbl>
      <w:tblPr>
        <w:tblStyle w:val="18"/>
        <w:tblW w:w="5000" w:type="pct"/>
        <w:jc w:val="center"/>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24"/>
        <w:gridCol w:w="2024"/>
        <w:gridCol w:w="2024"/>
        <w:gridCol w:w="8102"/>
      </w:tblGrid>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blHeader/>
          <w:jc w:val="center"/>
        </w:trPr>
        <w:tc>
          <w:tcPr>
            <w:tcW w:w="202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领域方向</w:t>
            </w:r>
          </w:p>
        </w:tc>
        <w:tc>
          <w:tcPr>
            <w:tcW w:w="202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企业/机构</w:t>
            </w:r>
          </w:p>
        </w:tc>
        <w:tc>
          <w:tcPr>
            <w:tcW w:w="202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业务范围</w:t>
            </w:r>
          </w:p>
        </w:tc>
        <w:tc>
          <w:tcPr>
            <w:tcW w:w="8102"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简介</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教育科普旅游</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世纪明德</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研学旅行、夏冬令营、教师培训、教育论坛举办经营</w:t>
            </w: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国内知名研学旅游服务企业，专注国内外研学旅行、夏冬令营，以及教师培训、教育论坛等业务，拥有包括国内营、国际营、亲子营、教师培训、教育论坛等在内500余种社会实践及素质教育全产品体系，在全国积极开发建设明德未来研学营地，打造安全性高、教育度强的校外营地教育空间和国际青少年交流中心。</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教育科普旅游</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英国优科国际教育（英）</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国际学术交流、国际游学、国际教育</w:t>
            </w: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成立于2003年，前身是英国本土的英国紫铭国际教育(UKZE)机构，是英国文化协会（British Council）认证的国际教育机构，总部设在英国伦敦。拥有40多所英国著名院校的合作伙伴，积极关注中国游学市场，致力于推动文化教育领域的中英合作。</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综合旅游消费</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万达集团</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商业地产、高级酒店、文化旅游、影视、体育</w:t>
            </w: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世界领先的商业地产、体育运动、文旅城、院线等领域投资经营企业，旗下万达广场、万达文化旅游城已成为中国知名品牌。万达文化旅游城属于特大型文化旅游商业综合项目，涵盖购物、影剧院、会展、单体运动娱乐项目、影视主题公园、高端酒店等多元业态。</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PrEx>
        <w:trPr>
          <w:trHeight w:val="2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主题乐园（公园）</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默林娱乐集团（英）</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主题公园、豪华酒店、商务会展、高档餐饮、娱乐休闲</w:t>
            </w: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英国知名的家庭娱乐景点营运公司，全球第二大旅游景点营运公司，具有鲜明独特的国际品牌形象及丰富的主题公园、景点运营经验，旗下有乐高乐园、杜莎夫人蜡像馆、海洋世界、卡斯德尔诺游乐园等多个著名IP。</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主题乐园（公园）</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华特迪士尼（美）</w:t>
            </w:r>
          </w:p>
        </w:tc>
        <w:tc>
          <w:tcPr>
            <w:tcW w:w="202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主题公园、豪华酒店、影视、媒体</w:t>
            </w:r>
          </w:p>
        </w:tc>
        <w:tc>
          <w:tcPr>
            <w:tcW w:w="8102"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全球领先的跨媒体综合娱乐公司，在电影IP基础上衍生出庞大的主题公园、周边产品，目前在全球开设6个度假区</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主题乐园（公园）</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深圳华侨城</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主题乐园建设运营</w:t>
            </w: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中国第一个自主创新的主题乐园连锁品牌，在全国建设运营6个欢乐谷主题乐园，累计接待超1亿人次游客。</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主题乐园和运动公园</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广州长隆集团</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主题乐园建设运营</w:t>
            </w: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国内拥有游乐设施最多的游乐园集团之一，拥有两大成熟可复制的旅游度假区产品体系，国内最知名的主题游乐园之一。</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主题乐园（公园）</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团聚公园集团（西班牙）</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主题乐园、运动公园建设运营</w:t>
            </w: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国际化主题公园运营集团，世界三大区域性休闲乐园运营商之一，在欧洲、中东、美洲、亚洲和大洋洲的14个国家运营64个乐园，其中有22个水上乐园，是世界运营水上乐园数量最多的运营商。代表产品有Dragon Park（下龙湾）等，年接待2亿人次游客。</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主题乐园（公园）</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乐天集团（韩）</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主题公园、酒店、商业中心</w:t>
            </w: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在韩国、中国拥有3个乐天世界主题乐园，长期深耕中国市场，了解中国客群消费习惯。</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主题乐园（公园）</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深圳华强方特</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主题乐园建设运营</w:t>
            </w:r>
          </w:p>
        </w:tc>
        <w:tc>
          <w:tcPr>
            <w:tcW w:w="8102"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国内发展迅速的主题公园连锁品牌，旗下拥有四大品牌24个主题乐园，遍布大江南北，已成为国内大型综合性游乐园的顶级运营商。</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运动主题公园开发运营</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珠海大横琴泛旅游发展有限公司</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旅游资源开发经营，旅游商品开发</w:t>
            </w: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投资运营横琴星奇塔无动力世界，以无动力游乐设施为主要内容，以3-14岁儿童及其家长共同组成的消费者为服务对象，全国规模最大的户外无动力乐园，将亲子户外无动力乐园与露营地融合发展。</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研学基地开发运营</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湖南贝拉小镇旅游管理有限公司</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旅游开发管理，投资运营贝拉小镇</w:t>
            </w: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长沙贝拉小镇包括9个主题性无动力设备园区，配置70余种具有儿童素质训练价值的先进无动力设备，贝拉小镇集户外职业体验教育、户外手工体验教育、儿童综合素质训练教育于一体，是大型户外素质教育亲子乐园。</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研学基地开发运营</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河北富硕农业科技发展有限公司</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农业技术开发、服务和推广，应景南和农业嘉年华</w:t>
            </w: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南和农业嘉年华以现代农业为基础、以科技为支撑、以文化为纽带、以旅游为特色、以乐活为目标，具有旅游观光、科研示范、信息服务等多项功能。园区分为六大核心区域，分别为创意体验馆、高新农业示范区、农业迪士尼乐园、生态养生餐厅、农业采摘区、花海景观区。</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研学基地开发运营</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安徽瑞邦投资控股集团</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农旅项目投资管理，运营燕域田园</w:t>
            </w: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燕域田园是以生态农业为核心，集生态休闲餐饮、亲子游学、会务服务、手工特色产品销售为一体的田园休闲景区，园内有全国领先的可循环生态科技农业示范基地。</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农业公园开发运营</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北京东方园林产业集团</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设计、施工、苗木、养护运营，城市景观生态系统运营商</w:t>
            </w: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无锡田园东方以“美丽乡村”的大环境营造为背景，以“田园生活”为核心，包含现代农业、休闲文旅、田园社区三大板块，打造为以生态高效农业、农林乐园、园艺中心为主体，体现花园式农场运营理念的农林、旅游、度假、文化、居住综合性园区，也是国内首个田园综合体项目。其中拖拉机农场和植物大战僵尸乐园是典型的无动力乐园。</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农业公园开发运营</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日本Mokumuku工作室</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运营了Mokumuku农场</w:t>
            </w: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该农场以亲子教育为出发点，以家庭为主要需求群体，由农户养猪的经营联合体发展而成，以“自然、农业、猪”为主题的工作室农庄。以家庭、学生为主要客群，强调亲近自然及家庭温馨，现已形成集生产、加工、销售、休闲观光农业、网络购物于一体的第六产业化最成功主题农场。</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default" w:ascii="楷体" w:hAnsi="楷体" w:eastAsia="楷体" w:cs="楷体"/>
                <w:b w:val="0"/>
                <w:bCs w:val="0"/>
                <w:i w:val="0"/>
                <w:iCs w:val="0"/>
                <w:color w:val="000000"/>
                <w:kern w:val="2"/>
                <w:sz w:val="24"/>
                <w:szCs w:val="24"/>
                <w:u w:val="none"/>
                <w:lang w:val="en-US" w:eastAsia="zh-CN" w:bidi="ar"/>
              </w:rPr>
              <w:t>小镇和田园综合体建设运营</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伟大集团</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default" w:ascii="楷体" w:hAnsi="楷体" w:eastAsia="楷体" w:cs="楷体"/>
                <w:b w:val="0"/>
                <w:bCs w:val="0"/>
                <w:i w:val="0"/>
                <w:iCs w:val="0"/>
                <w:color w:val="000000"/>
                <w:kern w:val="2"/>
                <w:sz w:val="24"/>
                <w:szCs w:val="24"/>
                <w:u w:val="none"/>
                <w:lang w:val="en-US" w:eastAsia="zh-CN" w:bidi="ar"/>
              </w:rPr>
              <w:t>集文旅康养、小镇产业、地产开发、主题商业于一体的企业集团</w:t>
            </w: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推进</w:t>
            </w:r>
            <w:r>
              <w:rPr>
                <w:rFonts w:hint="default" w:ascii="楷体" w:hAnsi="楷体" w:eastAsia="楷体" w:cs="楷体"/>
                <w:b w:val="0"/>
                <w:bCs w:val="0"/>
                <w:i w:val="0"/>
                <w:iCs w:val="0"/>
                <w:color w:val="000000"/>
                <w:kern w:val="2"/>
                <w:sz w:val="24"/>
                <w:szCs w:val="24"/>
                <w:u w:val="none"/>
                <w:lang w:val="en-US" w:eastAsia="zh-CN" w:bidi="ar"/>
              </w:rPr>
              <w:t>"城乡一体化小镇发展"新模式，拥有伟大小镇、被动式超低能耗建筑、第五代建筑、绿色发展基金等技术能力，在全国打造6个伟大小镇连锁，其中伟大节能房为新三板挂牌企业，正在申报转板，伟大小镇正在申请香港主板上市。</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小镇和田园综合体建设运营</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迪拜卓美亚集团（阿联酋）</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高端区域整体开发运营</w:t>
            </w: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全球最具创新意识的酒店开发经营集团，获得无数国际旅游奖项，代表项目有卓美亚维塔维丽岛等。</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PrEx>
        <w:trPr>
          <w:trHeight w:val="2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小镇和田园综合体建设运营</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中青旅</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综合性旅游开发投资运营</w:t>
            </w: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国内三大旅行社之一，投资运营特色旅游小镇，代表项目有乌镇、古北水镇等。</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小镇和田园综合体建设运营</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中国国旅</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综合性旅游开发投资运营</w:t>
            </w: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国内三大旅行社之一，下设投资集团负责全国特色旅游小镇开发运营。</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小镇和田园综合体建设运营</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港中旅</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综合性旅游开发投资运营</w:t>
            </w: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国内三大旅行社之一，全国范围内投资并运营特色旅游小镇。</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小镇和田园综合体建设运营</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万科、绿城、蓝城、华润等</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房地产开发、特色小镇投资运营</w:t>
            </w: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国内实力雄厚的知名房企，有丰富的特色产业小镇综合开发经验。</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小镇和田园综合体建设运营</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东方园林投资控股集团</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全球最大的生态集团，旗下拥有无锡阳山田园东方项目，是国内落地实践的第一个田园综合体项目。</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小镇和田园综合体建设运营</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海南农垦控股集团</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开发运营桂林洋国家热带农业公园、万宁槟榔城、五指山金沙江茶文化产业园等项目，打造国家热带特色农业示范区。</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小镇和田园综合体建设运营</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黑龙江农垦集团红兴隆管理局</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建成中国首个以现代化大农业为主题的红兴隆中国农业公园，赢得了“世界农都”“全国低碳国土试验区”等名誉。</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小镇和田园综合体建设运营</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广西五彩田园旅游综合开发公司</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旗下五彩田园是国家4A级旅游景区，获得“国家农业产业化示范基地”“全国休闲农业与乡村旅游示范点”等名誉。</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小镇和田园综合体建设运营</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湖北农谷实业</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管理运营屈家岭中国农谷，在农业主导产业发展、农业科技示范、休闲观光农业展示、农耕文化传承、体制机制创新等方面探索实践。</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国内外海钓赛事机构</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国际钓鱼运动协会</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承办的夏威夷国际海钓大赛（HIBT）至今已经成功举办60届</w:t>
            </w: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1939年成立，总部美国佛罗里达，非盈利机构。协会创建了一整套世界通用的垂钓道德规范与规则，通过科学、教育、立法、保存纪录等途径致力于保护鱼类资源，提倡具有责任感、遵守道德规范的垂钓活动，目前有100多个国家300多个国际代表。</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国内外海钓赛事机构</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国际钓鱼运动联合会</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会员制，国际正式钓鱼比赛必须由会员主办，负责比赛所有事项</w:t>
            </w: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1952年成立，总部意大利罗马，是一个国际性的、严谨的、充满各国钓鱼爱好者热情和友谊的组织。各联盟组织每年分别举办的赛事达数十个，由联合会发起的国际垂钓锦标赛已成为垂钓行业的奥运会。</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国内外海钓赛事机构</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FLW钓鱼协会</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承办世界户外钓鱼大赛（巴斯鲈钓大赛），举办一系列钓鱼锦标赛</w:t>
            </w: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由世界最大游艇制造公司Genmar的拥有者欧文·雅各布斯发起和组织，总部美国肯塔基州，该协会在美国组织一系列高水平垂钓赛事，目前拥有150名专业选手和众多业余选手。</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国内外海钓赛事机构</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国际飞钓运动组织</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FIPS-Mouche世界飞钓大赛</w:t>
            </w: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国际飞钓运动组织是国际钓鱼运动联合会的下设组织，总部设在芬兰。该组织的宗旨是推广飞钓，推动飞钓在世界各地的发展，并促进各国友谊。</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休闲渔业或渔业特色小镇运营机构</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舟山远洋渔业小镇</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大力发展海洋健康制造业，积极培育远洋渔业的总部服务经济和文化休闲经济功能</w:t>
            </w: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位于舟山国家远洋渔业基地，围绕“海洋健康制造”主题引进战略运营商，发展集科研、生产、综合物流于一体的海洋健康食品、新型海洋保健品、远洋生物医药等海洋健康产业，深度挖掘远洋航运、远洋生物、远洋风情、远洋捕捞、加工等远洋文化内涵，大力发展主题类海洋文化旅游业，着力打造健康人居社区。</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休闲渔业或渔业特色小镇运营机构</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美国旧金山渔人码头</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联合周边景点，利用生态人文资源商业包装，独具特色休闲渔业区</w:t>
            </w: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渔人码头起源于美国加州旧金山，原是意大利渔民聚集的渔港，后演变成观光景点，渔人码头是一种生活模式，依水而成的码头带动了周边消费，自然形成观光带消费环境，以天然环境缔造休闲观光、娱乐、购物为循环消费情景的生活模式。</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休闲渔业或渔业特色小镇运营机构</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日本水产小镇境港市</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日本最大渔业城市、天然港口、渔业基地</w:t>
            </w: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境港有丰富的渔业文化，这里利用现有的资源开展游客喜欢的渔港节、水产节、水产批发市场、海港温泉、还有小朋友喜欢的海与民俗纪念馆。这是也是动漫大师水木茂的故乡（人文文化利用），有水木茂纪念馆、鬼太郎街等等，都是利用了当地特色文化开展游客喜欢的旅游项目。</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休闲渔业或渔业特色小镇运营机构</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象山县石浦渔港古城运营方</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渔港水域面积和水深，可泊万艘渔船，行驶万吨海轮</w:t>
            </w: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600余年历史的古老渔港，又名荔港，有历史有古城，东南沿海著名中心渔港、全国四大渔港之一，国家二类开放口岸，全国渔业第一镇、浙江省首批历史文化名镇，有国内最大的水产品交易市场之一的中国水产城。</w:t>
            </w:r>
          </w:p>
        </w:tc>
      </w:tr>
    </w:tbl>
    <w:p>
      <w:pPr>
        <w:rPr>
          <w:rFonts w:hint="eastAsia"/>
          <w:lang w:val="en-US" w:eastAsia="zh-CN"/>
        </w:rPr>
      </w:pPr>
      <w:bookmarkStart w:id="540" w:name="_Toc18817"/>
      <w:bookmarkStart w:id="541" w:name="_Toc13151"/>
      <w:bookmarkStart w:id="542" w:name="_Toc30434"/>
      <w:r>
        <w:rPr>
          <w:rFonts w:hint="eastAsia"/>
          <w:lang w:val="en-US" w:eastAsia="zh-CN"/>
        </w:rPr>
        <w:br w:type="page"/>
      </w:r>
    </w:p>
    <w:p>
      <w:pPr>
        <w:pStyle w:val="4"/>
        <w:bidi w:val="0"/>
        <w:rPr>
          <w:rFonts w:hint="default"/>
          <w:lang w:val="en-US" w:eastAsia="zh-CN"/>
        </w:rPr>
      </w:pPr>
      <w:r>
        <w:rPr>
          <w:rFonts w:hint="eastAsia"/>
          <w:lang w:val="en-US" w:eastAsia="zh-CN"/>
        </w:rPr>
        <w:t>二、商贸物流业招商建议</w:t>
      </w:r>
      <w:bookmarkEnd w:id="540"/>
      <w:bookmarkEnd w:id="541"/>
      <w:bookmarkEnd w:id="542"/>
    </w:p>
    <w:p>
      <w:pPr>
        <w:bidi w:val="0"/>
        <w:spacing w:line="240" w:lineRule="auto"/>
        <w:ind w:firstLine="0" w:firstLineChars="0"/>
        <w:jc w:val="center"/>
        <w:rPr>
          <w:rFonts w:hint="eastAsia"/>
          <w:b w:val="0"/>
          <w:bCs w:val="0"/>
          <w:lang w:val="en-US" w:eastAsia="zh-CN"/>
        </w:rPr>
      </w:pPr>
      <w:r>
        <w:rPr>
          <w:rFonts w:hint="eastAsia" w:ascii="楷体" w:hAnsi="楷体" w:eastAsia="楷体" w:cs="楷体"/>
          <w:b w:val="0"/>
          <w:bCs w:val="0"/>
          <w:sz w:val="28"/>
          <w:szCs w:val="28"/>
          <w:lang w:val="en-US" w:eastAsia="zh-CN"/>
        </w:rPr>
        <w:t>表34  商贸物流业招商建议</w:t>
      </w:r>
    </w:p>
    <w:tbl>
      <w:tblPr>
        <w:tblStyle w:val="18"/>
        <w:tblW w:w="5000" w:type="pct"/>
        <w:jc w:val="center"/>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24"/>
        <w:gridCol w:w="2024"/>
        <w:gridCol w:w="2024"/>
        <w:gridCol w:w="8102"/>
      </w:tblGrid>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tblHeader/>
          <w:jc w:val="center"/>
        </w:trPr>
        <w:tc>
          <w:tcPr>
            <w:tcW w:w="202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领域方向</w:t>
            </w:r>
          </w:p>
        </w:tc>
        <w:tc>
          <w:tcPr>
            <w:tcW w:w="202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企业/机构</w:t>
            </w:r>
          </w:p>
        </w:tc>
        <w:tc>
          <w:tcPr>
            <w:tcW w:w="202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业务范围</w:t>
            </w:r>
          </w:p>
        </w:tc>
        <w:tc>
          <w:tcPr>
            <w:tcW w:w="8102"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简介</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电子商务（物流）</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京东集团</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电商平台，电商销售，跨境电商，物流</w:t>
            </w: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中国最大的自营式电商企业，全球物流领先企业，全国自建仓配物流网络，为商家提供一体化物流解决方案，提供仓储一体、快递、冷链、大件、物流云服务，计划在崖州中心渔港建设全球水产品交易仓储物流中心。</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电子商务（物流）</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天猫、盒马鲜生</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电商平台、电商销售、跨境电商、物流</w:t>
            </w: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中国最大的B2C电商平台之一和线上线下生鲜食品电商，最早的电商全生态互联网公司。</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电子商务（物流）</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苏宁集团、苏宁云商集团</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电商平台，电商销售，物流</w:t>
            </w: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中国最大零售商和B2C电商平台之一，实体与线上相结合，第三方、第四方物流方案提供商，涉及供应物流、仓配物流、揽件速递、冷链物流及跨境物流等。</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电子商务</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亚马逊</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电商平台、跨境电商</w:t>
            </w: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美国最大的电商公司，在全球主要国家同步开展电商平台运营，是中国产品销往全球各国的重要电商平台。</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供应链金融</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蚂蚁金服</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互联网金融</w:t>
            </w: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阿里巴巴旗下，专注服务小微企业与普通消费者的互联网金融服务公司。</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供应链金融</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京东金融</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互联网金融</w:t>
            </w: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国内领先科技金融公司，提供多种供应链金融服务。</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供应链金融</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怡亚通</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供应链金融</w:t>
            </w: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国内第一家上市的供应链服务企业，依托供应链网络融合金融产品，提供供应链金融服务。</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现代农业综合服务</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东方集团</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金融、现代农业及健康食品及非农方向</w:t>
            </w: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寻找高毛利、高附加值、高技术含量的细分领域农业项目和农业资源，通过投资、并购、合资、合作等多种方式，打造全国知名品牌。</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农副产品贸易批发物流服务</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中国农产品交易有限公司</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农业贸易、品牌推广</w:t>
            </w: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以投资、开发、建设、经营和管理农副产品批发市场为核心业务，以全资、控股或参股方式建设和营运大型农副产品综合批发市场，建成立足华中、纵贯华南华北、横跨华东大西南的全国性连锁批发市场体系。</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田园综合体</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新希望集团有限公司</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农牧与食品、化工与资源、地产与基础设施、金融与投资</w:t>
            </w: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中国农业产业化国家级重点龙头企业，中国最大的饲料生产企业，中国最大的农牧企业之一。新希望集团董事长刘永好表示“我们正在海南多个市县进行考察，准备在海南再做些投资。”“今后，我们将更多在田园综合体建设、一二三产业联动、推动‘农业+特色小镇+休闲度假+养生’发展上着力。”</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海洋渔业综合经营</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辽渔集团远洋食品</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水产品加工、冷冻、冷藏；鱼粉、鱼油加工；食品、副食品、饮料等销售；水产品收购</w:t>
            </w: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成立于1945年，企业资产总值达63.5亿元，设有分工资、全资子公司和控股参股中外合资公司30余家，已形成集海洋捕捞、港口航运、水产品交易、水产品加工、冷藏、国内外营销、船舶修造、地产开发、物资供应等多产业多元化的经营格局，国内同行业最具综合规模优势、产业链条最为完整的现代化渔业基地。</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海洋渔业综合经营</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中国水产舟山海洋渔业</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水产加工、速冻食品、其他水产加工品、罐头制造销售</w:t>
            </w: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成立于1962年，中国农业发展集团有限公司的重要成员企业，是一家集远洋渔业、水产加工业、渔港物流业、房地产和后勤服务为一体的大型国有企业，下属10个二级单位，2家控股公司和3家参股公司，总资产19亿。</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海洋渔业综合经营</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陆龙兄弟海产食品</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食品批发、零售；海水产品收购、加工、批发、零售等</w:t>
            </w: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中国海产领军品牌，从事开发、制造并销售六大系列数百个品种的海产食品，30余年专注做海产，涌现无数经典之作，成就了中国最大的全品类海产食品供货商，是目前行业内资证最全、等级最高的企业。</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城市多元综合体</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蛇口招商花园城</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城市综合体开发运营</w:t>
            </w: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蛇口招商集团下的花园系产品，以建设运营大型城市综合体为主，成品体系成熟，与一二线购物餐饮娱乐品牌形成稳定合作关系。</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城市多元综合体</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万达广场</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城市综合体开发运营</w:t>
            </w: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世界领先的商业地产、院线等领域投资经营企业，涵盖购物、餐饮、影院、体验、酒店、公寓、SOHO、运动娱乐等多元业态。</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建材家居市场</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海南万佳实业</w:t>
            </w:r>
          </w:p>
        </w:tc>
        <w:tc>
          <w:tcPr>
            <w:tcW w:w="2024"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建设、运营建材家居市场</w:t>
            </w:r>
          </w:p>
        </w:tc>
        <w:tc>
          <w:tcPr>
            <w:tcW w:w="810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海南最大的本土建材家居市场运营主体，熟悉海南建材家居市场，与岛内家居建材代理商形成稳定合作关系。</w:t>
            </w:r>
          </w:p>
        </w:tc>
      </w:tr>
    </w:tbl>
    <w:p>
      <w:pPr>
        <w:rPr>
          <w:rFonts w:hint="default"/>
          <w:lang w:val="en-US" w:eastAsia="zh-CN"/>
        </w:rPr>
      </w:pPr>
    </w:p>
    <w:p>
      <w:pPr>
        <w:rPr>
          <w:rFonts w:hint="default"/>
          <w:lang w:val="en-US" w:eastAsia="zh-CN"/>
        </w:rPr>
        <w:sectPr>
          <w:footnotePr>
            <w:numFmt w:val="decimalEnclosedCircleChinese"/>
            <w:numRestart w:val="eachPage"/>
          </w:footnotePr>
          <w:pgSz w:w="16838" w:h="11906" w:orient="landscape"/>
          <w:pgMar w:top="1800" w:right="1440" w:bottom="1800" w:left="1440" w:header="851" w:footer="992" w:gutter="0"/>
          <w:cols w:space="425" w:num="1"/>
          <w:docGrid w:type="lines" w:linePitch="312" w:charSpace="0"/>
        </w:sectPr>
      </w:pPr>
    </w:p>
    <w:p>
      <w:pPr>
        <w:rPr>
          <w:rFonts w:hint="default"/>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pStyle w:val="2"/>
        <w:bidi w:val="0"/>
        <w:rPr>
          <w:rFonts w:hint="default"/>
          <w:lang w:val="en-US" w:eastAsia="zh-CN"/>
        </w:rPr>
      </w:pPr>
      <w:bookmarkStart w:id="543" w:name="_Toc25974"/>
      <w:bookmarkStart w:id="544" w:name="_Toc25914"/>
      <w:r>
        <w:rPr>
          <w:rFonts w:hint="eastAsia"/>
          <w:lang w:val="en-US" w:eastAsia="zh-CN"/>
        </w:rPr>
        <w:t>第六章  重点项目谋划</w:t>
      </w:r>
      <w:bookmarkEnd w:id="543"/>
      <w:bookmarkEnd w:id="544"/>
    </w:p>
    <w:p>
      <w:pPr>
        <w:ind w:left="0" w:leftChars="0" w:firstLine="0" w:firstLineChars="0"/>
        <w:jc w:val="both"/>
        <w:rPr>
          <w:rFonts w:hint="eastAsia" w:ascii="黑体" w:hAnsi="黑体" w:eastAsia="黑体" w:cs="黑体"/>
          <w:lang w:val="en-US" w:eastAsia="zh-CN"/>
        </w:rPr>
      </w:pPr>
    </w:p>
    <w:p>
      <w:pPr>
        <w:ind w:left="0" w:leftChars="0" w:firstLine="0" w:firstLineChars="0"/>
        <w:jc w:val="both"/>
        <w:rPr>
          <w:rFonts w:hint="default" w:ascii="黑体" w:hAnsi="黑体" w:eastAsia="黑体" w:cs="黑体"/>
          <w:lang w:val="en-US" w:eastAsia="zh-CN"/>
        </w:rPr>
      </w:pPr>
    </w:p>
    <w:p>
      <w:pPr>
        <w:ind w:left="0" w:leftChars="0" w:firstLine="0" w:firstLineChars="0"/>
        <w:jc w:val="both"/>
        <w:rPr>
          <w:rFonts w:hint="eastAsia" w:ascii="黑体" w:hAnsi="黑体" w:eastAsia="黑体" w:cs="黑体"/>
          <w:lang w:val="en-US" w:eastAsia="zh-CN"/>
        </w:rPr>
      </w:pPr>
    </w:p>
    <w:p>
      <w:pPr>
        <w:rPr>
          <w:rFonts w:hint="eastAsia"/>
          <w:lang w:val="en-US" w:eastAsia="zh-CN"/>
        </w:rPr>
      </w:pPr>
      <w:r>
        <w:rPr>
          <w:rFonts w:hint="eastAsia" w:ascii="仿宋_GB2312" w:eastAsia="仿宋_GB2312"/>
          <w:lang w:val="en-US" w:eastAsia="zh-CN"/>
        </w:rPr>
        <w:br w:type="page"/>
      </w:r>
    </w:p>
    <w:p>
      <w:pPr>
        <w:pStyle w:val="4"/>
        <w:numPr>
          <w:ilvl w:val="0"/>
          <w:numId w:val="54"/>
        </w:numPr>
        <w:bidi w:val="0"/>
        <w:rPr>
          <w:rFonts w:hint="default"/>
          <w:lang w:val="en-US" w:eastAsia="zh-CN"/>
        </w:rPr>
      </w:pPr>
      <w:bookmarkStart w:id="545" w:name="_Toc28740"/>
      <w:bookmarkStart w:id="546" w:name="_Toc29093"/>
      <w:r>
        <w:rPr>
          <w:rFonts w:hint="eastAsia"/>
          <w:lang w:val="en-US" w:eastAsia="zh-CN"/>
        </w:rPr>
        <w:t>国家老龄委中国长寿康养示范基地项目</w:t>
      </w:r>
      <w:bookmarkEnd w:id="545"/>
    </w:p>
    <w:p>
      <w:pPr>
        <w:pStyle w:val="5"/>
        <w:bidi w:val="0"/>
        <w:rPr>
          <w:rFonts w:hint="eastAsia"/>
          <w:lang w:val="en-US" w:eastAsia="zh-CN"/>
        </w:rPr>
      </w:pPr>
      <w:bookmarkStart w:id="547" w:name="_Toc7115"/>
      <w:r>
        <w:rPr>
          <w:rFonts w:hint="eastAsia"/>
          <w:lang w:val="en-US" w:eastAsia="zh-CN"/>
        </w:rPr>
        <w:t>1.项目概况</w:t>
      </w:r>
      <w:bookmarkEnd w:id="547"/>
    </w:p>
    <w:p>
      <w:pPr>
        <w:rPr>
          <w:rFonts w:hint="eastAsia"/>
          <w:lang w:val="en-US" w:eastAsia="zh-CN"/>
        </w:rPr>
      </w:pPr>
      <w:r>
        <w:rPr>
          <w:rFonts w:hint="eastAsia"/>
          <w:lang w:val="en-US" w:eastAsia="zh-CN"/>
        </w:rPr>
        <w:t>国家</w:t>
      </w:r>
      <w:r>
        <w:rPr>
          <w:rFonts w:hint="default"/>
          <w:lang w:val="en-US" w:eastAsia="zh-CN"/>
        </w:rPr>
        <w:t>老龄委牵头</w:t>
      </w:r>
      <w:r>
        <w:rPr>
          <w:rFonts w:hint="eastAsia"/>
          <w:lang w:val="en-US" w:eastAsia="zh-CN"/>
        </w:rPr>
        <w:t>支持的康养示范基地项目，“健康中国2030”行动计划下的重点推进项目，在全国典型区域示范开展。联合国家</w:t>
      </w:r>
      <w:r>
        <w:rPr>
          <w:rFonts w:hint="default"/>
          <w:lang w:val="en-US" w:eastAsia="zh-CN"/>
        </w:rPr>
        <w:t>卫健委下属远程医疗中心、国药控股</w:t>
      </w:r>
      <w:r>
        <w:rPr>
          <w:rFonts w:hint="eastAsia"/>
          <w:lang w:val="en-US" w:eastAsia="zh-CN"/>
        </w:rPr>
        <w:t>集团、地方大中型</w:t>
      </w:r>
      <w:r>
        <w:rPr>
          <w:rFonts w:hint="default"/>
          <w:lang w:val="en-US" w:eastAsia="zh-CN"/>
        </w:rPr>
        <w:t>医院，</w:t>
      </w:r>
      <w:r>
        <w:rPr>
          <w:rFonts w:hint="eastAsia"/>
          <w:lang w:val="en-US" w:eastAsia="zh-CN"/>
        </w:rPr>
        <w:t>打造“医疗+养老﹢健康=综合示范区”模式的项目功能定位。</w:t>
      </w:r>
      <w:r>
        <w:rPr>
          <w:rFonts w:hint="default"/>
          <w:lang w:val="en-US" w:eastAsia="zh-CN"/>
        </w:rPr>
        <w:t>功能细分</w:t>
      </w:r>
      <w:r>
        <w:rPr>
          <w:rFonts w:hint="eastAsia"/>
          <w:lang w:val="en-US" w:eastAsia="zh-CN"/>
        </w:rPr>
        <w:t>包括</w:t>
      </w:r>
      <w:r>
        <w:rPr>
          <w:rFonts w:hint="default"/>
          <w:lang w:val="en-US" w:eastAsia="zh-CN"/>
        </w:rPr>
        <w:t>健康疗养、医疗保健、持续照护、运动</w:t>
      </w:r>
      <w:r>
        <w:rPr>
          <w:rFonts w:hint="eastAsia"/>
          <w:lang w:val="en-US" w:eastAsia="zh-CN"/>
        </w:rPr>
        <w:t>康复</w:t>
      </w:r>
      <w:r>
        <w:rPr>
          <w:rFonts w:hint="default"/>
          <w:lang w:val="en-US" w:eastAsia="zh-CN"/>
        </w:rPr>
        <w:t>、教育传播、科技研发</w:t>
      </w:r>
      <w:r>
        <w:rPr>
          <w:rFonts w:hint="eastAsia"/>
          <w:lang w:val="en-US" w:eastAsia="zh-CN"/>
        </w:rPr>
        <w:t>、</w:t>
      </w:r>
      <w:r>
        <w:rPr>
          <w:rFonts w:hint="default"/>
          <w:lang w:val="en-US" w:eastAsia="zh-CN"/>
        </w:rPr>
        <w:t>度假休闲、综合服务及特殊事件处理</w:t>
      </w:r>
      <w:r>
        <w:rPr>
          <w:rFonts w:hint="eastAsia"/>
          <w:lang w:val="en-US" w:eastAsia="zh-CN"/>
        </w:rPr>
        <w:t>等。</w:t>
      </w:r>
    </w:p>
    <w:p>
      <w:pPr>
        <w:pStyle w:val="5"/>
        <w:bidi w:val="0"/>
        <w:rPr>
          <w:rFonts w:hint="eastAsia"/>
          <w:lang w:val="en-US" w:eastAsia="zh-CN"/>
        </w:rPr>
      </w:pPr>
      <w:bookmarkStart w:id="548" w:name="_Toc26614"/>
      <w:r>
        <w:rPr>
          <w:rFonts w:hint="eastAsia"/>
          <w:lang w:val="en-US" w:eastAsia="zh-CN"/>
        </w:rPr>
        <w:t>2.已有案例借鉴</w:t>
      </w:r>
      <w:bookmarkEnd w:id="548"/>
    </w:p>
    <w:p>
      <w:pPr>
        <w:rPr>
          <w:rFonts w:hint="default"/>
          <w:lang w:val="en-US" w:eastAsia="zh-CN"/>
        </w:rPr>
      </w:pPr>
      <w:r>
        <w:rPr>
          <w:rFonts w:hint="eastAsia"/>
          <w:lang w:val="en-US" w:eastAsia="zh-CN"/>
        </w:rPr>
        <w:t>福建省宁德市霞浦县中国长寿康养示范基地引入国药控股战略投资方，整合霞浦县总医院（入股收购模式），以“疗”为主、以“医”为辅，以“养”为主、以“治”为辅，坚持走“医养结合”的康养模式。霞浦康养项目围绕霞浦县总医院拓展建设，包括医院、康复、养老、酒店综合服务、教育培训、远期预留等功能板块，占地200亩，容积率小于2.0，建筑密度30%，建筑面积20万平方米，总投资约20亿元。</w:t>
      </w:r>
    </w:p>
    <w:p>
      <w:pPr>
        <w:pStyle w:val="5"/>
        <w:bidi w:val="0"/>
        <w:rPr>
          <w:rFonts w:hint="default"/>
          <w:lang w:val="en-US" w:eastAsia="zh-CN"/>
        </w:rPr>
      </w:pPr>
      <w:bookmarkStart w:id="549" w:name="_Toc14629"/>
      <w:r>
        <w:rPr>
          <w:rFonts w:hint="eastAsia"/>
          <w:lang w:val="en-US" w:eastAsia="zh-CN"/>
        </w:rPr>
        <w:t>3.崖州康养项目谋划建议</w:t>
      </w:r>
      <w:bookmarkEnd w:id="549"/>
    </w:p>
    <w:p>
      <w:pPr>
        <w:rPr>
          <w:rFonts w:hint="eastAsia"/>
          <w:lang w:val="en-US" w:eastAsia="zh-CN"/>
        </w:rPr>
      </w:pPr>
      <w:r>
        <w:rPr>
          <w:rFonts w:hint="eastAsia"/>
          <w:lang w:val="en-US" w:eastAsia="zh-CN"/>
        </w:rPr>
        <w:t>崖州区可以引入中国长寿康养示范基地，申请国家老龄委挂牌支持，引入国字号医药康养机构投资，利用区内农场国有土地资源，推动与国康医院建立医养结合发展模式。功能包括长寿养生、气候诊疗、健康康复、中医养生调理、远程医疗（与老龄委旗下成员医院建立远程医学中心）、数字健康管理、老年大学、康养设施器械推介等。建议项目占地面积100亩左右，建筑面积20万平方米，总投资8亿元。</w:t>
      </w:r>
    </w:p>
    <w:p>
      <w:pPr>
        <w:ind w:left="0" w:leftChars="0" w:firstLine="0" w:firstLineChars="0"/>
        <w:rPr>
          <w:rFonts w:hint="eastAsia"/>
          <w:lang w:val="en-US" w:eastAsia="zh-CN"/>
        </w:rPr>
      </w:pPr>
      <w:r>
        <w:drawing>
          <wp:inline distT="0" distB="0" distL="114300" distR="114300">
            <wp:extent cx="4857115" cy="2807335"/>
            <wp:effectExtent l="0" t="0" r="635" b="12065"/>
            <wp:docPr id="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
                    <pic:cNvPicPr>
                      <a:picLocks noChangeAspect="1"/>
                    </pic:cNvPicPr>
                  </pic:nvPicPr>
                  <pic:blipFill>
                    <a:blip r:embed="rId24"/>
                    <a:stretch>
                      <a:fillRect/>
                    </a:stretch>
                  </pic:blipFill>
                  <pic:spPr>
                    <a:xfrm>
                      <a:off x="0" y="0"/>
                      <a:ext cx="4857115" cy="2807335"/>
                    </a:xfrm>
                    <a:prstGeom prst="rect">
                      <a:avLst/>
                    </a:prstGeom>
                    <a:noFill/>
                    <a:ln>
                      <a:noFill/>
                    </a:ln>
                  </pic:spPr>
                </pic:pic>
              </a:graphicData>
            </a:graphic>
          </wp:inline>
        </w:drawing>
      </w:r>
    </w:p>
    <w:p>
      <w:pPr>
        <w:ind w:left="0" w:leftChars="0" w:firstLine="0" w:firstLineChars="0"/>
        <w:jc w:val="center"/>
        <w:rPr>
          <w:rFonts w:hint="default" w:ascii="楷体" w:hAnsi="楷体" w:eastAsia="楷体" w:cs="楷体"/>
          <w:b w:val="0"/>
          <w:bCs w:val="0"/>
          <w:sz w:val="28"/>
          <w:szCs w:val="28"/>
          <w:highlight w:val="none"/>
          <w:lang w:val="en-US" w:eastAsia="zh-CN"/>
        </w:rPr>
      </w:pPr>
      <w:r>
        <w:rPr>
          <w:rFonts w:hint="eastAsia" w:ascii="楷体" w:hAnsi="楷体" w:eastAsia="楷体" w:cs="楷体"/>
          <w:b w:val="0"/>
          <w:bCs w:val="0"/>
          <w:sz w:val="28"/>
          <w:szCs w:val="28"/>
          <w:highlight w:val="none"/>
          <w:lang w:val="en-US" w:eastAsia="zh-CN"/>
        </w:rPr>
        <w:t>图8  康养项目发展路径</w:t>
      </w:r>
    </w:p>
    <w:p>
      <w:pPr>
        <w:ind w:left="0" w:leftChars="0" w:firstLine="0" w:firstLineChars="0"/>
      </w:pPr>
      <w:r>
        <w:drawing>
          <wp:inline distT="0" distB="0" distL="114300" distR="114300">
            <wp:extent cx="5271770" cy="2915920"/>
            <wp:effectExtent l="0" t="0" r="0" b="0"/>
            <wp:docPr id="3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
                    <pic:cNvPicPr>
                      <a:picLocks noChangeAspect="1"/>
                    </pic:cNvPicPr>
                  </pic:nvPicPr>
                  <pic:blipFill>
                    <a:blip r:embed="rId25"/>
                    <a:srcRect t="12477" b="9362"/>
                    <a:stretch>
                      <a:fillRect/>
                    </a:stretch>
                  </pic:blipFill>
                  <pic:spPr>
                    <a:xfrm>
                      <a:off x="0" y="0"/>
                      <a:ext cx="5271770" cy="2915920"/>
                    </a:xfrm>
                    <a:prstGeom prst="rect">
                      <a:avLst/>
                    </a:prstGeom>
                    <a:noFill/>
                    <a:ln>
                      <a:noFill/>
                    </a:ln>
                  </pic:spPr>
                </pic:pic>
              </a:graphicData>
            </a:graphic>
          </wp:inline>
        </w:drawing>
      </w:r>
    </w:p>
    <w:p>
      <w:pPr>
        <w:ind w:left="0" w:leftChars="0" w:firstLine="0" w:firstLineChars="0"/>
        <w:jc w:val="center"/>
        <w:rPr>
          <w:rFonts w:hint="default"/>
          <w:lang w:val="en-US" w:eastAsia="zh-CN"/>
        </w:rPr>
      </w:pPr>
      <w:r>
        <w:rPr>
          <w:rFonts w:hint="eastAsia" w:ascii="楷体" w:hAnsi="楷体" w:eastAsia="楷体" w:cs="楷体"/>
          <w:b w:val="0"/>
          <w:bCs w:val="0"/>
          <w:sz w:val="28"/>
          <w:szCs w:val="28"/>
          <w:highlight w:val="none"/>
          <w:lang w:val="en-US" w:eastAsia="zh-CN"/>
        </w:rPr>
        <w:t>图9  康养项目功能布局意向（概念意向图）</w:t>
      </w:r>
    </w:p>
    <w:p>
      <w:pPr>
        <w:pStyle w:val="4"/>
        <w:numPr>
          <w:ilvl w:val="0"/>
          <w:numId w:val="54"/>
        </w:numPr>
        <w:bidi w:val="0"/>
        <w:rPr>
          <w:rFonts w:hint="default"/>
          <w:lang w:val="en-US" w:eastAsia="zh-CN"/>
        </w:rPr>
      </w:pPr>
      <w:bookmarkStart w:id="550" w:name="_Toc32437"/>
      <w:r>
        <w:rPr>
          <w:rFonts w:hint="default"/>
          <w:lang w:val="en-US" w:eastAsia="zh-CN"/>
        </w:rPr>
        <w:t>哈佛中国国际医疗中心</w:t>
      </w:r>
      <w:r>
        <w:rPr>
          <w:rFonts w:hint="eastAsia"/>
          <w:lang w:val="en-US" w:eastAsia="zh-CN"/>
        </w:rPr>
        <w:t>（康复中心）</w:t>
      </w:r>
      <w:r>
        <w:rPr>
          <w:rFonts w:hint="default"/>
          <w:lang w:val="en-US" w:eastAsia="zh-CN"/>
        </w:rPr>
        <w:t>项目</w:t>
      </w:r>
      <w:bookmarkEnd w:id="550"/>
    </w:p>
    <w:p>
      <w:pPr>
        <w:pStyle w:val="5"/>
        <w:bidi w:val="0"/>
        <w:rPr>
          <w:rFonts w:hint="eastAsia"/>
          <w:lang w:val="en-US" w:eastAsia="zh-CN"/>
        </w:rPr>
      </w:pPr>
      <w:bookmarkStart w:id="551" w:name="_Toc13339"/>
      <w:r>
        <w:rPr>
          <w:rFonts w:hint="eastAsia"/>
          <w:lang w:val="en-US" w:eastAsia="zh-CN"/>
        </w:rPr>
        <w:t>1.项目概况</w:t>
      </w:r>
      <w:bookmarkEnd w:id="551"/>
    </w:p>
    <w:p>
      <w:pPr>
        <w:rPr>
          <w:rFonts w:hint="eastAsia"/>
          <w:lang w:val="en-US" w:eastAsia="zh-CN"/>
        </w:rPr>
      </w:pPr>
      <w:r>
        <w:rPr>
          <w:rFonts w:hint="default"/>
          <w:lang w:val="en-US" w:eastAsia="zh-CN"/>
        </w:rPr>
        <w:t>哈佛中国国际医疗中心</w:t>
      </w:r>
      <w:r>
        <w:rPr>
          <w:rFonts w:hint="eastAsia"/>
          <w:lang w:val="en-US" w:eastAsia="zh-CN"/>
        </w:rPr>
        <w:t>是中美医疗发展基金会旗下重点推进的项目，关注慢性病、术后康复、放化疗康复、运动损伤康复、残障康复等领域。基金会战略合作伙伴包括哈佛大学医学院、麻省州立大学医院、波士顿大学医院，核心团队由在哈佛大学、哈佛系统医院和研究所的医生、教授、生物医药及生物科技等领域专家组成，国内战略合作伙伴包括多家知名医科大学、三甲医院以及国家卫计委、中国医师协会、中国康复医学会等。新冠疫情发生前，中美医疗发展基金会曾在美国接待海南省政府主要领导委托的项目考察团。目前，该基金会期望在海南实施中国第一家哈佛中国国际医疗中心（康复中心）项目。</w:t>
      </w:r>
    </w:p>
    <w:p>
      <w:pPr>
        <w:pStyle w:val="5"/>
        <w:bidi w:val="0"/>
        <w:rPr>
          <w:rFonts w:hint="default"/>
          <w:lang w:val="en-US" w:eastAsia="zh-CN"/>
        </w:rPr>
      </w:pPr>
      <w:bookmarkStart w:id="552" w:name="_Toc11604"/>
      <w:r>
        <w:rPr>
          <w:rFonts w:hint="eastAsia"/>
          <w:lang w:val="en-US" w:eastAsia="zh-CN"/>
        </w:rPr>
        <w:t>2.发展模式</w:t>
      </w:r>
      <w:bookmarkEnd w:id="552"/>
    </w:p>
    <w:p>
      <w:pPr>
        <w:rPr>
          <w:rFonts w:hint="eastAsia"/>
          <w:lang w:val="en-US" w:eastAsia="zh-CN"/>
        </w:rPr>
      </w:pPr>
      <w:r>
        <w:rPr>
          <w:rFonts w:hint="eastAsia"/>
          <w:lang w:val="en-US" w:eastAsia="zh-CN"/>
        </w:rPr>
        <w:t>打造“临床医疗+教学培训+研发创新”的“医、教、研”三位一体康复医疗产业闭环。临床医疗引入哈佛大学附属教学医院的整体康复医学体系，带领一家中国本土医院医疗资源进入，落地具有国际领先水平的康复医院。教学培训引入哈佛斯伯丁资源，带领一家中国本土医科学院进入，开展国际课程培训工作。研发创新推进康复技术创新，用好自贸港政策率先引入国际先进的康复技术、设备、耗材等，开展本土化应用。</w:t>
      </w:r>
    </w:p>
    <w:p>
      <w:pPr>
        <w:rPr>
          <w:rFonts w:hint="default"/>
          <w:lang w:val="en-US" w:eastAsia="zh-CN"/>
        </w:rPr>
      </w:pPr>
      <w:r>
        <w:rPr>
          <w:rFonts w:hint="eastAsia"/>
          <w:lang w:val="en-US" w:eastAsia="zh-CN"/>
        </w:rPr>
        <w:t>项目整体包慢性病、术后康复、放化疗康复、运动损伤康复、残障康复等板块，预计总占地面积150亩，根据发展时序阶段性推进。</w:t>
      </w:r>
    </w:p>
    <w:p>
      <w:pPr>
        <w:ind w:left="0" w:leftChars="0" w:firstLine="0" w:firstLineChars="0"/>
        <w:jc w:val="center"/>
        <w:rPr>
          <w:rFonts w:hint="default"/>
          <w:lang w:val="en-US" w:eastAsia="zh-CN"/>
        </w:rPr>
      </w:pPr>
      <w:r>
        <w:drawing>
          <wp:inline distT="0" distB="0" distL="114300" distR="114300">
            <wp:extent cx="4662170" cy="4549775"/>
            <wp:effectExtent l="0" t="0" r="5080" b="3175"/>
            <wp:docPr id="3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4"/>
                    <pic:cNvPicPr>
                      <a:picLocks noChangeAspect="1"/>
                    </pic:cNvPicPr>
                  </pic:nvPicPr>
                  <pic:blipFill>
                    <a:blip r:embed="rId26"/>
                    <a:srcRect l="665" t="55" r="1702" b="1821"/>
                    <a:stretch>
                      <a:fillRect/>
                    </a:stretch>
                  </pic:blipFill>
                  <pic:spPr>
                    <a:xfrm>
                      <a:off x="0" y="0"/>
                      <a:ext cx="4662170" cy="4549775"/>
                    </a:xfrm>
                    <a:prstGeom prst="rect">
                      <a:avLst/>
                    </a:prstGeom>
                    <a:noFill/>
                    <a:ln>
                      <a:noFill/>
                    </a:ln>
                  </pic:spPr>
                </pic:pic>
              </a:graphicData>
            </a:graphic>
          </wp:inline>
        </w:drawing>
      </w:r>
    </w:p>
    <w:p>
      <w:pPr>
        <w:ind w:left="0" w:leftChars="0" w:firstLine="0" w:firstLineChars="0"/>
        <w:jc w:val="center"/>
        <w:rPr>
          <w:rFonts w:hint="default"/>
          <w:lang w:val="en-US" w:eastAsia="zh-CN"/>
        </w:rPr>
      </w:pPr>
      <w:r>
        <w:rPr>
          <w:rFonts w:hint="eastAsia" w:ascii="楷体" w:hAnsi="楷体" w:eastAsia="楷体" w:cs="楷体"/>
          <w:b w:val="0"/>
          <w:bCs w:val="0"/>
          <w:sz w:val="28"/>
          <w:szCs w:val="28"/>
          <w:highlight w:val="none"/>
          <w:lang w:val="en-US" w:eastAsia="zh-CN"/>
        </w:rPr>
        <w:t>图10  哈佛中国国际医疗中心（康复中心）发展理念体系</w:t>
      </w:r>
    </w:p>
    <w:p>
      <w:pPr>
        <w:pStyle w:val="4"/>
        <w:numPr>
          <w:ilvl w:val="0"/>
          <w:numId w:val="54"/>
        </w:numPr>
        <w:bidi w:val="0"/>
        <w:rPr>
          <w:rFonts w:hint="default"/>
          <w:lang w:val="en-US" w:eastAsia="zh-CN"/>
        </w:rPr>
      </w:pPr>
      <w:bookmarkStart w:id="553" w:name="_Toc12891"/>
      <w:r>
        <w:rPr>
          <w:rFonts w:hint="eastAsia"/>
          <w:lang w:val="en-US" w:eastAsia="zh-CN"/>
        </w:rPr>
        <w:t>中国平安</w:t>
      </w:r>
      <w:r>
        <w:rPr>
          <w:rFonts w:hint="default"/>
          <w:lang w:val="en-US" w:eastAsia="zh-CN"/>
        </w:rPr>
        <w:t>靶向药物工程研究中心拟工程化</w:t>
      </w:r>
      <w:r>
        <w:rPr>
          <w:rFonts w:hint="eastAsia"/>
          <w:lang w:val="en-US" w:eastAsia="zh-CN"/>
        </w:rPr>
        <w:t>项目</w:t>
      </w:r>
      <w:bookmarkEnd w:id="553"/>
    </w:p>
    <w:p>
      <w:pPr>
        <w:pStyle w:val="5"/>
        <w:bidi w:val="0"/>
        <w:rPr>
          <w:rFonts w:hint="eastAsia"/>
          <w:lang w:val="en-US" w:eastAsia="zh-CN"/>
        </w:rPr>
      </w:pPr>
      <w:bookmarkStart w:id="554" w:name="_Toc23140"/>
      <w:r>
        <w:rPr>
          <w:rFonts w:hint="eastAsia"/>
          <w:lang w:val="en-US" w:eastAsia="zh-CN"/>
        </w:rPr>
        <w:t>1.项目概况</w:t>
      </w:r>
      <w:bookmarkEnd w:id="554"/>
    </w:p>
    <w:p>
      <w:pPr>
        <w:rPr>
          <w:rFonts w:hint="default"/>
          <w:lang w:val="en-US" w:eastAsia="zh-CN"/>
        </w:rPr>
      </w:pPr>
      <w:r>
        <w:rPr>
          <w:rFonts w:hint="default"/>
          <w:lang w:val="en-US" w:eastAsia="zh-CN"/>
        </w:rPr>
        <w:t>中国平安</w:t>
      </w:r>
      <w:r>
        <w:rPr>
          <w:rFonts w:hint="eastAsia"/>
          <w:lang w:val="en-US" w:eastAsia="zh-CN"/>
        </w:rPr>
        <w:t>集团在健康板块打造全产业链格局，通过资本性投入进入药物研发上游环节，正在大力推进靶向药物的拟工程化项目。</w:t>
      </w:r>
      <w:r>
        <w:rPr>
          <w:rFonts w:hint="default"/>
          <w:lang w:val="en-US" w:eastAsia="zh-CN"/>
        </w:rPr>
        <w:t>新型靶点和新型化合物是新药研发的源头和根基</w:t>
      </w:r>
      <w:r>
        <w:rPr>
          <w:rFonts w:hint="eastAsia"/>
          <w:lang w:val="en-US" w:eastAsia="zh-CN"/>
        </w:rPr>
        <w:t>，</w:t>
      </w:r>
      <w:r>
        <w:rPr>
          <w:rFonts w:hint="default"/>
          <w:lang w:val="en-US" w:eastAsia="zh-CN"/>
        </w:rPr>
        <w:t>新型靶点的发现和验证技术，新型化合物设计、合成和化合物库构建技术，药物筛选技术是新药研发的关键核心技术。</w:t>
      </w:r>
      <w:r>
        <w:rPr>
          <w:rFonts w:hint="eastAsia"/>
          <w:lang w:val="en-US" w:eastAsia="zh-CN"/>
        </w:rPr>
        <w:t>本项目</w:t>
      </w:r>
      <w:r>
        <w:rPr>
          <w:rFonts w:hint="default"/>
          <w:lang w:val="en-US" w:eastAsia="zh-CN"/>
        </w:rPr>
        <w:t>着眼我国新药研发的根源问题，突破医药产业最关键核心技术问题，开辟一条“有源之水，有本之木”自主创新研发道路，带动我国医药行业持续健康发展。</w:t>
      </w:r>
    </w:p>
    <w:p>
      <w:pPr>
        <w:rPr>
          <w:rFonts w:hint="default"/>
          <w:lang w:val="en-US" w:eastAsia="zh-CN"/>
        </w:rPr>
      </w:pPr>
      <w:r>
        <w:rPr>
          <w:rFonts w:hint="default"/>
          <w:lang w:val="en-US" w:eastAsia="zh-CN"/>
        </w:rPr>
        <w:t>拟重点工程化的核心技术</w:t>
      </w:r>
      <w:r>
        <w:rPr>
          <w:rFonts w:hint="eastAsia"/>
          <w:lang w:val="en-US" w:eastAsia="zh-CN"/>
        </w:rPr>
        <w:t>有，</w:t>
      </w:r>
      <w:r>
        <w:rPr>
          <w:rFonts w:hint="default"/>
          <w:lang w:val="en-US" w:eastAsia="zh-CN"/>
        </w:rPr>
        <w:t>新型靶点的发现和靶向特别是核受体非基因型精准靶向关键核心技术，特色小分子设计、合成和化合物库构建技术，药物精准筛选技术，临床前快速开发技术，生物标志物指导下的创新临床研发技术。</w:t>
      </w:r>
    </w:p>
    <w:p>
      <w:pPr>
        <w:pStyle w:val="5"/>
        <w:bidi w:val="0"/>
        <w:rPr>
          <w:rFonts w:hint="default"/>
          <w:lang w:val="en-US" w:eastAsia="zh-CN"/>
        </w:rPr>
      </w:pPr>
      <w:bookmarkStart w:id="555" w:name="_Toc24926"/>
      <w:r>
        <w:rPr>
          <w:rFonts w:hint="eastAsia"/>
          <w:lang w:val="en-US" w:eastAsia="zh-CN"/>
        </w:rPr>
        <w:t>2.建设内容和建设参与方</w:t>
      </w:r>
      <w:bookmarkEnd w:id="555"/>
    </w:p>
    <w:p>
      <w:pPr>
        <w:rPr>
          <w:rFonts w:hint="default"/>
          <w:lang w:val="en-US" w:eastAsia="zh-CN"/>
        </w:rPr>
      </w:pPr>
      <w:r>
        <w:rPr>
          <w:rFonts w:hint="eastAsia"/>
          <w:lang w:val="en-US" w:eastAsia="zh-CN"/>
        </w:rPr>
        <w:t>投资方为中国平安集团（确定），主持运营机构为某国家级靶向药物工程技术研究中心、平安科技集团、某上市医药研发企业等机构（拟选），建设2万平方米</w:t>
      </w:r>
      <w:r>
        <w:rPr>
          <w:rFonts w:hint="default"/>
          <w:lang w:val="en-US" w:eastAsia="zh-CN"/>
        </w:rPr>
        <w:t>研发</w:t>
      </w:r>
      <w:r>
        <w:rPr>
          <w:rFonts w:hint="eastAsia"/>
          <w:lang w:val="en-US" w:eastAsia="zh-CN"/>
        </w:rPr>
        <w:t>实验室、1万平方米办公配套场地，总投资根据实验设备需求在几亿至十亿之间。本项目落地海南，可以用好用足自由贸易港过渡阶段“一负三正”清单，免税进口实验设备器材、实验用品、实验耗材，便利开展跨国研发合作。本项目落地崖州，建议紧临崖州湾科技城，与崖州湾科技城共享生活公共服务和生产研发公共服务，依托崖州湾科技城模式动物基地，延长创新研发产业链条。</w:t>
      </w:r>
    </w:p>
    <w:p>
      <w:pPr>
        <w:rPr>
          <w:rFonts w:hint="default"/>
          <w:lang w:val="en-US" w:eastAsia="zh-CN"/>
        </w:rPr>
      </w:pPr>
      <w:r>
        <w:rPr>
          <w:rFonts w:hint="eastAsia"/>
          <w:lang w:val="en-US" w:eastAsia="zh-CN"/>
        </w:rPr>
        <w:t>（1）</w:t>
      </w:r>
      <w:r>
        <w:rPr>
          <w:rFonts w:hint="default"/>
          <w:lang w:val="en-US" w:eastAsia="zh-CN"/>
        </w:rPr>
        <w:t>原创发现核心技术开发与知识产权工程化平台</w:t>
      </w:r>
      <w:r>
        <w:rPr>
          <w:rFonts w:hint="eastAsia"/>
          <w:lang w:val="en-US" w:eastAsia="zh-CN"/>
        </w:rPr>
        <w:t>。</w:t>
      </w:r>
      <w:r>
        <w:rPr>
          <w:rFonts w:hint="default"/>
          <w:lang w:val="en-US" w:eastAsia="zh-CN"/>
        </w:rPr>
        <w:t>开展基于原创发现的核心技术开发与知识产权工程化工作</w:t>
      </w:r>
      <w:r>
        <w:rPr>
          <w:rFonts w:hint="eastAsia"/>
          <w:lang w:val="en-US" w:eastAsia="zh-CN"/>
        </w:rPr>
        <w:t>，</w:t>
      </w:r>
      <w:r>
        <w:rPr>
          <w:rFonts w:hint="default"/>
          <w:lang w:val="en-US" w:eastAsia="zh-CN"/>
        </w:rPr>
        <w:t>基于原创科学成果，针对新发现的靶点或新型作用机制，开发一系列精准药物研发并具有自主知识产权的核心技术，实施专利保护，形成一个具有垄断性质的系统专利保护体系。同时,构建新颖有效的工程化药物筛选模型和特色小分子先导化合物库。</w:t>
      </w:r>
      <w:r>
        <w:rPr>
          <w:rFonts w:hint="eastAsia"/>
          <w:lang w:val="en-US" w:eastAsia="zh-CN"/>
        </w:rPr>
        <w:t>目标</w:t>
      </w:r>
      <w:r>
        <w:rPr>
          <w:rFonts w:hint="default"/>
          <w:lang w:val="en-US" w:eastAsia="zh-CN"/>
        </w:rPr>
        <w:t>建设国际一流药物靶点库、新型筛选模型库和特色化合物库，产出一批国际领先具有自主知识产权的核心技术及原创新药。</w:t>
      </w:r>
    </w:p>
    <w:p>
      <w:pPr>
        <w:rPr>
          <w:rFonts w:hint="default"/>
          <w:lang w:val="en-US" w:eastAsia="zh-CN"/>
        </w:rPr>
      </w:pPr>
      <w:r>
        <w:rPr>
          <w:rFonts w:hint="eastAsia"/>
          <w:lang w:val="en-US" w:eastAsia="zh-CN"/>
        </w:rPr>
        <w:t>（2）</w:t>
      </w:r>
      <w:r>
        <w:rPr>
          <w:rFonts w:hint="default"/>
          <w:lang w:val="en-US" w:eastAsia="zh-CN"/>
        </w:rPr>
        <w:t>新药开发和评价技术平台</w:t>
      </w:r>
      <w:r>
        <w:rPr>
          <w:rFonts w:hint="eastAsia"/>
          <w:lang w:val="en-US" w:eastAsia="zh-CN"/>
        </w:rPr>
        <w:t>。</w:t>
      </w:r>
      <w:r>
        <w:rPr>
          <w:rFonts w:hint="default"/>
          <w:lang w:val="en-US" w:eastAsia="zh-CN"/>
        </w:rPr>
        <w:t>以K-Ras突变型结肠癌原创候选药NM-811（first-in-class，新靶点、新结构）等8个靶向新药的开发为</w:t>
      </w:r>
      <w:r>
        <w:rPr>
          <w:rFonts w:hint="eastAsia"/>
          <w:lang w:val="en-US" w:eastAsia="zh-CN"/>
        </w:rPr>
        <w:t>前期重点，</w:t>
      </w:r>
      <w:r>
        <w:rPr>
          <w:rFonts w:hint="default"/>
          <w:lang w:val="en-US" w:eastAsia="zh-CN"/>
        </w:rPr>
        <w:t>建设先导化合物发现与优化、早期成药性评价、临床前药学研究与优化、GMP临床样品制备、临床试验申报、临床试验项目管理、药品注册申报、新型诊断技术平台。</w:t>
      </w:r>
    </w:p>
    <w:p>
      <w:pPr>
        <w:rPr>
          <w:rFonts w:hint="default"/>
          <w:lang w:val="en-US" w:eastAsia="zh-CN"/>
        </w:rPr>
      </w:pPr>
      <w:r>
        <w:rPr>
          <w:rFonts w:hint="eastAsia"/>
          <w:lang w:val="en-US" w:eastAsia="zh-CN"/>
        </w:rPr>
        <w:t>（3）</w:t>
      </w:r>
      <w:r>
        <w:rPr>
          <w:rFonts w:hint="default"/>
          <w:lang w:val="en-US" w:eastAsia="zh-CN"/>
        </w:rPr>
        <w:t>新药知识产权（无形产品）转让示范基地</w:t>
      </w:r>
      <w:r>
        <w:rPr>
          <w:rFonts w:hint="eastAsia"/>
          <w:lang w:val="en-US" w:eastAsia="zh-CN"/>
        </w:rPr>
        <w:t>。</w:t>
      </w:r>
      <w:r>
        <w:rPr>
          <w:rFonts w:hint="default"/>
          <w:lang w:val="en-US" w:eastAsia="zh-CN"/>
        </w:rPr>
        <w:t>建设新药知识产权（无形产品）转让示范基地，促进科技成果应用转化，形成以市场化为主导的长效服务机制和科技创新产业服务链。</w:t>
      </w:r>
    </w:p>
    <w:p>
      <w:pPr>
        <w:pStyle w:val="5"/>
        <w:bidi w:val="0"/>
        <w:rPr>
          <w:rFonts w:hint="default"/>
          <w:lang w:val="en-US" w:eastAsia="zh-CN"/>
        </w:rPr>
      </w:pPr>
      <w:bookmarkStart w:id="556" w:name="_Toc8674"/>
      <w:r>
        <w:rPr>
          <w:rFonts w:hint="eastAsia"/>
          <w:lang w:val="en-US" w:eastAsia="zh-CN"/>
        </w:rPr>
        <w:t>3.效益目标</w:t>
      </w:r>
      <w:bookmarkEnd w:id="556"/>
    </w:p>
    <w:p>
      <w:pPr>
        <w:rPr>
          <w:rFonts w:hint="default"/>
          <w:lang w:val="en-US" w:eastAsia="zh-CN"/>
        </w:rPr>
      </w:pPr>
      <w:r>
        <w:rPr>
          <w:rFonts w:hint="eastAsia"/>
          <w:lang w:val="en-US" w:eastAsia="zh-CN"/>
        </w:rPr>
        <w:t>项目运营后3-5年，</w:t>
      </w:r>
      <w:r>
        <w:rPr>
          <w:rFonts w:hint="default"/>
          <w:lang w:val="en-US" w:eastAsia="zh-CN"/>
        </w:rPr>
        <w:t>申请发明专利不低于100项</w:t>
      </w:r>
      <w:r>
        <w:rPr>
          <w:rFonts w:hint="eastAsia"/>
          <w:lang w:val="en-US" w:eastAsia="zh-CN"/>
        </w:rPr>
        <w:t>，</w:t>
      </w:r>
      <w:r>
        <w:rPr>
          <w:rFonts w:hint="default"/>
          <w:lang w:val="en-US" w:eastAsia="zh-CN"/>
        </w:rPr>
        <w:t>发表高水平论文不低于50篇</w:t>
      </w:r>
      <w:r>
        <w:rPr>
          <w:rFonts w:hint="eastAsia"/>
          <w:lang w:val="en-US" w:eastAsia="zh-CN"/>
        </w:rPr>
        <w:t>，</w:t>
      </w:r>
      <w:r>
        <w:rPr>
          <w:rFonts w:hint="default"/>
          <w:lang w:val="en-US" w:eastAsia="zh-CN"/>
        </w:rPr>
        <w:t>构建新颖的药物筛选模型不低于50个</w:t>
      </w:r>
      <w:r>
        <w:rPr>
          <w:rFonts w:hint="eastAsia"/>
          <w:lang w:val="en-US" w:eastAsia="zh-CN"/>
        </w:rPr>
        <w:t>，</w:t>
      </w:r>
      <w:r>
        <w:rPr>
          <w:rFonts w:hint="default"/>
          <w:lang w:val="en-US" w:eastAsia="zh-CN"/>
        </w:rPr>
        <w:t>建成特色化合物库1个（20万个化合物，2万个馏分）</w:t>
      </w:r>
      <w:r>
        <w:rPr>
          <w:rFonts w:hint="eastAsia"/>
          <w:lang w:val="en-US" w:eastAsia="zh-CN"/>
        </w:rPr>
        <w:t>，</w:t>
      </w:r>
      <w:r>
        <w:rPr>
          <w:rFonts w:hint="default"/>
          <w:lang w:val="en-US" w:eastAsia="zh-CN"/>
        </w:rPr>
        <w:t>发明核受体的系统研究技术3项</w:t>
      </w:r>
      <w:r>
        <w:rPr>
          <w:rFonts w:hint="eastAsia"/>
          <w:lang w:val="en-US" w:eastAsia="zh-CN"/>
        </w:rPr>
        <w:t>，</w:t>
      </w:r>
      <w:r>
        <w:rPr>
          <w:rFonts w:hint="default"/>
          <w:lang w:val="en-US" w:eastAsia="zh-CN"/>
        </w:rPr>
        <w:t>力争1个候选靶向药物处于临床III期，2个处于临床II期及以上。</w:t>
      </w:r>
    </w:p>
    <w:p>
      <w:pPr>
        <w:pStyle w:val="4"/>
        <w:numPr>
          <w:ilvl w:val="0"/>
          <w:numId w:val="54"/>
        </w:numPr>
        <w:bidi w:val="0"/>
        <w:rPr>
          <w:rFonts w:hint="default"/>
          <w:lang w:val="en-US" w:eastAsia="zh-CN"/>
        </w:rPr>
      </w:pPr>
      <w:bookmarkStart w:id="557" w:name="_Toc10227"/>
      <w:r>
        <w:rPr>
          <w:rFonts w:hint="eastAsia"/>
          <w:lang w:val="en-US" w:eastAsia="zh-CN"/>
        </w:rPr>
        <w:t>亚壁联、中壁联亚洲壁球锦标赛项目</w:t>
      </w:r>
      <w:bookmarkEnd w:id="557"/>
    </w:p>
    <w:p>
      <w:pPr>
        <w:pStyle w:val="5"/>
        <w:bidi w:val="0"/>
        <w:rPr>
          <w:rFonts w:hint="default"/>
          <w:lang w:val="en-US" w:eastAsia="zh-CN"/>
        </w:rPr>
      </w:pPr>
      <w:bookmarkStart w:id="558" w:name="_Toc10011"/>
      <w:r>
        <w:rPr>
          <w:rFonts w:hint="default"/>
          <w:lang w:val="en-US" w:eastAsia="zh-CN"/>
        </w:rPr>
        <w:t>1.项目概况</w:t>
      </w:r>
      <w:bookmarkEnd w:id="558"/>
    </w:p>
    <w:p>
      <w:pPr>
        <w:rPr>
          <w:rFonts w:hint="eastAsia"/>
          <w:lang w:val="en-US" w:eastAsia="zh-CN"/>
        </w:rPr>
      </w:pPr>
      <w:r>
        <w:rPr>
          <w:rFonts w:hint="eastAsia"/>
          <w:lang w:val="en-US" w:eastAsia="zh-CN"/>
        </w:rPr>
        <w:t>壁球是亚运会项目，在是欧美、东南亚广泛流行的民众运动。壁球正在国内年轻群体中迅速普及，壁球运动非常符合崖州湾科技城人群的画像特征，壁球比赛符合三亚的城市形象定位。壁球是国家体育总局积极支持发展的小球类大众健身运动，中国壁球协会负责中国壁球巡回赛组织工作，并在亚洲壁球联合会的工作指导下承办洲际壁球比赛。在目前奥运会和亚运会项目中，大多数比赛项目的赛事训练基地体系比较成熟，壁球运动处于迅速成长阶段，是积极布局的时期。壁球对场地要求较低、移动灵活性较大、投资不高，室内场地、室外场地、公园场地、滨海场地均可设置。</w:t>
      </w:r>
    </w:p>
    <w:p>
      <w:pPr>
        <w:ind w:left="0" w:leftChars="0" w:firstLine="0" w:firstLineChars="0"/>
        <w:jc w:val="center"/>
      </w:pPr>
      <w:r>
        <w:drawing>
          <wp:inline distT="0" distB="0" distL="114300" distR="114300">
            <wp:extent cx="2807970" cy="1628140"/>
            <wp:effectExtent l="0" t="0" r="11430" b="10160"/>
            <wp:docPr id="38" name="图片 4" descr="IMG_3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4" descr="IMG_3465"/>
                    <pic:cNvPicPr>
                      <a:picLocks noChangeAspect="1"/>
                    </pic:cNvPicPr>
                  </pic:nvPicPr>
                  <pic:blipFill>
                    <a:blip r:embed="rId27"/>
                    <a:stretch>
                      <a:fillRect/>
                    </a:stretch>
                  </pic:blipFill>
                  <pic:spPr>
                    <a:xfrm>
                      <a:off x="0" y="0"/>
                      <a:ext cx="2807970" cy="1628140"/>
                    </a:xfrm>
                    <a:prstGeom prst="rect">
                      <a:avLst/>
                    </a:prstGeom>
                  </pic:spPr>
                </pic:pic>
              </a:graphicData>
            </a:graphic>
          </wp:inline>
        </w:drawing>
      </w:r>
      <w:r>
        <w:rPr>
          <w:rFonts w:hint="eastAsia"/>
          <w:lang w:val="en-US" w:eastAsia="zh-CN"/>
        </w:rPr>
        <w:t xml:space="preserve"> </w:t>
      </w:r>
      <w:r>
        <w:drawing>
          <wp:inline distT="0" distB="0" distL="114300" distR="114300">
            <wp:extent cx="2124075" cy="1592580"/>
            <wp:effectExtent l="0" t="0" r="9525" b="7620"/>
            <wp:docPr id="5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8"/>
                    <pic:cNvPicPr>
                      <a:picLocks noChangeAspect="1"/>
                    </pic:cNvPicPr>
                  </pic:nvPicPr>
                  <pic:blipFill>
                    <a:blip r:embed="rId28"/>
                    <a:stretch>
                      <a:fillRect/>
                    </a:stretch>
                  </pic:blipFill>
                  <pic:spPr>
                    <a:xfrm>
                      <a:off x="0" y="0"/>
                      <a:ext cx="2124075" cy="1592580"/>
                    </a:xfrm>
                    <a:prstGeom prst="rect">
                      <a:avLst/>
                    </a:prstGeom>
                    <a:noFill/>
                    <a:ln>
                      <a:noFill/>
                    </a:ln>
                  </pic:spPr>
                </pic:pic>
              </a:graphicData>
            </a:graphic>
          </wp:inline>
        </w:drawing>
      </w:r>
    </w:p>
    <w:p>
      <w:pPr>
        <w:ind w:left="0" w:leftChars="0" w:firstLine="0" w:firstLineChars="0"/>
        <w:rPr>
          <w:rFonts w:hint="eastAsia" w:eastAsia="仿宋_GB2312"/>
          <w:lang w:val="en-US" w:eastAsia="zh-CN"/>
        </w:rPr>
      </w:pPr>
      <w:r>
        <w:drawing>
          <wp:inline distT="0" distB="0" distL="114300" distR="114300">
            <wp:extent cx="2494915" cy="1640205"/>
            <wp:effectExtent l="0" t="0" r="635" b="17145"/>
            <wp:docPr id="44" name="图片 3" descr="IMG_3457(20180912-092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3" descr="IMG_3457(20180912-092629)"/>
                    <pic:cNvPicPr>
                      <a:picLocks noChangeAspect="1"/>
                    </pic:cNvPicPr>
                  </pic:nvPicPr>
                  <pic:blipFill>
                    <a:blip r:embed="rId29"/>
                    <a:stretch>
                      <a:fillRect/>
                    </a:stretch>
                  </pic:blipFill>
                  <pic:spPr>
                    <a:xfrm>
                      <a:off x="0" y="0"/>
                      <a:ext cx="2494915" cy="1640205"/>
                    </a:xfrm>
                    <a:prstGeom prst="rect">
                      <a:avLst/>
                    </a:prstGeom>
                  </pic:spPr>
                </pic:pic>
              </a:graphicData>
            </a:graphic>
          </wp:inline>
        </w:drawing>
      </w:r>
      <w:r>
        <w:rPr>
          <w:rFonts w:hint="eastAsia"/>
          <w:lang w:val="en-US" w:eastAsia="zh-CN"/>
        </w:rPr>
        <w:t xml:space="preserve"> </w:t>
      </w:r>
      <w:r>
        <w:drawing>
          <wp:inline distT="0" distB="0" distL="114300" distR="114300">
            <wp:extent cx="2458720" cy="1638935"/>
            <wp:effectExtent l="0" t="0" r="17780" b="18415"/>
            <wp:docPr id="49" name="内容占位符 6" descr="mmexport1486432382562_看图王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内容占位符 6" descr="mmexport1486432382562_看图王2.jpg"/>
                    <pic:cNvPicPr>
                      <a:picLocks noChangeAspect="1"/>
                    </pic:cNvPicPr>
                  </pic:nvPicPr>
                  <pic:blipFill>
                    <a:blip r:embed="rId30"/>
                    <a:stretch>
                      <a:fillRect/>
                    </a:stretch>
                  </pic:blipFill>
                  <pic:spPr>
                    <a:xfrm>
                      <a:off x="0" y="0"/>
                      <a:ext cx="2458720" cy="1638935"/>
                    </a:xfrm>
                    <a:prstGeom prst="rect">
                      <a:avLst/>
                    </a:prstGeom>
                  </pic:spPr>
                </pic:pic>
              </a:graphicData>
            </a:graphic>
          </wp:inline>
        </w:drawing>
      </w:r>
    </w:p>
    <w:p>
      <w:pPr>
        <w:ind w:left="0" w:leftChars="0" w:firstLine="0" w:firstLineChars="0"/>
        <w:jc w:val="center"/>
        <w:rPr>
          <w:rFonts w:hint="default"/>
          <w:lang w:val="en-US" w:eastAsia="zh-CN"/>
        </w:rPr>
      </w:pPr>
      <w:r>
        <w:rPr>
          <w:rFonts w:hint="eastAsia" w:ascii="楷体" w:hAnsi="楷体" w:eastAsia="楷体" w:cs="楷体"/>
          <w:b w:val="0"/>
          <w:bCs w:val="0"/>
          <w:sz w:val="28"/>
          <w:szCs w:val="28"/>
          <w:highlight w:val="none"/>
          <w:lang w:val="en-US" w:eastAsia="zh-CN"/>
        </w:rPr>
        <w:t>图11  壁球洲际比赛场地和一般比赛训练场地</w:t>
      </w:r>
    </w:p>
    <w:p>
      <w:pPr>
        <w:pStyle w:val="5"/>
        <w:bidi w:val="0"/>
        <w:rPr>
          <w:rFonts w:hint="default"/>
          <w:lang w:val="en-US" w:eastAsia="zh-CN"/>
        </w:rPr>
      </w:pPr>
      <w:bookmarkStart w:id="559" w:name="_Toc32001"/>
      <w:r>
        <w:rPr>
          <w:rFonts w:hint="eastAsia"/>
          <w:lang w:val="en-US" w:eastAsia="zh-CN"/>
        </w:rPr>
        <w:t>2.发展模式</w:t>
      </w:r>
      <w:bookmarkEnd w:id="559"/>
    </w:p>
    <w:p>
      <w:pPr>
        <w:bidi w:val="0"/>
        <w:rPr>
          <w:rFonts w:hint="eastAsia"/>
          <w:lang w:val="en-US" w:eastAsia="zh-CN"/>
        </w:rPr>
      </w:pPr>
      <w:r>
        <w:rPr>
          <w:rFonts w:hint="eastAsia"/>
          <w:lang w:val="en-US" w:eastAsia="zh-CN"/>
        </w:rPr>
        <w:t>走赛事带动产业的模式，通过有关单位与中国壁球协会、亚洲壁球联合会资源对接，在崖州引入举办国家级壁球赛事（固定崖州举办）和洲际壁球赛事（寻回举办），争取建设永久性壁球体育馆，每年定期举办系列国家级（经国家体育总局认可）壁球赛事，把壁球打造成为崖州的体育名片。在体育赛事带动下，大力发展群众体育运动，打造壁球公园（运动公园“园中园”模式），丰富城市文体服务功能。壁球场馆设备、运动器材多为国外进口，发挥自贸港政策开展有关设备器材进口加工、贸易、免税销售等业务，打造壁球产业链条。</w:t>
      </w:r>
    </w:p>
    <w:p>
      <w:pPr>
        <w:pStyle w:val="5"/>
        <w:bidi w:val="0"/>
        <w:rPr>
          <w:rFonts w:hint="eastAsia"/>
          <w:lang w:val="en-US" w:eastAsia="zh-CN"/>
        </w:rPr>
      </w:pPr>
      <w:bookmarkStart w:id="560" w:name="_Toc10978"/>
      <w:r>
        <w:rPr>
          <w:rFonts w:hint="eastAsia"/>
          <w:lang w:val="en-US" w:eastAsia="zh-CN"/>
        </w:rPr>
        <w:t>3.选址建议</w:t>
      </w:r>
      <w:bookmarkEnd w:id="560"/>
    </w:p>
    <w:p>
      <w:pPr>
        <w:rPr>
          <w:rFonts w:hint="default"/>
          <w:lang w:val="en-US" w:eastAsia="zh-CN"/>
        </w:rPr>
      </w:pPr>
      <w:r>
        <w:rPr>
          <w:rFonts w:hint="eastAsia"/>
          <w:lang w:val="en-US" w:eastAsia="zh-CN"/>
        </w:rPr>
        <w:t>（1）户外选址建议：滨海沙滩运动公园区域，以临时建筑的形式建设，场地占地面积150平方米，周边服务配套临时设施300平方米，国家级赛事和洲际赛事需4块场地、临时观众席、配套服务设施等，临时占地3亩。在崖州热带地区以冬半年运营为主，夏半年场馆可拆移并异地复用。白天和晚间均可运营，晚间通过炫彩灯光系统，与滨海沙滩融为一体，打造时尚网红景点。</w:t>
      </w:r>
    </w:p>
    <w:p>
      <w:pPr>
        <w:rPr>
          <w:rFonts w:hint="default"/>
          <w:lang w:val="en-US" w:eastAsia="zh-CN"/>
        </w:rPr>
      </w:pPr>
      <w:r>
        <w:rPr>
          <w:rFonts w:hint="eastAsia"/>
          <w:lang w:val="en-US" w:eastAsia="zh-CN"/>
        </w:rPr>
        <w:t>（2）室内选址建议：具有一定高度的宽敞空间即可，如城市商业中心广场、酒店大堂、博览展示中心大堂、音乐厅、会展中心、体育馆等。国家级赛事和洲际赛事需4块场地，配套室内观众席和配套服务设施用房。</w:t>
      </w:r>
    </w:p>
    <w:p>
      <w:pPr>
        <w:ind w:left="0" w:leftChars="0" w:firstLine="0" w:firstLineChars="0"/>
      </w:pPr>
      <w:r>
        <w:drawing>
          <wp:inline distT="0" distB="0" distL="114300" distR="114300">
            <wp:extent cx="1673225" cy="2292985"/>
            <wp:effectExtent l="0" t="0" r="3175" b="12065"/>
            <wp:docPr id="1029" name="Picture 5" descr="F:\【0503】\【0609】大连国光ppt\反馈\微信图片_20170612101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descr="F:\【0503】\【0609】大连国光ppt\反馈\微信图片_20170612101716.jpg"/>
                    <pic:cNvPicPr>
                      <a:picLocks noChangeAspect="1" noChangeArrowheads="1"/>
                    </pic:cNvPicPr>
                  </pic:nvPicPr>
                  <pic:blipFill>
                    <a:blip r:embed="rId31">
                      <a:extLst>
                        <a:ext uri="{28A0092B-C50C-407E-A947-70E740481C1C}">
                          <a14:useLocalDpi xmlns:a14="http://schemas.microsoft.com/office/drawing/2010/main" val="0"/>
                        </a:ext>
                      </a:extLst>
                    </a:blip>
                    <a:srcRect l="42428" r="7016"/>
                    <a:stretch>
                      <a:fillRect/>
                    </a:stretch>
                  </pic:blipFill>
                  <pic:spPr>
                    <a:xfrm>
                      <a:off x="0" y="0"/>
                      <a:ext cx="1673225" cy="2292985"/>
                    </a:xfrm>
                    <a:prstGeom prst="rect">
                      <a:avLst/>
                    </a:prstGeom>
                    <a:noFill/>
                  </pic:spPr>
                </pic:pic>
              </a:graphicData>
            </a:graphic>
          </wp:inline>
        </w:drawing>
      </w:r>
      <w:r>
        <w:rPr>
          <w:rFonts w:hint="eastAsia"/>
          <w:lang w:val="en-US" w:eastAsia="zh-CN"/>
        </w:rPr>
        <w:t xml:space="preserve"> </w:t>
      </w:r>
      <w:r>
        <w:drawing>
          <wp:inline distT="0" distB="0" distL="114300" distR="114300">
            <wp:extent cx="3402330" cy="2270125"/>
            <wp:effectExtent l="0" t="0" r="7620" b="15875"/>
            <wp:docPr id="5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4"/>
                    <pic:cNvPicPr>
                      <a:picLocks noChangeAspect="1"/>
                    </pic:cNvPicPr>
                  </pic:nvPicPr>
                  <pic:blipFill>
                    <a:blip r:embed="rId32"/>
                    <a:stretch>
                      <a:fillRect/>
                    </a:stretch>
                  </pic:blipFill>
                  <pic:spPr>
                    <a:xfrm>
                      <a:off x="0" y="0"/>
                      <a:ext cx="3402330" cy="2270125"/>
                    </a:xfrm>
                    <a:prstGeom prst="rect">
                      <a:avLst/>
                    </a:prstGeom>
                    <a:noFill/>
                    <a:ln>
                      <a:noFill/>
                    </a:ln>
                  </pic:spPr>
                </pic:pic>
              </a:graphicData>
            </a:graphic>
          </wp:inline>
        </w:drawing>
      </w:r>
    </w:p>
    <w:p>
      <w:pPr>
        <w:ind w:left="0" w:leftChars="0" w:firstLine="0" w:firstLineChars="0"/>
        <w:rPr>
          <w:rFonts w:hint="eastAsia" w:eastAsia="仿宋_GB2312"/>
          <w:lang w:val="en-US" w:eastAsia="zh-CN"/>
        </w:rPr>
      </w:pPr>
      <w:r>
        <w:drawing>
          <wp:inline distT="0" distB="0" distL="114300" distR="114300">
            <wp:extent cx="2616200" cy="1739900"/>
            <wp:effectExtent l="0" t="0" r="12700" b="12700"/>
            <wp:docPr id="5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6"/>
                    <pic:cNvPicPr>
                      <a:picLocks noChangeAspect="1"/>
                    </pic:cNvPicPr>
                  </pic:nvPicPr>
                  <pic:blipFill>
                    <a:blip r:embed="rId33"/>
                    <a:stretch>
                      <a:fillRect/>
                    </a:stretch>
                  </pic:blipFill>
                  <pic:spPr>
                    <a:xfrm>
                      <a:off x="0" y="0"/>
                      <a:ext cx="2616200" cy="173990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2462530" cy="1764030"/>
            <wp:effectExtent l="0" t="0" r="13970" b="7620"/>
            <wp:docPr id="5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7"/>
                    <pic:cNvPicPr>
                      <a:picLocks noChangeAspect="1"/>
                    </pic:cNvPicPr>
                  </pic:nvPicPr>
                  <pic:blipFill>
                    <a:blip r:embed="rId34"/>
                    <a:stretch>
                      <a:fillRect/>
                    </a:stretch>
                  </pic:blipFill>
                  <pic:spPr>
                    <a:xfrm>
                      <a:off x="0" y="0"/>
                      <a:ext cx="2462530" cy="1764030"/>
                    </a:xfrm>
                    <a:prstGeom prst="rect">
                      <a:avLst/>
                    </a:prstGeom>
                    <a:noFill/>
                    <a:ln>
                      <a:noFill/>
                    </a:ln>
                  </pic:spPr>
                </pic:pic>
              </a:graphicData>
            </a:graphic>
          </wp:inline>
        </w:drawing>
      </w:r>
    </w:p>
    <w:p>
      <w:pPr>
        <w:ind w:left="0" w:leftChars="0" w:firstLine="0" w:firstLineChars="0"/>
        <w:jc w:val="center"/>
        <w:rPr>
          <w:rFonts w:hint="eastAsia" w:ascii="楷体" w:hAnsi="楷体" w:eastAsia="楷体" w:cs="楷体"/>
          <w:b w:val="0"/>
          <w:bCs w:val="0"/>
          <w:sz w:val="28"/>
          <w:szCs w:val="28"/>
          <w:highlight w:val="none"/>
          <w:lang w:val="en-US" w:eastAsia="zh-CN"/>
        </w:rPr>
      </w:pPr>
      <w:r>
        <w:rPr>
          <w:rFonts w:hint="eastAsia" w:ascii="楷体" w:hAnsi="楷体" w:eastAsia="楷体" w:cs="楷体"/>
          <w:b w:val="0"/>
          <w:bCs w:val="0"/>
          <w:sz w:val="28"/>
          <w:szCs w:val="28"/>
          <w:highlight w:val="none"/>
          <w:lang w:val="en-US" w:eastAsia="zh-CN"/>
        </w:rPr>
        <w:t>图12  壁球户外室内选址与全球知名地标交相辉映效果图</w:t>
      </w:r>
    </w:p>
    <w:p>
      <w:pPr>
        <w:ind w:left="0" w:leftChars="0" w:firstLine="0" w:firstLineChars="0"/>
        <w:jc w:val="center"/>
        <w:rPr>
          <w:rFonts w:hint="default"/>
          <w:lang w:val="en-US" w:eastAsia="zh-CN"/>
        </w:rPr>
      </w:pPr>
      <w:r>
        <w:rPr>
          <w:rFonts w:hint="eastAsia" w:ascii="楷体" w:hAnsi="楷体" w:eastAsia="楷体" w:cs="楷体"/>
          <w:b w:val="0"/>
          <w:bCs w:val="0"/>
          <w:sz w:val="28"/>
          <w:szCs w:val="28"/>
          <w:highlight w:val="none"/>
          <w:lang w:val="en-US" w:eastAsia="zh-CN"/>
        </w:rPr>
        <w:t>（香港城景、埃及金字塔、迪拜哈利法塔、美国波士顿交响乐大厅）</w:t>
      </w:r>
    </w:p>
    <w:p>
      <w:pPr>
        <w:pStyle w:val="4"/>
        <w:numPr>
          <w:ilvl w:val="0"/>
          <w:numId w:val="54"/>
        </w:numPr>
        <w:bidi w:val="0"/>
        <w:rPr>
          <w:rFonts w:hint="default"/>
          <w:lang w:val="en-US" w:eastAsia="zh-CN"/>
        </w:rPr>
      </w:pPr>
      <w:bookmarkStart w:id="561" w:name="_Toc21876"/>
      <w:r>
        <w:rPr>
          <w:rFonts w:hint="eastAsia"/>
          <w:lang w:val="en-US" w:eastAsia="zh-CN"/>
        </w:rPr>
        <w:t>角头湾沙滩运动公园项目</w:t>
      </w:r>
      <w:bookmarkEnd w:id="546"/>
      <w:bookmarkEnd w:id="561"/>
    </w:p>
    <w:p>
      <w:pPr>
        <w:pStyle w:val="5"/>
        <w:bidi w:val="0"/>
        <w:rPr>
          <w:rFonts w:hint="eastAsia"/>
          <w:lang w:val="en-US" w:eastAsia="zh-CN"/>
        </w:rPr>
      </w:pPr>
      <w:bookmarkStart w:id="562" w:name="_Toc27248"/>
      <w:bookmarkStart w:id="563" w:name="_Toc11200"/>
      <w:r>
        <w:rPr>
          <w:rFonts w:hint="eastAsia"/>
          <w:lang w:val="en-US" w:eastAsia="zh-CN"/>
        </w:rPr>
        <w:t>1.项目概况</w:t>
      </w:r>
      <w:bookmarkEnd w:id="562"/>
      <w:bookmarkEnd w:id="563"/>
    </w:p>
    <w:p>
      <w:pPr>
        <w:rPr>
          <w:rFonts w:hint="default"/>
          <w:lang w:val="en-US" w:eastAsia="zh-CN"/>
        </w:rPr>
      </w:pPr>
      <w:r>
        <w:rPr>
          <w:rFonts w:hint="eastAsia" w:ascii="仿宋_GB2312" w:eastAsia="仿宋_GB2312"/>
          <w:lang w:val="en-US" w:eastAsia="zh-CN"/>
        </w:rPr>
        <w:t>按照寸沙寸金、一滩多场、赛教融合、体旅融合原则，建设角头湾海沙滩运动公园，沙滩体育运动设施以非永久、临时性设施为主，沙滩后方观赛区以半固定简易设施为主，运动公园后方引入社会资本发展酒店、渔村民宿、特色小镇等服务配套和训练基地。</w:t>
      </w:r>
    </w:p>
    <w:p>
      <w:pPr>
        <w:rPr>
          <w:rFonts w:hint="eastAsia"/>
          <w:lang w:val="en-US" w:eastAsia="zh-CN"/>
        </w:rPr>
      </w:pPr>
      <w:r>
        <w:rPr>
          <w:rFonts w:hint="eastAsia" w:ascii="仿宋_GB2312" w:eastAsia="仿宋_GB2312"/>
          <w:lang w:val="en-US" w:eastAsia="zh-CN"/>
        </w:rPr>
        <w:t>项目基础设施和设备投入由城投公司承担，引入经验丰富的体育运动运营机构参股，与运营机构建立“股份</w:t>
      </w:r>
      <w:r>
        <w:rPr>
          <w:rFonts w:hint="eastAsia" w:ascii="仿宋_GB2312" w:eastAsia="仿宋_GB2312"/>
          <w:lang w:val="en-US" w:eastAsia="zh-CN"/>
        </w:rPr>
        <w:fldChar w:fldCharType="begin"/>
      </w:r>
      <w:r>
        <w:rPr>
          <w:rFonts w:hint="eastAsia" w:ascii="仿宋_GB2312" w:eastAsia="仿宋_GB2312"/>
          <w:lang w:val="en-US" w:eastAsia="zh-CN"/>
        </w:rPr>
        <w:instrText xml:space="preserve"> HYPERLINK "https://baike.baidu.com/item/%E6%9C%9F%E6%9D%83" \t "https://baike.baidu.com/item/%E8%82%A1%E4%BB%BD%E6%9C%9F%E6%9D%83/_blank" </w:instrText>
      </w:r>
      <w:r>
        <w:rPr>
          <w:rFonts w:hint="eastAsia" w:ascii="仿宋_GB2312" w:eastAsia="仿宋_GB2312"/>
          <w:lang w:val="en-US" w:eastAsia="zh-CN"/>
        </w:rPr>
        <w:fldChar w:fldCharType="separate"/>
      </w:r>
      <w:r>
        <w:rPr>
          <w:rFonts w:hint="eastAsia" w:ascii="仿宋_GB2312" w:eastAsia="仿宋_GB2312"/>
          <w:lang w:val="en-US" w:eastAsia="zh-CN"/>
        </w:rPr>
        <w:t>期权</w:t>
      </w:r>
      <w:r>
        <w:rPr>
          <w:rFonts w:hint="eastAsia" w:ascii="仿宋_GB2312" w:eastAsia="仿宋_GB2312"/>
          <w:lang w:val="en-US" w:eastAsia="zh-CN"/>
        </w:rPr>
        <w:fldChar w:fldCharType="end"/>
      </w:r>
      <w:r>
        <w:rPr>
          <w:rFonts w:hint="eastAsia" w:ascii="仿宋_GB2312" w:eastAsia="仿宋_GB2312"/>
          <w:lang w:val="en-US" w:eastAsia="zh-CN"/>
        </w:rPr>
        <w:t>”对赌协议，运营方做好赛事引入、市场拓展、日常经营、园区维护等工作，在一定时期（如3年）达到双方约定的经营效果，运营方自动获得合资公司相应的股权。</w:t>
      </w:r>
    </w:p>
    <w:p>
      <w:pPr>
        <w:rPr>
          <w:rFonts w:hint="default"/>
          <w:lang w:val="en-US" w:eastAsia="zh-CN"/>
        </w:rPr>
      </w:pPr>
      <w:r>
        <w:rPr>
          <w:rFonts w:hint="eastAsia" w:ascii="仿宋_GB2312" w:eastAsia="仿宋_GB2312"/>
          <w:lang w:val="en-US" w:eastAsia="zh-CN"/>
        </w:rPr>
        <w:t>公园以沙主题为主，对标沙滩运动高端业态和经营模式，引入洲际和国内顶级沙滩运动赛事，做足沙滩运动产品链，配合休闲体验类运动项目，重视青少年参与培养，发展沙足、沙排、沙马、沙徒、沙滩手球、沙滩卡巴迪、沙滩木球、壁球、藤球、动力滑翔伞、垂钓、潜水、铁人、露营基地、汽车营地项目，结合酒店、渔村民宿、特色小镇等发展训练基地，把崖州建设成为沙滩运动为主、“海陆空”兼备、盈利模式清晰的体育旅游示范区。</w:t>
      </w:r>
    </w:p>
    <w:p>
      <w:pPr>
        <w:pStyle w:val="5"/>
        <w:bidi w:val="0"/>
        <w:rPr>
          <w:rFonts w:hint="eastAsia"/>
          <w:lang w:val="en-US" w:eastAsia="zh-CN"/>
        </w:rPr>
      </w:pPr>
      <w:bookmarkStart w:id="564" w:name="_Toc3237"/>
      <w:bookmarkStart w:id="565" w:name="_Toc10811"/>
      <w:r>
        <w:rPr>
          <w:rFonts w:hint="eastAsia"/>
          <w:lang w:val="en-US" w:eastAsia="zh-CN"/>
        </w:rPr>
        <w:t>2.投资方和匡算</w:t>
      </w:r>
      <w:bookmarkEnd w:id="564"/>
      <w:bookmarkEnd w:id="565"/>
    </w:p>
    <w:p>
      <w:pPr>
        <w:rPr>
          <w:rFonts w:hint="default"/>
          <w:lang w:val="en-US" w:eastAsia="zh-CN"/>
        </w:rPr>
      </w:pPr>
      <w:r>
        <w:rPr>
          <w:rFonts w:hint="eastAsia" w:ascii="仿宋_GB2312" w:eastAsia="仿宋_GB2312"/>
          <w:lang w:val="en-US" w:eastAsia="zh-CN"/>
        </w:rPr>
        <w:t>基础设施投资方为城投公司，沙滩运动体育设施以可移动临时性设施为主，观赛区以半固定简易设施为主，基础投入100万。城投公司积极参与酒店、渔村民宿、特色小镇建设，获取长期稳定收益。</w:t>
      </w:r>
    </w:p>
    <w:p>
      <w:pPr>
        <w:pStyle w:val="5"/>
        <w:bidi w:val="0"/>
        <w:rPr>
          <w:rFonts w:hint="eastAsia"/>
          <w:lang w:val="en-US" w:eastAsia="zh-CN"/>
        </w:rPr>
      </w:pPr>
      <w:bookmarkStart w:id="566" w:name="_Toc25149"/>
      <w:bookmarkStart w:id="567" w:name="_Toc20631"/>
      <w:r>
        <w:rPr>
          <w:rFonts w:hint="eastAsia"/>
          <w:lang w:val="en-US" w:eastAsia="zh-CN"/>
        </w:rPr>
        <w:t>3.选址建议</w:t>
      </w:r>
      <w:bookmarkEnd w:id="566"/>
      <w:bookmarkEnd w:id="567"/>
    </w:p>
    <w:p>
      <w:pPr>
        <w:rPr>
          <w:rFonts w:hint="eastAsia"/>
          <w:lang w:val="en-US" w:eastAsia="zh-CN"/>
        </w:rPr>
      </w:pPr>
      <w:r>
        <w:rPr>
          <w:rFonts w:hint="eastAsia" w:ascii="仿宋_GB2312" w:eastAsia="仿宋_GB2312"/>
          <w:lang w:val="en-US" w:eastAsia="zh-CN"/>
        </w:rPr>
        <w:t>自梅山角头湾顶端向北直线1000米沙滩，以及沙滩后方（东部）部分林地、农村集体建设用地。</w:t>
      </w:r>
    </w:p>
    <w:p>
      <w:pPr>
        <w:ind w:left="0" w:leftChars="0" w:firstLine="0" w:firstLineChars="0"/>
        <w:jc w:val="center"/>
        <w:rPr>
          <w:rFonts w:hint="eastAsia" w:ascii="楷体" w:hAnsi="楷体" w:eastAsia="楷体" w:cs="楷体"/>
          <w:b w:val="0"/>
          <w:bCs w:val="0"/>
          <w:sz w:val="28"/>
          <w:szCs w:val="28"/>
          <w:lang w:val="en-US" w:eastAsia="zh-CN"/>
        </w:rPr>
      </w:pPr>
      <w:r>
        <w:rPr>
          <w:rFonts w:hint="eastAsia" w:ascii="楷体" w:hAnsi="楷体" w:eastAsia="楷体" w:cs="楷体"/>
          <w:b w:val="0"/>
          <w:bCs w:val="0"/>
          <w:sz w:val="28"/>
          <w:szCs w:val="28"/>
          <w:lang w:val="en-US" w:eastAsia="zh-CN"/>
        </w:rPr>
        <w:drawing>
          <wp:inline distT="0" distB="0" distL="114300" distR="114300">
            <wp:extent cx="5228590" cy="2937510"/>
            <wp:effectExtent l="0" t="0" r="10160" b="15240"/>
            <wp:docPr id="27" name="图片 27" descr="制图ppt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制图ppt_06"/>
                    <pic:cNvPicPr>
                      <a:picLocks noChangeAspect="1"/>
                    </pic:cNvPicPr>
                  </pic:nvPicPr>
                  <pic:blipFill>
                    <a:blip r:embed="rId35"/>
                    <a:srcRect t="9039" b="10243"/>
                    <a:stretch>
                      <a:fillRect/>
                    </a:stretch>
                  </pic:blipFill>
                  <pic:spPr>
                    <a:xfrm>
                      <a:off x="0" y="0"/>
                      <a:ext cx="5228590" cy="2937510"/>
                    </a:xfrm>
                    <a:prstGeom prst="rect">
                      <a:avLst/>
                    </a:prstGeom>
                  </pic:spPr>
                </pic:pic>
              </a:graphicData>
            </a:graphic>
          </wp:inline>
        </w:drawing>
      </w:r>
    </w:p>
    <w:p>
      <w:pPr>
        <w:ind w:left="0" w:leftChars="0" w:firstLine="0" w:firstLineChars="0"/>
        <w:jc w:val="center"/>
        <w:rPr>
          <w:rFonts w:hint="eastAsia" w:ascii="楷体" w:hAnsi="楷体" w:eastAsia="楷体" w:cs="楷体"/>
          <w:b w:val="0"/>
          <w:bCs w:val="0"/>
          <w:sz w:val="28"/>
          <w:szCs w:val="28"/>
          <w:highlight w:val="none"/>
          <w:lang w:val="en-US" w:eastAsia="zh-CN"/>
        </w:rPr>
      </w:pPr>
      <w:r>
        <w:rPr>
          <w:rFonts w:hint="eastAsia" w:ascii="楷体" w:hAnsi="楷体" w:eastAsia="楷体" w:cs="楷体"/>
          <w:b w:val="0"/>
          <w:bCs w:val="0"/>
          <w:sz w:val="28"/>
          <w:szCs w:val="28"/>
          <w:highlight w:val="none"/>
          <w:lang w:val="en-US" w:eastAsia="zh-CN"/>
        </w:rPr>
        <w:t>图13  角头湾沙滩运动公园项目选址建议</w:t>
      </w:r>
    </w:p>
    <w:p>
      <w:pPr>
        <w:pStyle w:val="4"/>
        <w:numPr>
          <w:ilvl w:val="0"/>
          <w:numId w:val="54"/>
        </w:numPr>
        <w:bidi w:val="0"/>
        <w:rPr>
          <w:rFonts w:hint="default"/>
          <w:lang w:val="en-US" w:eastAsia="zh-CN"/>
        </w:rPr>
      </w:pPr>
      <w:bookmarkStart w:id="568" w:name="_Toc16273"/>
      <w:bookmarkStart w:id="569" w:name="_Toc25341"/>
      <w:r>
        <w:rPr>
          <w:rFonts w:hint="eastAsia"/>
          <w:lang w:val="en-US" w:eastAsia="zh-CN"/>
        </w:rPr>
        <w:t>梅联（或镇海）疍家小镇项目</w:t>
      </w:r>
      <w:bookmarkEnd w:id="568"/>
      <w:bookmarkEnd w:id="569"/>
    </w:p>
    <w:p>
      <w:pPr>
        <w:pStyle w:val="5"/>
        <w:bidi w:val="0"/>
        <w:rPr>
          <w:rFonts w:hint="eastAsia"/>
          <w:lang w:val="en-US" w:eastAsia="zh-CN"/>
        </w:rPr>
      </w:pPr>
      <w:bookmarkStart w:id="570" w:name="_Toc13861"/>
      <w:bookmarkStart w:id="571" w:name="_Toc31123"/>
      <w:r>
        <w:rPr>
          <w:rFonts w:hint="eastAsia"/>
          <w:lang w:val="en-US" w:eastAsia="zh-CN"/>
        </w:rPr>
        <w:t>1.项目概况</w:t>
      </w:r>
      <w:bookmarkEnd w:id="570"/>
      <w:bookmarkEnd w:id="571"/>
    </w:p>
    <w:p>
      <w:pPr>
        <w:rPr>
          <w:rFonts w:hint="eastAsia"/>
          <w:lang w:val="en-US" w:eastAsia="zh-CN"/>
        </w:rPr>
      </w:pPr>
      <w:r>
        <w:rPr>
          <w:rFonts w:hint="eastAsia"/>
          <w:lang w:val="en-US" w:eastAsia="zh-CN"/>
        </w:rPr>
        <w:t>崖州区梅联社区（梅西村）北临海榆西线，西向直面南海，紧临海岸线，无树林、养殖塘、道路等阻挡遮挡，是全岛南部岸线稀有的紧临直面南海的村落。全岛南部岸线与梅西村类似的村落有乐东市莺歌海镇，但体量规模较大，不宜打造整体形象；崖州区镇海村区位很好、规模适中，但闲置民宅不足、居住用地难以拓展；天涯区马岭社区开发较好，已经成为三亚网红村，但采用了地中海式风格、弱化了海南文化特色，缺少文化根基。梅西村规模适中、形态较规整，配合正在实施的听海婚庆公园，突出村民居村落整体形象，打造疍家特色风格美丽乡村，定位成为直面南海、亲水亲沙的疍家风情特色民宿小镇，改造村落民居发展具有南海渔业疍家风情特色民宿，突出婚庆、渔猎、渔歌等文化主题，打造婚庆公园、渔村体验、亲海亲沙、渔家餐饮、休闲养生、娱乐运动、垂钓体验、文化漫游等动静结合主线，引入培育一批优质特色民宿、餐厅、咖啡馆，打造梅西网红渔村。</w:t>
      </w:r>
    </w:p>
    <w:p>
      <w:pPr>
        <w:rPr>
          <w:rFonts w:hint="default"/>
          <w:lang w:val="en-US" w:eastAsia="zh-CN"/>
        </w:rPr>
      </w:pPr>
      <w:r>
        <w:rPr>
          <w:rFonts w:hint="eastAsia"/>
          <w:lang w:val="en-US" w:eastAsia="zh-CN"/>
        </w:rPr>
        <w:t>根据梅西村体量规模，参考天涯区马岭社区，充分开发后可以容纳100家特色民宿、100家餐饮、休闲、娱乐、购物、体验类业态商铺。初步形成规模后，保守预计年吸引过夜游客10万人次、营业总收入1亿元。</w:t>
      </w:r>
    </w:p>
    <w:p>
      <w:pPr>
        <w:pStyle w:val="5"/>
        <w:bidi w:val="0"/>
        <w:rPr>
          <w:rFonts w:hint="default"/>
          <w:lang w:val="en-US" w:eastAsia="zh-CN"/>
        </w:rPr>
      </w:pPr>
      <w:bookmarkStart w:id="572" w:name="_Toc2766"/>
      <w:bookmarkStart w:id="573" w:name="_Toc21246"/>
      <w:r>
        <w:rPr>
          <w:rFonts w:hint="eastAsia"/>
          <w:lang w:val="en-US" w:eastAsia="zh-CN"/>
        </w:rPr>
        <w:t>2.选址建议</w:t>
      </w:r>
      <w:bookmarkEnd w:id="572"/>
      <w:bookmarkEnd w:id="573"/>
    </w:p>
    <w:p>
      <w:pPr>
        <w:rPr>
          <w:rFonts w:hint="default"/>
          <w:lang w:val="en-US" w:eastAsia="zh-CN"/>
        </w:rPr>
      </w:pPr>
      <w:r>
        <w:rPr>
          <w:rFonts w:hint="eastAsia"/>
          <w:lang w:val="en-US" w:eastAsia="zh-CN"/>
        </w:rPr>
        <w:t>利用梅西村已有房屋和集体建设用地，做好沿海一线、沿街二线、格子街区功能单元规划设计，整体打包设计开发，吸引外部资源进入。</w:t>
      </w:r>
    </w:p>
    <w:p>
      <w:pPr>
        <w:ind w:left="0" w:leftChars="0" w:firstLine="0" w:firstLineChars="0"/>
        <w:jc w:val="center"/>
      </w:pPr>
      <w:r>
        <w:drawing>
          <wp:inline distT="0" distB="0" distL="114300" distR="114300">
            <wp:extent cx="2436495" cy="1762125"/>
            <wp:effectExtent l="0" t="0" r="1905" b="9525"/>
            <wp:docPr id="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
                    <pic:cNvPicPr>
                      <a:picLocks noChangeAspect="1"/>
                    </pic:cNvPicPr>
                  </pic:nvPicPr>
                  <pic:blipFill>
                    <a:blip r:embed="rId36"/>
                    <a:stretch>
                      <a:fillRect/>
                    </a:stretch>
                  </pic:blipFill>
                  <pic:spPr>
                    <a:xfrm>
                      <a:off x="0" y="0"/>
                      <a:ext cx="2436495" cy="1762125"/>
                    </a:xfrm>
                    <a:prstGeom prst="rect">
                      <a:avLst/>
                    </a:prstGeom>
                    <a:noFill/>
                    <a:ln>
                      <a:noFill/>
                    </a:ln>
                  </pic:spPr>
                </pic:pic>
              </a:graphicData>
            </a:graphic>
          </wp:inline>
        </w:drawing>
      </w:r>
      <w:r>
        <w:drawing>
          <wp:inline distT="0" distB="0" distL="114300" distR="114300">
            <wp:extent cx="2706370" cy="1765300"/>
            <wp:effectExtent l="0" t="0" r="17780" b="6350"/>
            <wp:docPr id="3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
                    <pic:cNvPicPr>
                      <a:picLocks noChangeAspect="1"/>
                    </pic:cNvPicPr>
                  </pic:nvPicPr>
                  <pic:blipFill>
                    <a:blip r:embed="rId37"/>
                    <a:stretch>
                      <a:fillRect/>
                    </a:stretch>
                  </pic:blipFill>
                  <pic:spPr>
                    <a:xfrm>
                      <a:off x="0" y="0"/>
                      <a:ext cx="2706370" cy="1765300"/>
                    </a:xfrm>
                    <a:prstGeom prst="rect">
                      <a:avLst/>
                    </a:prstGeom>
                    <a:noFill/>
                    <a:ln>
                      <a:noFill/>
                    </a:ln>
                  </pic:spPr>
                </pic:pic>
              </a:graphicData>
            </a:graphic>
          </wp:inline>
        </w:drawing>
      </w:r>
    </w:p>
    <w:p>
      <w:pPr>
        <w:ind w:left="0" w:leftChars="0" w:firstLine="0" w:firstLineChars="0"/>
        <w:jc w:val="center"/>
        <w:rPr>
          <w:rFonts w:hint="eastAsia"/>
          <w:lang w:val="en-US" w:eastAsia="zh-CN"/>
        </w:rPr>
      </w:pPr>
      <w:r>
        <w:drawing>
          <wp:inline distT="0" distB="0" distL="114300" distR="114300">
            <wp:extent cx="2509520" cy="1752600"/>
            <wp:effectExtent l="0" t="0" r="5080" b="0"/>
            <wp:docPr id="4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
                    <pic:cNvPicPr>
                      <a:picLocks noChangeAspect="1"/>
                    </pic:cNvPicPr>
                  </pic:nvPicPr>
                  <pic:blipFill>
                    <a:blip r:embed="rId38"/>
                    <a:stretch>
                      <a:fillRect/>
                    </a:stretch>
                  </pic:blipFill>
                  <pic:spPr>
                    <a:xfrm>
                      <a:off x="0" y="0"/>
                      <a:ext cx="2509520" cy="175260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2299970" cy="1737995"/>
            <wp:effectExtent l="0" t="0" r="5080" b="14605"/>
            <wp:docPr id="4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
                    <pic:cNvPicPr>
                      <a:picLocks noChangeAspect="1"/>
                    </pic:cNvPicPr>
                  </pic:nvPicPr>
                  <pic:blipFill>
                    <a:blip r:embed="rId39"/>
                    <a:stretch>
                      <a:fillRect/>
                    </a:stretch>
                  </pic:blipFill>
                  <pic:spPr>
                    <a:xfrm>
                      <a:off x="0" y="0"/>
                      <a:ext cx="2299970" cy="1737995"/>
                    </a:xfrm>
                    <a:prstGeom prst="rect">
                      <a:avLst/>
                    </a:prstGeom>
                    <a:noFill/>
                    <a:ln>
                      <a:noFill/>
                    </a:ln>
                  </pic:spPr>
                </pic:pic>
              </a:graphicData>
            </a:graphic>
          </wp:inline>
        </w:drawing>
      </w:r>
    </w:p>
    <w:p>
      <w:pPr>
        <w:ind w:left="0" w:leftChars="0" w:firstLine="0" w:firstLineChars="0"/>
        <w:jc w:val="center"/>
        <w:rPr>
          <w:rFonts w:hint="eastAsia" w:ascii="楷体" w:hAnsi="楷体" w:eastAsia="楷体" w:cs="楷体"/>
          <w:b w:val="0"/>
          <w:bCs w:val="0"/>
          <w:sz w:val="28"/>
          <w:szCs w:val="28"/>
          <w:highlight w:val="none"/>
          <w:lang w:val="en-US" w:eastAsia="zh-CN"/>
        </w:rPr>
      </w:pPr>
      <w:r>
        <w:rPr>
          <w:rFonts w:hint="eastAsia" w:ascii="楷体" w:hAnsi="楷体" w:eastAsia="楷体" w:cs="楷体"/>
          <w:b w:val="0"/>
          <w:bCs w:val="0"/>
          <w:sz w:val="28"/>
          <w:szCs w:val="28"/>
          <w:highlight w:val="none"/>
          <w:lang w:val="en-US" w:eastAsia="zh-CN"/>
        </w:rPr>
        <w:t>图14  海南岛南部岸线4个紧临海岸线乡村区位条件对比</w:t>
      </w:r>
    </w:p>
    <w:p>
      <w:pPr>
        <w:ind w:left="0" w:leftChars="0" w:firstLine="0" w:firstLineChars="0"/>
        <w:jc w:val="center"/>
        <w:rPr>
          <w:rFonts w:hint="default" w:ascii="楷体" w:hAnsi="楷体" w:eastAsia="楷体" w:cs="楷体"/>
          <w:b w:val="0"/>
          <w:bCs w:val="0"/>
          <w:sz w:val="28"/>
          <w:szCs w:val="28"/>
          <w:highlight w:val="none"/>
          <w:lang w:val="en-US" w:eastAsia="zh-CN"/>
        </w:rPr>
      </w:pPr>
      <w:r>
        <w:rPr>
          <w:rFonts w:hint="eastAsia" w:ascii="楷体" w:hAnsi="楷体" w:eastAsia="楷体" w:cs="楷体"/>
          <w:b w:val="0"/>
          <w:bCs w:val="0"/>
          <w:sz w:val="28"/>
          <w:szCs w:val="28"/>
          <w:highlight w:val="none"/>
          <w:lang w:val="en-US" w:eastAsia="zh-CN"/>
        </w:rPr>
        <w:drawing>
          <wp:inline distT="0" distB="0" distL="114300" distR="114300">
            <wp:extent cx="1294765" cy="1725295"/>
            <wp:effectExtent l="0" t="0" r="635" b="8255"/>
            <wp:docPr id="43"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 descr="IMG_256"/>
                    <pic:cNvPicPr>
                      <a:picLocks noChangeAspect="1"/>
                    </pic:cNvPicPr>
                  </pic:nvPicPr>
                  <pic:blipFill>
                    <a:blip r:embed="rId40"/>
                    <a:stretch>
                      <a:fillRect/>
                    </a:stretch>
                  </pic:blipFill>
                  <pic:spPr>
                    <a:xfrm>
                      <a:off x="0" y="0"/>
                      <a:ext cx="1294765" cy="1725295"/>
                    </a:xfrm>
                    <a:prstGeom prst="rect">
                      <a:avLst/>
                    </a:prstGeom>
                    <a:noFill/>
                    <a:ln w="9525">
                      <a:noFill/>
                    </a:ln>
                  </pic:spPr>
                </pic:pic>
              </a:graphicData>
            </a:graphic>
          </wp:inline>
        </w:drawing>
      </w:r>
      <w:r>
        <w:rPr>
          <w:rFonts w:hint="eastAsia" w:ascii="楷体" w:hAnsi="楷体" w:eastAsia="楷体" w:cs="楷体"/>
          <w:b w:val="0"/>
          <w:bCs w:val="0"/>
          <w:sz w:val="28"/>
          <w:szCs w:val="28"/>
          <w:highlight w:val="none"/>
          <w:lang w:val="en-US" w:eastAsia="zh-CN"/>
        </w:rPr>
        <w:t xml:space="preserve"> </w:t>
      </w:r>
      <w:r>
        <w:rPr>
          <w:rFonts w:hint="eastAsia" w:ascii="楷体" w:hAnsi="楷体" w:eastAsia="楷体" w:cs="楷体"/>
          <w:b w:val="0"/>
          <w:bCs w:val="0"/>
          <w:sz w:val="28"/>
          <w:szCs w:val="28"/>
          <w:highlight w:val="none"/>
          <w:lang w:val="en-US" w:eastAsia="zh-CN"/>
        </w:rPr>
        <w:drawing>
          <wp:inline distT="0" distB="0" distL="114300" distR="114300">
            <wp:extent cx="2300605" cy="1727200"/>
            <wp:effectExtent l="0" t="0" r="4445" b="6350"/>
            <wp:docPr id="47" name="图片 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8" descr="IMG_256"/>
                    <pic:cNvPicPr>
                      <a:picLocks noChangeAspect="1"/>
                    </pic:cNvPicPr>
                  </pic:nvPicPr>
                  <pic:blipFill>
                    <a:blip r:embed="rId41"/>
                    <a:stretch>
                      <a:fillRect/>
                    </a:stretch>
                  </pic:blipFill>
                  <pic:spPr>
                    <a:xfrm>
                      <a:off x="0" y="0"/>
                      <a:ext cx="2300605" cy="1727200"/>
                    </a:xfrm>
                    <a:prstGeom prst="rect">
                      <a:avLst/>
                    </a:prstGeom>
                    <a:noFill/>
                    <a:ln w="9525">
                      <a:noFill/>
                    </a:ln>
                  </pic:spPr>
                </pic:pic>
              </a:graphicData>
            </a:graphic>
          </wp:inline>
        </w:drawing>
      </w:r>
      <w:r>
        <w:rPr>
          <w:rFonts w:hint="eastAsia" w:ascii="楷体" w:hAnsi="楷体" w:eastAsia="楷体" w:cs="楷体"/>
          <w:b w:val="0"/>
          <w:bCs w:val="0"/>
          <w:sz w:val="28"/>
          <w:szCs w:val="28"/>
          <w:highlight w:val="none"/>
          <w:lang w:val="en-US" w:eastAsia="zh-CN"/>
        </w:rPr>
        <w:t xml:space="preserve"> </w:t>
      </w:r>
      <w:r>
        <w:rPr>
          <w:rFonts w:hint="eastAsia" w:ascii="楷体" w:hAnsi="楷体" w:eastAsia="楷体" w:cs="楷体"/>
          <w:b w:val="0"/>
          <w:bCs w:val="0"/>
          <w:sz w:val="28"/>
          <w:szCs w:val="28"/>
          <w:highlight w:val="none"/>
          <w:lang w:val="en-US" w:eastAsia="zh-CN"/>
        </w:rPr>
        <w:drawing>
          <wp:inline distT="0" distB="0" distL="114300" distR="114300">
            <wp:extent cx="1347470" cy="1718945"/>
            <wp:effectExtent l="0" t="0" r="5080" b="14605"/>
            <wp:docPr id="46" name="图片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7" descr="IMG_256"/>
                    <pic:cNvPicPr>
                      <a:picLocks noChangeAspect="1"/>
                    </pic:cNvPicPr>
                  </pic:nvPicPr>
                  <pic:blipFill>
                    <a:blip r:embed="rId42"/>
                    <a:stretch>
                      <a:fillRect/>
                    </a:stretch>
                  </pic:blipFill>
                  <pic:spPr>
                    <a:xfrm>
                      <a:off x="0" y="0"/>
                      <a:ext cx="1347470" cy="1718945"/>
                    </a:xfrm>
                    <a:prstGeom prst="rect">
                      <a:avLst/>
                    </a:prstGeom>
                    <a:noFill/>
                    <a:ln w="9525">
                      <a:noFill/>
                    </a:ln>
                  </pic:spPr>
                </pic:pic>
              </a:graphicData>
            </a:graphic>
          </wp:inline>
        </w:drawing>
      </w:r>
    </w:p>
    <w:p>
      <w:pPr>
        <w:ind w:left="0" w:leftChars="0" w:firstLine="0" w:firstLineChars="0"/>
        <w:jc w:val="center"/>
        <w:rPr>
          <w:rFonts w:hint="default" w:ascii="楷体" w:hAnsi="楷体" w:eastAsia="楷体" w:cs="楷体"/>
          <w:b w:val="0"/>
          <w:bCs w:val="0"/>
          <w:sz w:val="28"/>
          <w:szCs w:val="28"/>
          <w:highlight w:val="none"/>
          <w:lang w:val="en-US" w:eastAsia="zh-CN"/>
        </w:rPr>
      </w:pPr>
      <w:r>
        <w:rPr>
          <w:rFonts w:hint="default" w:ascii="楷体" w:hAnsi="楷体" w:eastAsia="楷体" w:cs="楷体"/>
          <w:b w:val="0"/>
          <w:bCs w:val="0"/>
          <w:sz w:val="28"/>
          <w:szCs w:val="28"/>
          <w:highlight w:val="none"/>
          <w:lang w:val="en-US" w:eastAsia="zh-CN"/>
        </w:rPr>
        <w:drawing>
          <wp:inline distT="0" distB="0" distL="114300" distR="114300">
            <wp:extent cx="1564005" cy="2089150"/>
            <wp:effectExtent l="0" t="0" r="17145" b="6350"/>
            <wp:docPr id="45"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6" descr="IMG_256"/>
                    <pic:cNvPicPr>
                      <a:picLocks noChangeAspect="1"/>
                    </pic:cNvPicPr>
                  </pic:nvPicPr>
                  <pic:blipFill>
                    <a:blip r:embed="rId43"/>
                    <a:stretch>
                      <a:fillRect/>
                    </a:stretch>
                  </pic:blipFill>
                  <pic:spPr>
                    <a:xfrm>
                      <a:off x="0" y="0"/>
                      <a:ext cx="1564005" cy="2089150"/>
                    </a:xfrm>
                    <a:prstGeom prst="rect">
                      <a:avLst/>
                    </a:prstGeom>
                    <a:noFill/>
                    <a:ln w="9525">
                      <a:noFill/>
                    </a:ln>
                  </pic:spPr>
                </pic:pic>
              </a:graphicData>
            </a:graphic>
          </wp:inline>
        </w:drawing>
      </w:r>
      <w:r>
        <w:rPr>
          <w:rFonts w:hint="default" w:ascii="楷体" w:hAnsi="楷体" w:eastAsia="楷体" w:cs="楷体"/>
          <w:b w:val="0"/>
          <w:bCs w:val="0"/>
          <w:sz w:val="28"/>
          <w:szCs w:val="28"/>
          <w:highlight w:val="none"/>
          <w:lang w:val="en-US" w:eastAsia="zh-CN"/>
        </w:rPr>
        <w:drawing>
          <wp:inline distT="0" distB="0" distL="114300" distR="114300">
            <wp:extent cx="2052955" cy="1541145"/>
            <wp:effectExtent l="0" t="0" r="4445" b="1905"/>
            <wp:docPr id="48" name="图片 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9" descr="IMG_256"/>
                    <pic:cNvPicPr>
                      <a:picLocks noChangeAspect="1"/>
                    </pic:cNvPicPr>
                  </pic:nvPicPr>
                  <pic:blipFill>
                    <a:blip r:embed="rId44"/>
                    <a:stretch>
                      <a:fillRect/>
                    </a:stretch>
                  </pic:blipFill>
                  <pic:spPr>
                    <a:xfrm>
                      <a:off x="0" y="0"/>
                      <a:ext cx="2052955" cy="1541145"/>
                    </a:xfrm>
                    <a:prstGeom prst="rect">
                      <a:avLst/>
                    </a:prstGeom>
                    <a:noFill/>
                    <a:ln w="9525">
                      <a:noFill/>
                    </a:ln>
                  </pic:spPr>
                </pic:pic>
              </a:graphicData>
            </a:graphic>
          </wp:inline>
        </w:drawing>
      </w:r>
      <w:r>
        <w:rPr>
          <w:rFonts w:hint="eastAsia" w:ascii="楷体" w:hAnsi="楷体" w:eastAsia="楷体" w:cs="楷体"/>
          <w:b w:val="0"/>
          <w:bCs w:val="0"/>
          <w:sz w:val="28"/>
          <w:szCs w:val="28"/>
          <w:highlight w:val="none"/>
          <w:lang w:val="en-US" w:eastAsia="zh-CN"/>
        </w:rPr>
        <w:drawing>
          <wp:inline distT="0" distB="0" distL="114300" distR="114300">
            <wp:extent cx="1581150" cy="2106295"/>
            <wp:effectExtent l="0" t="0" r="0" b="8255"/>
            <wp:docPr id="42"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3" descr="IMG_256"/>
                    <pic:cNvPicPr>
                      <a:picLocks noChangeAspect="1"/>
                    </pic:cNvPicPr>
                  </pic:nvPicPr>
                  <pic:blipFill>
                    <a:blip r:embed="rId45"/>
                    <a:stretch>
                      <a:fillRect/>
                    </a:stretch>
                  </pic:blipFill>
                  <pic:spPr>
                    <a:xfrm>
                      <a:off x="0" y="0"/>
                      <a:ext cx="1581150" cy="2106295"/>
                    </a:xfrm>
                    <a:prstGeom prst="rect">
                      <a:avLst/>
                    </a:prstGeom>
                    <a:noFill/>
                    <a:ln w="9525">
                      <a:noFill/>
                    </a:ln>
                  </pic:spPr>
                </pic:pic>
              </a:graphicData>
            </a:graphic>
          </wp:inline>
        </w:drawing>
      </w:r>
    </w:p>
    <w:p>
      <w:pPr>
        <w:ind w:left="0" w:leftChars="0" w:firstLine="0" w:firstLineChars="0"/>
        <w:jc w:val="center"/>
        <w:rPr>
          <w:rFonts w:hint="eastAsia" w:ascii="楷体" w:hAnsi="楷体" w:eastAsia="楷体" w:cs="楷体"/>
          <w:b w:val="0"/>
          <w:bCs w:val="0"/>
          <w:sz w:val="28"/>
          <w:szCs w:val="28"/>
          <w:highlight w:val="none"/>
          <w:lang w:val="en-US" w:eastAsia="zh-CN"/>
        </w:rPr>
      </w:pPr>
      <w:r>
        <w:rPr>
          <w:rFonts w:hint="eastAsia" w:ascii="楷体" w:hAnsi="楷体" w:eastAsia="楷体" w:cs="楷体"/>
          <w:b w:val="0"/>
          <w:bCs w:val="0"/>
          <w:sz w:val="28"/>
          <w:szCs w:val="28"/>
          <w:highlight w:val="none"/>
          <w:lang w:val="en-US" w:eastAsia="zh-CN"/>
        </w:rPr>
        <w:t>图15  案例对标：天涯区马岭社区整体包装开发实景图</w:t>
      </w:r>
    </w:p>
    <w:p>
      <w:pPr>
        <w:pStyle w:val="4"/>
        <w:numPr>
          <w:ilvl w:val="0"/>
          <w:numId w:val="54"/>
        </w:numPr>
        <w:bidi w:val="0"/>
        <w:rPr>
          <w:rFonts w:hint="default"/>
          <w:lang w:val="en-US" w:eastAsia="zh-CN"/>
        </w:rPr>
      </w:pPr>
      <w:bookmarkStart w:id="574" w:name="_Toc2142"/>
      <w:bookmarkStart w:id="575" w:name="_Toc30756"/>
      <w:r>
        <w:rPr>
          <w:rFonts w:hint="eastAsia"/>
          <w:lang w:val="en-US" w:eastAsia="zh-CN"/>
        </w:rPr>
        <w:t>梅联角头湾国际婚庆旅游小镇项目</w:t>
      </w:r>
      <w:bookmarkEnd w:id="574"/>
      <w:r>
        <w:rPr>
          <w:rFonts w:hint="eastAsia"/>
          <w:lang w:val="en-US" w:eastAsia="zh-CN"/>
        </w:rPr>
        <w:t>（已启动）</w:t>
      </w:r>
      <w:bookmarkEnd w:id="575"/>
    </w:p>
    <w:p>
      <w:pPr>
        <w:pStyle w:val="5"/>
        <w:bidi w:val="0"/>
        <w:rPr>
          <w:rFonts w:hint="eastAsia"/>
          <w:lang w:val="en-US" w:eastAsia="zh-CN"/>
        </w:rPr>
      </w:pPr>
      <w:bookmarkStart w:id="576" w:name="_Toc6572"/>
      <w:bookmarkStart w:id="577" w:name="_Toc9983"/>
      <w:r>
        <w:rPr>
          <w:rFonts w:hint="eastAsia"/>
          <w:lang w:val="en-US" w:eastAsia="zh-CN"/>
        </w:rPr>
        <w:t>1.项目概况</w:t>
      </w:r>
      <w:bookmarkEnd w:id="576"/>
      <w:bookmarkEnd w:id="577"/>
    </w:p>
    <w:p>
      <w:pPr>
        <w:rPr>
          <w:rFonts w:hint="eastAsia"/>
          <w:lang w:val="en-US" w:eastAsia="zh-CN"/>
        </w:rPr>
      </w:pPr>
      <w:r>
        <w:rPr>
          <w:rFonts w:hint="eastAsia" w:ascii="仿宋_GB2312" w:eastAsia="仿宋_GB2312"/>
          <w:lang w:val="en-US" w:eastAsia="zh-CN"/>
        </w:rPr>
        <w:t>在梅山角头湾建设“南海之恋”地标，建设婚恋类主题雕塑小品、热带苗圃、四季花廊、植物迷宫、探海平台等景观，打造外景拍摄、营车基地、休闲度假、活动举办、商务服务等功能，吸引旅拍公司进入，打造业内闻名的旅拍外景基地。</w:t>
      </w:r>
    </w:p>
    <w:p>
      <w:pPr>
        <w:rPr>
          <w:rFonts w:hint="default"/>
          <w:lang w:val="en-US" w:eastAsia="zh-CN"/>
        </w:rPr>
      </w:pPr>
      <w:r>
        <w:rPr>
          <w:rFonts w:hint="eastAsia" w:ascii="仿宋_GB2312" w:eastAsia="仿宋_GB2312"/>
          <w:lang w:val="en-US" w:eastAsia="zh-CN"/>
        </w:rPr>
        <w:t>新建项目以雕塑、小品、户外休憩设施、海岸带生态绿化、沙滩景观提升为主，尽量不占用建设用地指标。沙滩后方服务设施，通过改造提升现有农村集体建设用地的地上建筑，满足使用需求。</w:t>
      </w:r>
    </w:p>
    <w:p>
      <w:pPr>
        <w:pStyle w:val="5"/>
        <w:bidi w:val="0"/>
        <w:rPr>
          <w:rFonts w:hint="eastAsia"/>
          <w:lang w:val="en-US" w:eastAsia="zh-CN"/>
        </w:rPr>
      </w:pPr>
      <w:bookmarkStart w:id="578" w:name="_Toc21144"/>
      <w:bookmarkStart w:id="579" w:name="_Toc12798"/>
      <w:r>
        <w:rPr>
          <w:rFonts w:hint="eastAsia"/>
          <w:lang w:val="en-US" w:eastAsia="zh-CN"/>
        </w:rPr>
        <w:t>2.投资方和匡算</w:t>
      </w:r>
      <w:bookmarkEnd w:id="578"/>
      <w:bookmarkEnd w:id="579"/>
    </w:p>
    <w:p>
      <w:pPr>
        <w:rPr>
          <w:rFonts w:hint="default"/>
          <w:lang w:val="en-US" w:eastAsia="zh-CN"/>
        </w:rPr>
      </w:pPr>
      <w:r>
        <w:rPr>
          <w:rFonts w:hint="eastAsia" w:ascii="仿宋_GB2312" w:eastAsia="仿宋_GB2312"/>
          <w:lang w:val="en-US" w:eastAsia="zh-CN"/>
        </w:rPr>
        <w:t>投资方为城投公司，总投资400万，每年维护费用25万。</w:t>
      </w:r>
    </w:p>
    <w:p>
      <w:pPr>
        <w:rPr>
          <w:rFonts w:hint="eastAsia"/>
          <w:lang w:val="en-US" w:eastAsia="zh-CN"/>
        </w:rPr>
      </w:pPr>
      <w:r>
        <w:rPr>
          <w:rFonts w:hint="eastAsia" w:ascii="仿宋_GB2312" w:eastAsia="仿宋_GB2312"/>
          <w:lang w:val="en-US" w:eastAsia="zh-CN"/>
        </w:rPr>
        <w:t>（1）建设沙滩主题雕塑小品、热带植物苗圃、四季曲折花廊、小型植物迷宫、探海观景平台（沙滩后方高地），投资约200万。</w:t>
      </w:r>
    </w:p>
    <w:p>
      <w:pPr>
        <w:rPr>
          <w:rFonts w:hint="eastAsia"/>
          <w:lang w:val="en-US" w:eastAsia="zh-CN"/>
        </w:rPr>
      </w:pPr>
      <w:r>
        <w:rPr>
          <w:rFonts w:hint="eastAsia" w:ascii="仿宋_GB2312" w:eastAsia="仿宋_GB2312"/>
          <w:lang w:val="en-US" w:eastAsia="zh-CN"/>
        </w:rPr>
        <w:t>（2）利用沙滩后方农村建设用地，建设2000平方米停车场，包括公共卫生间、户外自来水池、野炊凉亭等设施，提供车辆停放、露营基地、临时休憩功能，投资约100万。</w:t>
      </w:r>
    </w:p>
    <w:p>
      <w:pPr>
        <w:rPr>
          <w:rFonts w:hint="default"/>
          <w:lang w:val="en-US" w:eastAsia="zh-CN"/>
        </w:rPr>
      </w:pPr>
      <w:r>
        <w:rPr>
          <w:rFonts w:hint="eastAsia" w:ascii="仿宋_GB2312" w:eastAsia="仿宋_GB2312"/>
          <w:lang w:val="en-US" w:eastAsia="zh-CN"/>
        </w:rPr>
        <w:t>（3）利用沙滩后方农村建设用地，新建或提升现有建筑功能，建设接待服务中心，具备接待、化妆、更衣、便利店、咖啡厅、临时休息功能，投资约100万。</w:t>
      </w:r>
    </w:p>
    <w:p>
      <w:pPr>
        <w:rPr>
          <w:rFonts w:hint="default"/>
          <w:lang w:val="en-US" w:eastAsia="zh-CN"/>
        </w:rPr>
      </w:pPr>
      <w:r>
        <w:rPr>
          <w:rFonts w:hint="eastAsia" w:ascii="仿宋_GB2312" w:eastAsia="仿宋_GB2312"/>
          <w:lang w:val="en-US" w:eastAsia="zh-CN"/>
        </w:rPr>
        <w:t>（4）日常保洁、景观修复、绿化维护等工作，每年费用25万（含水电费5万）。</w:t>
      </w:r>
    </w:p>
    <w:p>
      <w:pPr>
        <w:pStyle w:val="5"/>
        <w:bidi w:val="0"/>
        <w:rPr>
          <w:rFonts w:hint="eastAsia"/>
          <w:lang w:val="en-US" w:eastAsia="zh-CN"/>
        </w:rPr>
      </w:pPr>
      <w:bookmarkStart w:id="580" w:name="_Toc9614"/>
      <w:bookmarkStart w:id="581" w:name="_Toc7672"/>
      <w:r>
        <w:rPr>
          <w:rFonts w:hint="eastAsia"/>
          <w:lang w:val="en-US" w:eastAsia="zh-CN"/>
        </w:rPr>
        <w:t>3.选址建议</w:t>
      </w:r>
      <w:bookmarkEnd w:id="580"/>
      <w:bookmarkEnd w:id="581"/>
    </w:p>
    <w:p>
      <w:pPr>
        <w:rPr>
          <w:rFonts w:hint="eastAsia"/>
          <w:lang w:val="en-US" w:eastAsia="zh-CN"/>
        </w:rPr>
      </w:pPr>
      <w:r>
        <w:rPr>
          <w:rFonts w:hint="eastAsia" w:ascii="仿宋_GB2312" w:eastAsia="仿宋_GB2312"/>
          <w:lang w:val="en-US" w:eastAsia="zh-CN"/>
        </w:rPr>
        <w:t>自梅山角头湾顶端向东直线600米沙滩，以及沙滩后方（北部）部分农村集体建设用地和地上建筑设施。</w:t>
      </w:r>
    </w:p>
    <w:p>
      <w:pPr>
        <w:ind w:left="0" w:leftChars="0" w:firstLine="0" w:firstLineChars="0"/>
        <w:jc w:val="center"/>
        <w:rPr>
          <w:rFonts w:hint="eastAsia" w:ascii="楷体" w:hAnsi="楷体" w:eastAsia="楷体" w:cs="楷体"/>
          <w:b w:val="0"/>
          <w:bCs w:val="0"/>
          <w:sz w:val="28"/>
          <w:szCs w:val="28"/>
          <w:lang w:val="en-US" w:eastAsia="zh-CN"/>
        </w:rPr>
      </w:pPr>
      <w:r>
        <w:rPr>
          <w:rFonts w:hint="eastAsia" w:ascii="楷体" w:hAnsi="楷体" w:eastAsia="楷体" w:cs="楷体"/>
          <w:b w:val="0"/>
          <w:bCs w:val="0"/>
          <w:sz w:val="28"/>
          <w:szCs w:val="28"/>
          <w:lang w:val="en-US" w:eastAsia="zh-CN"/>
        </w:rPr>
        <w:drawing>
          <wp:inline distT="0" distB="0" distL="114300" distR="114300">
            <wp:extent cx="5228590" cy="2955290"/>
            <wp:effectExtent l="0" t="0" r="10160" b="16510"/>
            <wp:docPr id="26" name="图片 26" descr="制图ppt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制图ppt_05"/>
                    <pic:cNvPicPr>
                      <a:picLocks noChangeAspect="1"/>
                    </pic:cNvPicPr>
                  </pic:nvPicPr>
                  <pic:blipFill>
                    <a:blip r:embed="rId46"/>
                    <a:srcRect t="8567" b="10225"/>
                    <a:stretch>
                      <a:fillRect/>
                    </a:stretch>
                  </pic:blipFill>
                  <pic:spPr>
                    <a:xfrm>
                      <a:off x="0" y="0"/>
                      <a:ext cx="5228590" cy="2955290"/>
                    </a:xfrm>
                    <a:prstGeom prst="rect">
                      <a:avLst/>
                    </a:prstGeom>
                  </pic:spPr>
                </pic:pic>
              </a:graphicData>
            </a:graphic>
          </wp:inline>
        </w:drawing>
      </w:r>
    </w:p>
    <w:p>
      <w:pPr>
        <w:ind w:left="0" w:leftChars="0" w:firstLine="0" w:firstLineChars="0"/>
        <w:jc w:val="center"/>
        <w:rPr>
          <w:rFonts w:hint="eastAsia" w:ascii="楷体" w:hAnsi="楷体" w:eastAsia="楷体" w:cs="楷体"/>
          <w:b w:val="0"/>
          <w:bCs w:val="0"/>
          <w:sz w:val="28"/>
          <w:szCs w:val="28"/>
          <w:highlight w:val="none"/>
          <w:lang w:val="en-US" w:eastAsia="zh-CN"/>
        </w:rPr>
      </w:pPr>
      <w:r>
        <w:rPr>
          <w:rFonts w:hint="eastAsia" w:ascii="楷体" w:hAnsi="楷体" w:eastAsia="楷体" w:cs="楷体"/>
          <w:b w:val="0"/>
          <w:bCs w:val="0"/>
          <w:sz w:val="28"/>
          <w:szCs w:val="28"/>
          <w:highlight w:val="none"/>
          <w:lang w:val="en-US" w:eastAsia="zh-CN"/>
        </w:rPr>
        <w:t>图16  “南海之恋”旅拍公园项目选址建议</w:t>
      </w:r>
    </w:p>
    <w:p>
      <w:pPr>
        <w:pStyle w:val="4"/>
        <w:numPr>
          <w:ilvl w:val="0"/>
          <w:numId w:val="54"/>
        </w:numPr>
        <w:bidi w:val="0"/>
        <w:rPr>
          <w:rFonts w:hint="default"/>
          <w:lang w:val="en-US" w:eastAsia="zh-CN"/>
        </w:rPr>
      </w:pPr>
      <w:bookmarkStart w:id="582" w:name="_Toc11614"/>
      <w:bookmarkStart w:id="583" w:name="_Toc11557"/>
      <w:r>
        <w:rPr>
          <w:rFonts w:hint="default"/>
          <w:lang w:val="en-US" w:eastAsia="zh-CN"/>
        </w:rPr>
        <w:t>三亚红色革命学习基地</w:t>
      </w:r>
      <w:r>
        <w:rPr>
          <w:rFonts w:hint="eastAsia"/>
          <w:lang w:val="en-US" w:eastAsia="zh-CN"/>
        </w:rPr>
        <w:t>（梅山）项目</w:t>
      </w:r>
      <w:bookmarkEnd w:id="582"/>
    </w:p>
    <w:p>
      <w:pPr>
        <w:pStyle w:val="5"/>
        <w:bidi w:val="0"/>
        <w:rPr>
          <w:rFonts w:hint="eastAsia"/>
          <w:lang w:val="en-US" w:eastAsia="zh-CN"/>
        </w:rPr>
      </w:pPr>
      <w:bookmarkStart w:id="584" w:name="_Toc28369"/>
      <w:r>
        <w:rPr>
          <w:rFonts w:hint="eastAsia"/>
          <w:lang w:val="en-US" w:eastAsia="zh-CN"/>
        </w:rPr>
        <w:t>1.项目概况</w:t>
      </w:r>
      <w:bookmarkEnd w:id="584"/>
    </w:p>
    <w:p>
      <w:pPr>
        <w:rPr>
          <w:rFonts w:hint="default"/>
          <w:lang w:val="en-US" w:eastAsia="zh-CN"/>
        </w:rPr>
      </w:pPr>
      <w:r>
        <w:rPr>
          <w:rFonts w:hint="eastAsia"/>
          <w:lang w:val="en-US" w:eastAsia="zh-CN"/>
        </w:rPr>
        <w:t>崖州是</w:t>
      </w:r>
      <w:r>
        <w:rPr>
          <w:rFonts w:hint="default"/>
          <w:lang w:val="en-US" w:eastAsia="zh-CN"/>
        </w:rPr>
        <w:t>三亚</w:t>
      </w:r>
      <w:r>
        <w:rPr>
          <w:rFonts w:hint="eastAsia"/>
          <w:lang w:val="en-US" w:eastAsia="zh-CN"/>
        </w:rPr>
        <w:t>和海南南部红色</w:t>
      </w:r>
      <w:r>
        <w:rPr>
          <w:rFonts w:hint="default"/>
          <w:lang w:val="en-US" w:eastAsia="zh-CN"/>
        </w:rPr>
        <w:t>旅游</w:t>
      </w:r>
      <w:r>
        <w:rPr>
          <w:rFonts w:hint="eastAsia"/>
          <w:lang w:val="en-US" w:eastAsia="zh-CN"/>
        </w:rPr>
        <w:t>资源最为丰富的地区，拥有全国最南端的红色人文景观，</w:t>
      </w:r>
      <w:r>
        <w:rPr>
          <w:rFonts w:hint="default"/>
          <w:lang w:val="en-US" w:eastAsia="zh-CN"/>
        </w:rPr>
        <w:t>依托红色资源红色设施</w:t>
      </w:r>
      <w:r>
        <w:rPr>
          <w:rFonts w:hint="eastAsia"/>
          <w:lang w:val="en-US" w:eastAsia="zh-CN"/>
        </w:rPr>
        <w:t>，</w:t>
      </w:r>
      <w:r>
        <w:rPr>
          <w:rFonts w:hint="default"/>
          <w:lang w:val="en-US" w:eastAsia="zh-CN"/>
        </w:rPr>
        <w:t>挖掘红色文化丰富内涵，围绕建党100周年做好红色旅游基础设施配套建设</w:t>
      </w:r>
      <w:r>
        <w:rPr>
          <w:rFonts w:hint="eastAsia"/>
          <w:lang w:val="en-US" w:eastAsia="zh-CN"/>
        </w:rPr>
        <w:t>，配合环岛旅游公路建设做好“崖州红韵”公路驿站建设工作，建设党校、学习基地、干部学院等，</w:t>
      </w:r>
      <w:r>
        <w:rPr>
          <w:rFonts w:hint="default"/>
          <w:lang w:val="en-US" w:eastAsia="zh-CN"/>
        </w:rPr>
        <w:t>发展红色旅游</w:t>
      </w:r>
      <w:r>
        <w:rPr>
          <w:rFonts w:hint="eastAsia"/>
          <w:lang w:val="en-US" w:eastAsia="zh-CN"/>
        </w:rPr>
        <w:t>。</w:t>
      </w:r>
    </w:p>
    <w:p>
      <w:pPr>
        <w:pStyle w:val="5"/>
        <w:bidi w:val="0"/>
        <w:rPr>
          <w:rFonts w:hint="default"/>
          <w:lang w:val="en-US" w:eastAsia="zh-CN"/>
        </w:rPr>
      </w:pPr>
      <w:bookmarkStart w:id="585" w:name="_Toc20212"/>
      <w:r>
        <w:rPr>
          <w:rFonts w:hint="eastAsia"/>
          <w:lang w:val="en-US" w:eastAsia="zh-CN"/>
        </w:rPr>
        <w:t>2.项目规模和投资</w:t>
      </w:r>
      <w:bookmarkEnd w:id="585"/>
    </w:p>
    <w:p>
      <w:pPr>
        <w:rPr>
          <w:rFonts w:hint="eastAsia"/>
          <w:lang w:val="en-US" w:eastAsia="zh-CN"/>
        </w:rPr>
      </w:pPr>
      <w:r>
        <w:rPr>
          <w:rFonts w:hint="default"/>
          <w:lang w:val="en-US" w:eastAsia="zh-CN"/>
        </w:rPr>
        <w:t>三亚红色革命学习基地主要由</w:t>
      </w:r>
      <w:r>
        <w:rPr>
          <w:rFonts w:hint="eastAsia"/>
          <w:lang w:val="en-US" w:eastAsia="zh-CN"/>
        </w:rPr>
        <w:t>革命史馆、</w:t>
      </w:r>
      <w:r>
        <w:rPr>
          <w:rFonts w:hint="default"/>
          <w:lang w:val="en-US" w:eastAsia="zh-CN"/>
        </w:rPr>
        <w:t>教学楼、行政楼、图书馆、报告厅、宿舍、餐厅等功能构成，</w:t>
      </w:r>
      <w:r>
        <w:rPr>
          <w:rFonts w:hint="eastAsia"/>
          <w:lang w:val="en-US" w:eastAsia="zh-CN"/>
        </w:rPr>
        <w:t>占地57亩，总建筑面积2.6万平方米，可容纳300人住宿学习，报告厅可容纳500人规模。</w:t>
      </w:r>
    </w:p>
    <w:p>
      <w:pPr>
        <w:ind w:left="0" w:leftChars="0" w:firstLine="0" w:firstLineChars="0"/>
        <w:rPr>
          <w:rFonts w:hint="default"/>
          <w:lang w:val="en-US" w:eastAsia="zh-CN"/>
        </w:rPr>
      </w:pPr>
      <w:r>
        <w:drawing>
          <wp:inline distT="0" distB="0" distL="114300" distR="114300">
            <wp:extent cx="5267325" cy="3513455"/>
            <wp:effectExtent l="0" t="0" r="9525" b="10795"/>
            <wp:docPr id="5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
                    <pic:cNvPicPr>
                      <a:picLocks noChangeAspect="1"/>
                    </pic:cNvPicPr>
                  </pic:nvPicPr>
                  <pic:blipFill>
                    <a:blip r:embed="rId47"/>
                    <a:stretch>
                      <a:fillRect/>
                    </a:stretch>
                  </pic:blipFill>
                  <pic:spPr>
                    <a:xfrm>
                      <a:off x="0" y="0"/>
                      <a:ext cx="5267325" cy="3513455"/>
                    </a:xfrm>
                    <a:prstGeom prst="rect">
                      <a:avLst/>
                    </a:prstGeom>
                    <a:noFill/>
                    <a:ln>
                      <a:noFill/>
                    </a:ln>
                  </pic:spPr>
                </pic:pic>
              </a:graphicData>
            </a:graphic>
          </wp:inline>
        </w:drawing>
      </w:r>
    </w:p>
    <w:p>
      <w:pPr>
        <w:ind w:left="0" w:leftChars="0" w:firstLine="0" w:firstLineChars="0"/>
        <w:jc w:val="center"/>
        <w:rPr>
          <w:rFonts w:hint="default"/>
          <w:lang w:val="en-US" w:eastAsia="zh-CN"/>
        </w:rPr>
      </w:pPr>
      <w:r>
        <w:rPr>
          <w:rFonts w:hint="eastAsia" w:ascii="楷体" w:hAnsi="楷体" w:eastAsia="楷体" w:cs="楷体"/>
          <w:b w:val="0"/>
          <w:bCs w:val="0"/>
          <w:sz w:val="28"/>
          <w:szCs w:val="28"/>
          <w:lang w:val="en-US" w:eastAsia="zh-CN"/>
        </w:rPr>
        <w:t>图17  三亚红色革命学习基地（梅山）项目选址建议</w:t>
      </w:r>
    </w:p>
    <w:p>
      <w:pPr>
        <w:pStyle w:val="4"/>
        <w:numPr>
          <w:ilvl w:val="0"/>
          <w:numId w:val="54"/>
        </w:numPr>
        <w:bidi w:val="0"/>
        <w:rPr>
          <w:rFonts w:hint="default"/>
          <w:lang w:val="en-US" w:eastAsia="zh-CN"/>
        </w:rPr>
      </w:pPr>
      <w:bookmarkStart w:id="586" w:name="_Toc9924"/>
      <w:bookmarkStart w:id="587" w:name="_Toc6872"/>
      <w:r>
        <w:rPr>
          <w:rFonts w:hint="eastAsia"/>
          <w:lang w:val="en-US" w:eastAsia="zh-CN"/>
        </w:rPr>
        <w:t>芒果青春小镇项目（前期启动）</w:t>
      </w:r>
      <w:bookmarkEnd w:id="586"/>
    </w:p>
    <w:p>
      <w:pPr>
        <w:pStyle w:val="5"/>
        <w:bidi w:val="0"/>
        <w:rPr>
          <w:rFonts w:hint="eastAsia"/>
          <w:lang w:val="en-US" w:eastAsia="zh-CN"/>
        </w:rPr>
      </w:pPr>
      <w:bookmarkStart w:id="588" w:name="_Toc17823"/>
      <w:r>
        <w:rPr>
          <w:rFonts w:hint="eastAsia"/>
          <w:lang w:val="en-US" w:eastAsia="zh-CN"/>
        </w:rPr>
        <w:t>1.项目概况</w:t>
      </w:r>
      <w:bookmarkEnd w:id="588"/>
    </w:p>
    <w:p>
      <w:pPr>
        <w:rPr>
          <w:rFonts w:hint="default"/>
          <w:lang w:val="en-US" w:eastAsia="zh-CN"/>
        </w:rPr>
      </w:pPr>
      <w:r>
        <w:rPr>
          <w:rFonts w:hint="eastAsia"/>
          <w:lang w:val="en-US" w:eastAsia="zh-CN"/>
        </w:rPr>
        <w:t>发挥</w:t>
      </w:r>
      <w:r>
        <w:rPr>
          <w:rFonts w:hint="default"/>
          <w:lang w:val="en-US" w:eastAsia="zh-CN"/>
        </w:rPr>
        <w:t>崖州深厚的黎族农耕文化底蕴，与</w:t>
      </w:r>
      <w:r>
        <w:rPr>
          <w:rFonts w:hint="eastAsia"/>
          <w:lang w:val="en-US" w:eastAsia="zh-CN"/>
        </w:rPr>
        <w:t>国内</w:t>
      </w:r>
      <w:r>
        <w:rPr>
          <w:rFonts w:hint="default"/>
          <w:lang w:val="en-US" w:eastAsia="zh-CN"/>
        </w:rPr>
        <w:t>顶流影视IP结合</w:t>
      </w:r>
      <w:r>
        <w:rPr>
          <w:rFonts w:hint="eastAsia"/>
          <w:lang w:val="en-US" w:eastAsia="zh-CN"/>
        </w:rPr>
        <w:t>，打造</w:t>
      </w:r>
      <w:r>
        <w:rPr>
          <w:rFonts w:hint="default"/>
          <w:lang w:val="en-US" w:eastAsia="zh-CN"/>
        </w:rPr>
        <w:t>“IP+文化旅游”的发展路径</w:t>
      </w:r>
      <w:r>
        <w:rPr>
          <w:rFonts w:hint="eastAsia"/>
          <w:lang w:val="en-US" w:eastAsia="zh-CN"/>
        </w:rPr>
        <w:t>，</w:t>
      </w:r>
      <w:r>
        <w:rPr>
          <w:rFonts w:hint="default"/>
          <w:lang w:val="en-US" w:eastAsia="zh-CN"/>
        </w:rPr>
        <w:t>把</w:t>
      </w:r>
      <w:r>
        <w:rPr>
          <w:rFonts w:hint="eastAsia"/>
          <w:lang w:val="en-US" w:eastAsia="zh-CN"/>
        </w:rPr>
        <w:t>崖州历史</w:t>
      </w:r>
      <w:r>
        <w:rPr>
          <w:rFonts w:hint="default"/>
          <w:lang w:val="en-US" w:eastAsia="zh-CN"/>
        </w:rPr>
        <w:t>文化</w:t>
      </w:r>
      <w:r>
        <w:rPr>
          <w:rFonts w:hint="eastAsia"/>
          <w:lang w:val="en-US" w:eastAsia="zh-CN"/>
        </w:rPr>
        <w:t>和</w:t>
      </w:r>
      <w:r>
        <w:rPr>
          <w:rFonts w:hint="default"/>
          <w:lang w:val="en-US" w:eastAsia="zh-CN"/>
        </w:rPr>
        <w:t>故事制作成“世界性”产品，推动项目“文旅化”尝试</w:t>
      </w:r>
      <w:r>
        <w:rPr>
          <w:rFonts w:hint="eastAsia"/>
          <w:lang w:val="en-US" w:eastAsia="zh-CN"/>
        </w:rPr>
        <w:t>，</w:t>
      </w:r>
      <w:r>
        <w:rPr>
          <w:rFonts w:hint="default"/>
          <w:lang w:val="en-US" w:eastAsia="zh-CN"/>
        </w:rPr>
        <w:t>，形成独一无二的影视娱乐文化海岛度假小镇。发展芒果文化主题的芒果产业集群基地，发展芒果种植加工+产品包装展销+农业文旅融合，挖掘特色生态旅游价值，凝聚具有芒果特色的文旅产业基地，打造青春主题、与媒体跨界融合的芒果青春小镇。</w:t>
      </w:r>
    </w:p>
    <w:p>
      <w:pPr>
        <w:pStyle w:val="5"/>
        <w:bidi w:val="0"/>
        <w:rPr>
          <w:rFonts w:hint="eastAsia"/>
          <w:lang w:val="en-US" w:eastAsia="zh-CN"/>
        </w:rPr>
      </w:pPr>
      <w:bookmarkStart w:id="589" w:name="_Toc2397"/>
      <w:r>
        <w:rPr>
          <w:rFonts w:hint="eastAsia"/>
          <w:lang w:val="en-US" w:eastAsia="zh-CN"/>
        </w:rPr>
        <w:t>2.运营模式</w:t>
      </w:r>
      <w:bookmarkEnd w:id="589"/>
    </w:p>
    <w:p>
      <w:pPr>
        <w:rPr>
          <w:rFonts w:hint="default"/>
          <w:lang w:val="en-US" w:eastAsia="zh-CN"/>
        </w:rPr>
      </w:pPr>
      <w:r>
        <w:rPr>
          <w:rFonts w:hint="eastAsia"/>
          <w:lang w:val="en-US" w:eastAsia="zh-CN"/>
        </w:rPr>
        <w:t>1个文化品牌，整合芒果主题文化+芒果IP影视娱乐文化+芒果旅游度假文化，打造北纬18°海岛芒果主题文化度假目的地。2个文化基地，一是芒果国际影视娱乐文化基地，导入粉丝经济，根据现下最具吸引力的IP进行线下实景娱乐的开发；二是国际芒果产业文创基地，构建芒果开发、文创、旅游、养生、电商等全产业链，打造崖州芒果产业地理文化标签。3大主题板块，一是芒果IP度假游乐区，包括酒店民宿区和两湖游乐区；二是</w:t>
      </w:r>
      <w:r>
        <w:rPr>
          <w:rFonts w:hint="default"/>
          <w:lang w:val="en-US" w:eastAsia="zh-CN"/>
        </w:rPr>
        <w:t>芒果明星快乐农场</w:t>
      </w:r>
      <w:r>
        <w:rPr>
          <w:rFonts w:hint="eastAsia"/>
          <w:lang w:val="en-US" w:eastAsia="zh-CN"/>
        </w:rPr>
        <w:t>，包括农业研学区、芒果种植区、游乐区；三是芒果国际工匠学院，包括芒果产业文创区、文创自贸区、黎族文化展示。</w:t>
      </w:r>
    </w:p>
    <w:p>
      <w:pPr>
        <w:pStyle w:val="5"/>
        <w:bidi w:val="0"/>
        <w:rPr>
          <w:rFonts w:hint="eastAsia"/>
          <w:lang w:val="en-US" w:eastAsia="zh-CN"/>
        </w:rPr>
      </w:pPr>
      <w:bookmarkStart w:id="590" w:name="_Toc25508"/>
      <w:r>
        <w:rPr>
          <w:rFonts w:hint="eastAsia"/>
          <w:lang w:val="en-US" w:eastAsia="zh-CN"/>
        </w:rPr>
        <w:t>3.选址和投资</w:t>
      </w:r>
      <w:bookmarkEnd w:id="590"/>
    </w:p>
    <w:p>
      <w:pPr>
        <w:rPr>
          <w:rFonts w:hint="default"/>
          <w:lang w:val="en-US" w:eastAsia="zh-CN"/>
        </w:rPr>
      </w:pPr>
      <w:r>
        <w:rPr>
          <w:rFonts w:hint="eastAsia"/>
          <w:lang w:val="en-US" w:eastAsia="zh-CN"/>
        </w:rPr>
        <w:t>项目选址位于赤草村。空间功能布局包括度假游乐区（启动区）、农业研学区、芒果文创区等。度假游乐区（启动区）发展酒店民宿、水上游乐，农业研学区发展芒果快乐农场（农业游乐+芒果种植体验+电商直播）、五谷研学基地、萌宠乐园，芒果文创区发展芒果工匠学院、芒果文化创意社区、芒果文化美食街、芒果文创自贸区、黎族文化风情街等。</w:t>
      </w:r>
    </w:p>
    <w:p>
      <w:pPr>
        <w:rPr>
          <w:rFonts w:hint="eastAsia"/>
          <w:lang w:val="en-US" w:eastAsia="zh-CN"/>
        </w:rPr>
      </w:pPr>
      <w:r>
        <w:rPr>
          <w:rFonts w:hint="eastAsia"/>
          <w:lang w:val="en-US" w:eastAsia="zh-CN"/>
        </w:rPr>
        <w:t>拟引入伟大集团，与湖南广电深度合作，采取“企业+村集体＋农户”的合作模式，总投资约19.6亿元，产业用地收入基本实现投资平衡；自持产业进入成熟年后运营总收入约2-3亿元，毛利润约为0.6-1亿元，带来平均每年约2000万元税收，带动本村及周边约3000人就业。</w:t>
      </w:r>
    </w:p>
    <w:p>
      <w:pPr>
        <w:ind w:left="0" w:leftChars="0" w:firstLine="0" w:firstLineChars="0"/>
      </w:pPr>
      <w:r>
        <w:drawing>
          <wp:inline distT="0" distB="0" distL="114300" distR="114300">
            <wp:extent cx="5267960" cy="2912745"/>
            <wp:effectExtent l="0" t="0" r="8890" b="1905"/>
            <wp:docPr id="5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0"/>
                    <pic:cNvPicPr>
                      <a:picLocks noChangeAspect="1"/>
                    </pic:cNvPicPr>
                  </pic:nvPicPr>
                  <pic:blipFill>
                    <a:blip r:embed="rId48"/>
                    <a:stretch>
                      <a:fillRect/>
                    </a:stretch>
                  </pic:blipFill>
                  <pic:spPr>
                    <a:xfrm>
                      <a:off x="0" y="0"/>
                      <a:ext cx="5267960" cy="2912745"/>
                    </a:xfrm>
                    <a:prstGeom prst="rect">
                      <a:avLst/>
                    </a:prstGeom>
                    <a:noFill/>
                    <a:ln>
                      <a:noFill/>
                    </a:ln>
                  </pic:spPr>
                </pic:pic>
              </a:graphicData>
            </a:graphic>
          </wp:inline>
        </w:drawing>
      </w:r>
    </w:p>
    <w:p>
      <w:pPr>
        <w:ind w:left="0" w:leftChars="0" w:firstLine="0" w:firstLineChars="0"/>
        <w:jc w:val="center"/>
        <w:rPr>
          <w:rFonts w:hint="default"/>
          <w:lang w:val="en-US" w:eastAsia="zh-CN"/>
        </w:rPr>
      </w:pPr>
      <w:r>
        <w:rPr>
          <w:rFonts w:hint="eastAsia" w:ascii="楷体" w:hAnsi="楷体" w:eastAsia="楷体" w:cs="楷体"/>
          <w:b w:val="0"/>
          <w:bCs w:val="0"/>
          <w:sz w:val="28"/>
          <w:szCs w:val="28"/>
          <w:lang w:val="en-US" w:eastAsia="zh-CN"/>
        </w:rPr>
        <w:t>图18  芒果青春小镇项目总规划图</w:t>
      </w:r>
    </w:p>
    <w:p>
      <w:pPr>
        <w:pStyle w:val="4"/>
        <w:numPr>
          <w:ilvl w:val="0"/>
          <w:numId w:val="54"/>
        </w:numPr>
        <w:bidi w:val="0"/>
        <w:rPr>
          <w:rFonts w:hint="default"/>
          <w:lang w:val="en-US" w:eastAsia="zh-CN"/>
        </w:rPr>
      </w:pPr>
      <w:bookmarkStart w:id="591" w:name="_Toc4341"/>
      <w:r>
        <w:rPr>
          <w:rFonts w:hint="eastAsia"/>
          <w:lang w:val="en-US" w:eastAsia="zh-CN"/>
        </w:rPr>
        <w:t>“崖州八景”重现项目</w:t>
      </w:r>
      <w:bookmarkEnd w:id="587"/>
      <w:bookmarkEnd w:id="591"/>
    </w:p>
    <w:p>
      <w:pPr>
        <w:pStyle w:val="5"/>
        <w:bidi w:val="0"/>
        <w:rPr>
          <w:rFonts w:hint="eastAsia"/>
          <w:lang w:val="en-US" w:eastAsia="zh-CN"/>
        </w:rPr>
      </w:pPr>
      <w:bookmarkStart w:id="592" w:name="_Toc3713"/>
      <w:bookmarkStart w:id="593" w:name="_Toc23326"/>
      <w:r>
        <w:rPr>
          <w:rFonts w:hint="eastAsia"/>
          <w:lang w:val="en-US" w:eastAsia="zh-CN"/>
        </w:rPr>
        <w:t>1.项目概况</w:t>
      </w:r>
      <w:bookmarkEnd w:id="592"/>
      <w:bookmarkEnd w:id="593"/>
    </w:p>
    <w:p>
      <w:pPr>
        <w:rPr>
          <w:rFonts w:hint="eastAsia"/>
          <w:lang w:val="en-US" w:eastAsia="zh-CN"/>
        </w:rPr>
      </w:pPr>
      <w:r>
        <w:rPr>
          <w:rFonts w:hint="eastAsia" w:ascii="仿宋_GB2312" w:eastAsia="仿宋_GB2312"/>
          <w:lang w:val="en-US" w:eastAsia="zh-CN"/>
        </w:rPr>
        <w:t>在全区选择八处景点，通过继承、重构、再塑、更新的手法新造八处风物，在景点处立石、镌字、拓诗，重现“崖州八景”。包括：一景抱郭双流（崖州古城和宁远河）、二景鲸海西风（角头湾）、三景边城斜照（崖州古城）、四景水南暮雨（水南村）、五景稻陇眠鸥（南滨农场）、六景镜湖秋月（抱古村抱古水库）、七景温泉漱玉（既济亭热水池）、八景南山秋蟾（南山）。</w:t>
      </w:r>
    </w:p>
    <w:p>
      <w:pPr>
        <w:pStyle w:val="5"/>
        <w:bidi w:val="0"/>
        <w:rPr>
          <w:rFonts w:hint="eastAsia"/>
          <w:lang w:val="en-US" w:eastAsia="zh-CN"/>
        </w:rPr>
      </w:pPr>
      <w:bookmarkStart w:id="594" w:name="_Toc6032"/>
      <w:bookmarkStart w:id="595" w:name="_Toc14798"/>
      <w:r>
        <w:rPr>
          <w:rFonts w:hint="eastAsia"/>
          <w:lang w:val="en-US" w:eastAsia="zh-CN"/>
        </w:rPr>
        <w:t>2.投资方和选址建议</w:t>
      </w:r>
      <w:bookmarkEnd w:id="594"/>
      <w:bookmarkEnd w:id="595"/>
    </w:p>
    <w:p>
      <w:pPr>
        <w:rPr>
          <w:rFonts w:hint="eastAsia" w:ascii="仿宋_GB2312" w:eastAsia="仿宋_GB2312"/>
          <w:lang w:val="en-US" w:eastAsia="zh-CN"/>
        </w:rPr>
      </w:pPr>
      <w:r>
        <w:rPr>
          <w:rFonts w:hint="eastAsia" w:ascii="仿宋_GB2312" w:eastAsia="仿宋_GB2312"/>
          <w:lang w:val="en-US" w:eastAsia="zh-CN"/>
        </w:rPr>
        <w:t>根据八景分布，投资方为企业、政府或城投公司，总投资200万元。</w:t>
      </w:r>
    </w:p>
    <w:p>
      <w:pPr>
        <w:ind w:left="0" w:leftChars="0" w:firstLine="0" w:firstLineChars="0"/>
        <w:jc w:val="center"/>
        <w:rPr>
          <w:rFonts w:hint="default" w:ascii="楷体" w:hAnsi="楷体" w:eastAsia="楷体" w:cs="楷体"/>
          <w:b w:val="0"/>
          <w:bCs w:val="0"/>
          <w:sz w:val="28"/>
          <w:szCs w:val="28"/>
          <w:highlight w:val="none"/>
          <w:lang w:val="en-US" w:eastAsia="zh-CN"/>
        </w:rPr>
      </w:pPr>
      <w:r>
        <w:rPr>
          <w:rFonts w:hint="eastAsia" w:ascii="楷体" w:hAnsi="楷体" w:eastAsia="楷体" w:cs="楷体"/>
          <w:b w:val="0"/>
          <w:bCs w:val="0"/>
          <w:sz w:val="28"/>
          <w:szCs w:val="28"/>
          <w:highlight w:val="none"/>
          <w:lang w:val="en-US" w:eastAsia="zh-CN"/>
        </w:rPr>
        <w:t>表35  崖州八景选址建议和投资方</w:t>
      </w:r>
    </w:p>
    <w:tbl>
      <w:tblPr>
        <w:tblStyle w:val="18"/>
        <w:tblW w:w="5000" w:type="pct"/>
        <w:jc w:val="center"/>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29"/>
        <w:gridCol w:w="1489"/>
        <w:gridCol w:w="4232"/>
        <w:gridCol w:w="1572"/>
      </w:tblGrid>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1229"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八景</w:t>
            </w:r>
          </w:p>
        </w:tc>
        <w:tc>
          <w:tcPr>
            <w:tcW w:w="1489"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选址建议</w:t>
            </w:r>
          </w:p>
        </w:tc>
        <w:tc>
          <w:tcPr>
            <w:tcW w:w="4232"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建设内容</w:t>
            </w:r>
          </w:p>
        </w:tc>
        <w:tc>
          <w:tcPr>
            <w:tcW w:w="1572"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投资方</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229" w:type="dxa"/>
            <w:vAlign w:val="top"/>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一景</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抱郭双流</w:t>
            </w:r>
          </w:p>
        </w:tc>
        <w:tc>
          <w:tcPr>
            <w:tcW w:w="1489" w:type="dxa"/>
            <w:vAlign w:val="top"/>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在临近古城的河道治理适宜位置</w:t>
            </w:r>
          </w:p>
        </w:tc>
        <w:tc>
          <w:tcPr>
            <w:tcW w:w="423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结合宁远河综合治理，立石镌字，作为宁远河综合治理的内容之一。</w:t>
            </w:r>
          </w:p>
        </w:tc>
        <w:tc>
          <w:tcPr>
            <w:tcW w:w="157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城投公司，与宁远河治理一并建设</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229" w:type="dxa"/>
            <w:vAlign w:val="top"/>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二景</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鲸海西风</w:t>
            </w:r>
          </w:p>
        </w:tc>
        <w:tc>
          <w:tcPr>
            <w:tcW w:w="1489" w:type="dxa"/>
            <w:vAlign w:val="top"/>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角头湾南北走向岸线，沙滩后方</w:t>
            </w:r>
          </w:p>
        </w:tc>
        <w:tc>
          <w:tcPr>
            <w:tcW w:w="423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设置面朝西方的探海观景台，观景台上立石镌字。</w:t>
            </w:r>
          </w:p>
        </w:tc>
        <w:tc>
          <w:tcPr>
            <w:tcW w:w="157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城投公司，与婚纱旅拍公园合并建设</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229" w:type="dxa"/>
            <w:vAlign w:val="top"/>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三景</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边城斜照</w:t>
            </w:r>
          </w:p>
        </w:tc>
        <w:tc>
          <w:tcPr>
            <w:tcW w:w="1489" w:type="dxa"/>
            <w:vAlign w:val="top"/>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崖州古城西向城墙</w:t>
            </w:r>
          </w:p>
        </w:tc>
        <w:tc>
          <w:tcPr>
            <w:tcW w:w="423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在新修复的崖州古城墙的西向立石镌字。</w:t>
            </w:r>
          </w:p>
        </w:tc>
        <w:tc>
          <w:tcPr>
            <w:tcW w:w="157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企业，与崖州古城修复合并建设</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229" w:type="dxa"/>
            <w:vAlign w:val="top"/>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四景</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水南暮雨</w:t>
            </w:r>
          </w:p>
        </w:tc>
        <w:tc>
          <w:tcPr>
            <w:tcW w:w="1489" w:type="dxa"/>
            <w:vAlign w:val="top"/>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水南村景观位置</w:t>
            </w:r>
          </w:p>
        </w:tc>
        <w:tc>
          <w:tcPr>
            <w:tcW w:w="423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立石镌字，与宁远河景观带融为一体。</w:t>
            </w:r>
          </w:p>
        </w:tc>
        <w:tc>
          <w:tcPr>
            <w:tcW w:w="157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政府</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229" w:type="dxa"/>
            <w:vAlign w:val="top"/>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五景</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稻陇眠鸥</w:t>
            </w:r>
          </w:p>
        </w:tc>
        <w:tc>
          <w:tcPr>
            <w:tcW w:w="1489" w:type="dxa"/>
            <w:vAlign w:val="top"/>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南滨农场南繁基地</w:t>
            </w:r>
          </w:p>
        </w:tc>
        <w:tc>
          <w:tcPr>
            <w:tcW w:w="423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依托南滨田园综合体（南滨医院地块位置），围养鸥鸟，设置投食点，立石镌字，重现“稻陇眠鸥”景观。</w:t>
            </w:r>
          </w:p>
        </w:tc>
        <w:tc>
          <w:tcPr>
            <w:tcW w:w="157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企业，与南滨田园综合体合并建设</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229" w:type="dxa"/>
            <w:vAlign w:val="top"/>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六景</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镜湖秋月</w:t>
            </w:r>
          </w:p>
        </w:tc>
        <w:tc>
          <w:tcPr>
            <w:tcW w:w="1489" w:type="dxa"/>
            <w:vAlign w:val="top"/>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抱古村抱古水库</w:t>
            </w:r>
          </w:p>
        </w:tc>
        <w:tc>
          <w:tcPr>
            <w:tcW w:w="423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结合抱古村美丽乡村建设和莲花特色产业，在抱古水库营造月光水色莲花景观，立石镌字，再现“镜湖秋月”风貌。</w:t>
            </w:r>
          </w:p>
        </w:tc>
        <w:tc>
          <w:tcPr>
            <w:tcW w:w="157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政府，与美丽乡村合并建设</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229" w:type="dxa"/>
            <w:vAlign w:val="top"/>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七景</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温泉漱玉</w:t>
            </w:r>
          </w:p>
        </w:tc>
        <w:tc>
          <w:tcPr>
            <w:tcW w:w="1489" w:type="dxa"/>
            <w:vAlign w:val="top"/>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既济亭热水池</w:t>
            </w:r>
          </w:p>
        </w:tc>
        <w:tc>
          <w:tcPr>
            <w:tcW w:w="423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修建洗手池、泡脚池，立石镌字，重现海南岛最古老温泉的往日景象。</w:t>
            </w:r>
          </w:p>
        </w:tc>
        <w:tc>
          <w:tcPr>
            <w:tcW w:w="157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政府</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229" w:type="dxa"/>
            <w:vAlign w:val="top"/>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八景</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Chars="0"/>
              <w:jc w:val="center"/>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南山秋蟾</w:t>
            </w:r>
          </w:p>
        </w:tc>
        <w:tc>
          <w:tcPr>
            <w:tcW w:w="1489" w:type="dxa"/>
            <w:vAlign w:val="top"/>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南山</w:t>
            </w:r>
          </w:p>
        </w:tc>
        <w:tc>
          <w:tcPr>
            <w:tcW w:w="423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在南山风景区选择适当位置设立雕塑小品，立石镌字，阐述蟾与佛教道教文化渊源，品味“南山秋蟾”趣意。</w:t>
            </w:r>
          </w:p>
        </w:tc>
        <w:tc>
          <w:tcPr>
            <w:tcW w:w="157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企业</w:t>
            </w:r>
          </w:p>
        </w:tc>
      </w:tr>
    </w:tbl>
    <w:p>
      <w:pPr>
        <w:pStyle w:val="4"/>
        <w:numPr>
          <w:ilvl w:val="0"/>
          <w:numId w:val="54"/>
        </w:numPr>
        <w:bidi w:val="0"/>
        <w:rPr>
          <w:rFonts w:hint="default"/>
          <w:lang w:val="en-US" w:eastAsia="zh-CN"/>
        </w:rPr>
      </w:pPr>
      <w:bookmarkStart w:id="596" w:name="_Toc185"/>
      <w:r>
        <w:rPr>
          <w:rFonts w:hint="default"/>
          <w:lang w:val="en-US" w:eastAsia="zh-CN"/>
        </w:rPr>
        <w:t>崖州农产品加工产业园</w:t>
      </w:r>
      <w:r>
        <w:rPr>
          <w:rFonts w:hint="eastAsia"/>
          <w:lang w:val="en-US" w:eastAsia="zh-CN"/>
        </w:rPr>
        <w:t>项目</w:t>
      </w:r>
      <w:bookmarkEnd w:id="583"/>
      <w:bookmarkEnd w:id="596"/>
    </w:p>
    <w:p>
      <w:pPr>
        <w:pStyle w:val="5"/>
        <w:bidi w:val="0"/>
        <w:rPr>
          <w:rFonts w:hint="eastAsia"/>
          <w:lang w:val="en-US" w:eastAsia="zh-CN"/>
        </w:rPr>
      </w:pPr>
      <w:bookmarkStart w:id="597" w:name="_Toc23338"/>
      <w:bookmarkStart w:id="598" w:name="_Toc6937"/>
      <w:r>
        <w:rPr>
          <w:rFonts w:hint="eastAsia"/>
          <w:lang w:val="en-US" w:eastAsia="zh-CN"/>
        </w:rPr>
        <w:t>1.项目概况</w:t>
      </w:r>
      <w:bookmarkEnd w:id="597"/>
      <w:bookmarkEnd w:id="598"/>
    </w:p>
    <w:p>
      <w:pPr>
        <w:rPr>
          <w:rFonts w:hint="eastAsia"/>
          <w:lang w:val="en-US" w:eastAsia="zh-CN"/>
        </w:rPr>
      </w:pPr>
      <w:r>
        <w:rPr>
          <w:rFonts w:hint="eastAsia" w:ascii="仿宋_GB2312" w:eastAsia="仿宋_GB2312"/>
          <w:lang w:val="en-US" w:eastAsia="zh-CN"/>
        </w:rPr>
        <w:t>在新建果蔬批发市场东侧启动建设崖州农产品加工产业园，起步区占地100亩，发展热带水果、蔬菜加工产业，引入5-8家中小型农产品加工企业。起步区全部投入运营后，预计农产品年加工能力达到1.5万吨，工业产值可超过2亿。</w:t>
      </w:r>
    </w:p>
    <w:p>
      <w:pPr>
        <w:rPr>
          <w:rFonts w:hint="eastAsia"/>
          <w:lang w:val="en-US" w:eastAsia="zh-CN"/>
        </w:rPr>
      </w:pPr>
      <w:r>
        <w:rPr>
          <w:rFonts w:hint="eastAsia" w:ascii="仿宋_GB2312" w:eastAsia="仿宋_GB2312"/>
          <w:lang w:val="en-US" w:eastAsia="zh-CN"/>
        </w:rPr>
        <w:t>农产品加工产业园可以依托果蔬批发市场的冷链仓储、物流、商贸等功能，不再安排非生产功能用地，最大化布局农产品加工用地，提高土地利用效率和整体产出效率。起步区预计可以引入5家中小规模农产品加工企业，每家企业占地面积约20亩。</w:t>
      </w:r>
    </w:p>
    <w:p>
      <w:pPr>
        <w:rPr>
          <w:rFonts w:hint="eastAsia"/>
          <w:lang w:val="en-US" w:eastAsia="zh-CN"/>
        </w:rPr>
      </w:pPr>
      <w:r>
        <w:rPr>
          <w:rFonts w:hint="eastAsia" w:ascii="仿宋_GB2312" w:eastAsia="仿宋_GB2312"/>
          <w:lang w:val="en-US" w:eastAsia="zh-CN"/>
        </w:rPr>
        <w:t>在发展时序上，先期启动起步区建设和招商，根据起步区招商进入的情况，适时向南、向西拓展，逐步与果蔬批发市场连为一体。</w:t>
      </w:r>
    </w:p>
    <w:p>
      <w:pPr>
        <w:pStyle w:val="5"/>
        <w:bidi w:val="0"/>
        <w:rPr>
          <w:rFonts w:hint="eastAsia"/>
          <w:lang w:val="en-US" w:eastAsia="zh-CN"/>
        </w:rPr>
      </w:pPr>
      <w:bookmarkStart w:id="599" w:name="_Toc22212"/>
      <w:bookmarkStart w:id="600" w:name="_Toc27663"/>
      <w:r>
        <w:rPr>
          <w:rFonts w:hint="eastAsia"/>
          <w:lang w:val="en-US" w:eastAsia="zh-CN"/>
        </w:rPr>
        <w:t>2.投资方和匡算</w:t>
      </w:r>
      <w:bookmarkEnd w:id="599"/>
      <w:bookmarkEnd w:id="600"/>
    </w:p>
    <w:p>
      <w:pPr>
        <w:rPr>
          <w:rFonts w:hint="default"/>
          <w:lang w:val="en-US" w:eastAsia="zh-CN"/>
        </w:rPr>
      </w:pPr>
      <w:r>
        <w:rPr>
          <w:rFonts w:hint="eastAsia" w:ascii="仿宋_GB2312" w:eastAsia="仿宋_GB2312"/>
          <w:lang w:val="en-US" w:eastAsia="zh-CN"/>
        </w:rPr>
        <w:t>城投公司承担园区投资、招商、运营，通过出租工业用地、标准化厂房、提供物业服务获取收益。园区“三通一平”投资约2500万元（25万元/亩），企业厂房、设备投资约1亿元，园区带动总投资1.25亿元。</w:t>
      </w:r>
    </w:p>
    <w:p>
      <w:pPr>
        <w:pStyle w:val="5"/>
        <w:bidi w:val="0"/>
        <w:rPr>
          <w:rFonts w:hint="eastAsia"/>
          <w:lang w:val="en-US" w:eastAsia="zh-CN"/>
        </w:rPr>
      </w:pPr>
      <w:bookmarkStart w:id="601" w:name="_Toc2579"/>
      <w:bookmarkStart w:id="602" w:name="_Toc15071"/>
      <w:r>
        <w:rPr>
          <w:rFonts w:hint="eastAsia"/>
          <w:lang w:val="en-US" w:eastAsia="zh-CN"/>
        </w:rPr>
        <w:t>3.选址建议</w:t>
      </w:r>
      <w:bookmarkEnd w:id="601"/>
      <w:bookmarkEnd w:id="602"/>
    </w:p>
    <w:p>
      <w:pPr>
        <w:rPr>
          <w:rFonts w:hint="eastAsia"/>
          <w:lang w:val="en-US" w:eastAsia="zh-CN"/>
        </w:rPr>
      </w:pPr>
      <w:r>
        <w:rPr>
          <w:rFonts w:hint="eastAsia" w:ascii="仿宋_GB2312" w:eastAsia="仿宋_GB2312"/>
          <w:lang w:val="en-US" w:eastAsia="zh-CN"/>
        </w:rPr>
        <w:t>建议选址在新建果蔬批发市场以东、坝头村以北位置，用地现状为林地，占地面积100亩，建设时序为起步区。起步区发展成熟后，适时向南、向西拓展，东南方向为林地，正南方向为坝头村，正西方向为农地。</w:t>
      </w:r>
    </w:p>
    <w:p>
      <w:pPr>
        <w:ind w:left="0" w:leftChars="0" w:firstLine="0" w:firstLineChars="0"/>
        <w:jc w:val="center"/>
        <w:rPr>
          <w:rFonts w:hint="eastAsia"/>
          <w:lang w:val="en-US" w:eastAsia="zh-CN"/>
        </w:rPr>
      </w:pPr>
      <w:r>
        <w:rPr>
          <w:rFonts w:hint="eastAsia" w:ascii="仿宋_GB2312" w:eastAsia="仿宋_GB2312"/>
          <w:lang w:val="en-US" w:eastAsia="zh-CN"/>
        </w:rPr>
        <w:drawing>
          <wp:inline distT="0" distB="0" distL="114300" distR="114300">
            <wp:extent cx="5228590" cy="2946400"/>
            <wp:effectExtent l="9525" t="9525" r="19685" b="15875"/>
            <wp:docPr id="24" name="图片 24" descr="制图ppt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制图ppt_03"/>
                    <pic:cNvPicPr>
                      <a:picLocks noChangeAspect="1"/>
                    </pic:cNvPicPr>
                  </pic:nvPicPr>
                  <pic:blipFill>
                    <a:blip r:embed="rId49"/>
                    <a:srcRect t="7625" b="11412"/>
                    <a:stretch>
                      <a:fillRect/>
                    </a:stretch>
                  </pic:blipFill>
                  <pic:spPr>
                    <a:xfrm>
                      <a:off x="0" y="0"/>
                      <a:ext cx="5228590" cy="2946400"/>
                    </a:xfrm>
                    <a:prstGeom prst="rect">
                      <a:avLst/>
                    </a:prstGeom>
                    <a:ln>
                      <a:solidFill>
                        <a:schemeClr val="accent5">
                          <a:lumMod val="60000"/>
                          <a:lumOff val="40000"/>
                        </a:schemeClr>
                      </a:solidFill>
                    </a:ln>
                  </pic:spPr>
                </pic:pic>
              </a:graphicData>
            </a:graphic>
          </wp:inline>
        </w:drawing>
      </w:r>
    </w:p>
    <w:p>
      <w:pPr>
        <w:ind w:left="0" w:leftChars="0" w:firstLine="0" w:firstLineChars="0"/>
        <w:jc w:val="center"/>
        <w:rPr>
          <w:rFonts w:hint="eastAsia" w:ascii="楷体" w:hAnsi="楷体" w:eastAsia="楷体" w:cs="楷体"/>
          <w:b w:val="0"/>
          <w:bCs w:val="0"/>
          <w:sz w:val="28"/>
          <w:szCs w:val="28"/>
          <w:lang w:val="en-US" w:eastAsia="zh-CN"/>
        </w:rPr>
      </w:pPr>
      <w:r>
        <w:rPr>
          <w:rFonts w:hint="eastAsia" w:ascii="楷体" w:hAnsi="楷体" w:eastAsia="楷体" w:cs="楷体"/>
          <w:b w:val="0"/>
          <w:bCs w:val="0"/>
          <w:sz w:val="28"/>
          <w:szCs w:val="28"/>
          <w:lang w:val="en-US" w:eastAsia="zh-CN"/>
        </w:rPr>
        <w:t>图19  崖州农产品加工产业园项目选址建议</w:t>
      </w:r>
    </w:p>
    <w:p>
      <w:pPr>
        <w:pStyle w:val="4"/>
        <w:numPr>
          <w:ilvl w:val="0"/>
          <w:numId w:val="54"/>
        </w:numPr>
        <w:bidi w:val="0"/>
        <w:rPr>
          <w:rFonts w:hint="default"/>
          <w:lang w:val="en-US" w:eastAsia="zh-CN"/>
        </w:rPr>
      </w:pPr>
      <w:bookmarkStart w:id="603" w:name="_Toc2205"/>
      <w:bookmarkStart w:id="604" w:name="_Toc4648"/>
      <w:r>
        <w:rPr>
          <w:rFonts w:hint="default"/>
          <w:lang w:val="en-US" w:eastAsia="zh-CN"/>
        </w:rPr>
        <w:t>生态循环肉牛繁育示范基地项目</w:t>
      </w:r>
      <w:r>
        <w:rPr>
          <w:rFonts w:hint="eastAsia"/>
          <w:lang w:val="en-US" w:eastAsia="zh-CN"/>
        </w:rPr>
        <w:t>（前期启动）</w:t>
      </w:r>
      <w:bookmarkEnd w:id="603"/>
    </w:p>
    <w:p>
      <w:pPr>
        <w:pStyle w:val="5"/>
        <w:bidi w:val="0"/>
        <w:rPr>
          <w:rFonts w:hint="eastAsia"/>
          <w:lang w:val="en-US" w:eastAsia="zh-CN"/>
        </w:rPr>
      </w:pPr>
      <w:bookmarkStart w:id="605" w:name="_Toc25385"/>
      <w:r>
        <w:rPr>
          <w:rFonts w:hint="eastAsia"/>
          <w:lang w:val="en-US" w:eastAsia="zh-CN"/>
        </w:rPr>
        <w:t>1.项目概况</w:t>
      </w:r>
      <w:bookmarkEnd w:id="605"/>
    </w:p>
    <w:p>
      <w:pPr>
        <w:rPr>
          <w:rFonts w:hint="eastAsia"/>
          <w:lang w:val="en-US" w:eastAsia="zh-CN"/>
        </w:rPr>
      </w:pPr>
      <w:r>
        <w:rPr>
          <w:rFonts w:hint="eastAsia"/>
          <w:lang w:val="en-US" w:eastAsia="zh-CN"/>
        </w:rPr>
        <w:t>坚持“绿色发展、循环发展、低碳发展”理念，综合利用项目区山地、林地、草地等自然资源、丰富的农作物秸秆资源及带动建档立卡户人工种植的牧草资源，为市场提供安全优质肉牛产品。项目规划设计总存栏种母牛3000头，年出栏育肥牛2328头，分两期建设。本项目建设内容为一期工程，设计存栏种母牛1500头，年出栏育肥牛1164头。建设内容包括生产区、隔离区、饲草料加工区、资源化利用区、科研管理区等设施，总占地面积约120亩。</w:t>
      </w:r>
    </w:p>
    <w:p>
      <w:pPr>
        <w:rPr>
          <w:rFonts w:hint="eastAsia"/>
          <w:lang w:val="en-US" w:eastAsia="zh-CN"/>
        </w:rPr>
      </w:pPr>
      <w:r>
        <w:rPr>
          <w:rFonts w:hint="eastAsia"/>
          <w:lang w:val="en-US" w:eastAsia="zh-CN"/>
        </w:rPr>
        <w:t>生产区和隔离区建设包括2栋种母牛舍、1栋分娩牛舍、2栋后备牛舍、3栋育肥牛舍、1栋隔离牛舍，总占地面积约63亩。</w:t>
      </w:r>
    </w:p>
    <w:p>
      <w:pPr>
        <w:rPr>
          <w:rFonts w:hint="eastAsia"/>
          <w:lang w:val="en-US" w:eastAsia="zh-CN"/>
        </w:rPr>
      </w:pPr>
      <w:r>
        <w:rPr>
          <w:rFonts w:hint="eastAsia"/>
          <w:lang w:val="en-US" w:eastAsia="zh-CN"/>
        </w:rPr>
        <w:t>饲草料加工区包括4个青贮窖、1栋干草棚、1栋饲草料加工间、1栋垫料加工间、1栋车库机修间、1个门卫和1个车辆消毒间，总占地面积约30亩。</w:t>
      </w:r>
    </w:p>
    <w:p>
      <w:pPr>
        <w:rPr>
          <w:rFonts w:hint="eastAsia"/>
          <w:lang w:val="en-US" w:eastAsia="zh-CN"/>
        </w:rPr>
      </w:pPr>
      <w:r>
        <w:rPr>
          <w:rFonts w:hint="eastAsia"/>
          <w:lang w:val="en-US" w:eastAsia="zh-CN"/>
        </w:rPr>
        <w:t>资源化利用区包括1栋原料库、1栋有机肥加工间、1栋成品库、1栋无害化处理间和1个除臭室，总占地面积约12亩。</w:t>
      </w:r>
    </w:p>
    <w:p>
      <w:pPr>
        <w:rPr>
          <w:rFonts w:hint="eastAsia"/>
          <w:lang w:val="en-US" w:eastAsia="zh-CN"/>
        </w:rPr>
      </w:pPr>
      <w:r>
        <w:rPr>
          <w:rFonts w:hint="eastAsia"/>
          <w:lang w:val="en-US" w:eastAsia="zh-CN"/>
        </w:rPr>
        <w:t>科研管理区包括1栋科研办公用房（二层）、1栋宿舍（二层）、1栋食堂和1个门卫，总占地面积约15亩。</w:t>
      </w:r>
    </w:p>
    <w:p>
      <w:pPr>
        <w:pStyle w:val="5"/>
        <w:bidi w:val="0"/>
        <w:rPr>
          <w:rFonts w:hint="default"/>
          <w:lang w:val="en-US" w:eastAsia="zh-CN"/>
        </w:rPr>
      </w:pPr>
      <w:bookmarkStart w:id="606" w:name="_Toc28982"/>
      <w:r>
        <w:rPr>
          <w:rFonts w:hint="eastAsia"/>
          <w:lang w:val="en-US" w:eastAsia="zh-CN"/>
        </w:rPr>
        <w:t>2.投资方和匡算</w:t>
      </w:r>
      <w:bookmarkEnd w:id="606"/>
    </w:p>
    <w:p>
      <w:pPr>
        <w:rPr>
          <w:rFonts w:hint="eastAsia"/>
          <w:lang w:val="en-US" w:eastAsia="zh-CN"/>
        </w:rPr>
      </w:pPr>
      <w:r>
        <w:rPr>
          <w:rFonts w:hint="eastAsia"/>
          <w:lang w:val="en-US" w:eastAsia="zh-CN"/>
        </w:rPr>
        <w:t>项目总投资为7400万元，由国资企业自筹投入。</w:t>
      </w:r>
    </w:p>
    <w:p>
      <w:pPr>
        <w:pStyle w:val="5"/>
        <w:bidi w:val="0"/>
        <w:rPr>
          <w:rFonts w:hint="default"/>
          <w:lang w:val="en-US" w:eastAsia="zh-CN"/>
        </w:rPr>
      </w:pPr>
      <w:bookmarkStart w:id="607" w:name="_Toc19821"/>
      <w:r>
        <w:rPr>
          <w:rFonts w:hint="eastAsia"/>
          <w:lang w:val="en-US" w:eastAsia="zh-CN"/>
        </w:rPr>
        <w:t>3.选址建议</w:t>
      </w:r>
      <w:bookmarkEnd w:id="607"/>
    </w:p>
    <w:p>
      <w:pPr>
        <w:rPr>
          <w:rFonts w:hint="default"/>
          <w:lang w:val="en-US" w:eastAsia="zh-CN"/>
        </w:rPr>
      </w:pPr>
      <w:r>
        <w:rPr>
          <w:rFonts w:hint="eastAsia"/>
          <w:lang w:val="en-US" w:eastAsia="zh-CN"/>
        </w:rPr>
        <w:t>选址位于</w:t>
      </w:r>
      <w:r>
        <w:rPr>
          <w:rFonts w:hint="default"/>
          <w:lang w:val="en-US" w:eastAsia="zh-CN"/>
        </w:rPr>
        <w:t>三更上村西侧约2km处。</w:t>
      </w:r>
    </w:p>
    <w:p>
      <w:pPr>
        <w:ind w:left="0" w:leftChars="0" w:firstLine="0" w:firstLineChars="0"/>
        <w:rPr>
          <w:rFonts w:hint="default"/>
          <w:lang w:val="en-US" w:eastAsia="zh-CN"/>
        </w:rPr>
      </w:pPr>
      <w:r>
        <w:drawing>
          <wp:inline distT="0" distB="0" distL="114300" distR="114300">
            <wp:extent cx="5261610" cy="3076575"/>
            <wp:effectExtent l="0" t="0" r="15240" b="9525"/>
            <wp:docPr id="6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1"/>
                    <pic:cNvPicPr>
                      <a:picLocks noChangeAspect="1"/>
                    </pic:cNvPicPr>
                  </pic:nvPicPr>
                  <pic:blipFill>
                    <a:blip r:embed="rId50"/>
                    <a:stretch>
                      <a:fillRect/>
                    </a:stretch>
                  </pic:blipFill>
                  <pic:spPr>
                    <a:xfrm>
                      <a:off x="0" y="0"/>
                      <a:ext cx="5261610" cy="3076575"/>
                    </a:xfrm>
                    <a:prstGeom prst="rect">
                      <a:avLst/>
                    </a:prstGeom>
                    <a:noFill/>
                    <a:ln>
                      <a:noFill/>
                    </a:ln>
                  </pic:spPr>
                </pic:pic>
              </a:graphicData>
            </a:graphic>
          </wp:inline>
        </w:drawing>
      </w:r>
    </w:p>
    <w:p>
      <w:pPr>
        <w:ind w:left="0" w:leftChars="0" w:firstLine="0" w:firstLineChars="0"/>
        <w:jc w:val="center"/>
        <w:rPr>
          <w:rFonts w:hint="default"/>
          <w:lang w:val="en-US" w:eastAsia="zh-CN"/>
        </w:rPr>
      </w:pPr>
      <w:r>
        <w:rPr>
          <w:rFonts w:hint="eastAsia" w:ascii="楷体" w:hAnsi="楷体" w:eastAsia="楷体" w:cs="楷体"/>
          <w:b w:val="0"/>
          <w:bCs w:val="0"/>
          <w:sz w:val="28"/>
          <w:szCs w:val="28"/>
          <w:lang w:val="en-US" w:eastAsia="zh-CN"/>
        </w:rPr>
        <w:t>图20  生态循环肉牛繁育示范基地项目选址建议</w:t>
      </w:r>
    </w:p>
    <w:p>
      <w:pPr>
        <w:pStyle w:val="4"/>
        <w:numPr>
          <w:ilvl w:val="0"/>
          <w:numId w:val="54"/>
        </w:numPr>
        <w:bidi w:val="0"/>
        <w:rPr>
          <w:rFonts w:hint="default"/>
          <w:lang w:val="en-US" w:eastAsia="zh-CN"/>
        </w:rPr>
      </w:pPr>
      <w:bookmarkStart w:id="608" w:name="_Toc18275"/>
      <w:r>
        <w:rPr>
          <w:rFonts w:hint="eastAsia"/>
          <w:lang w:val="en-US" w:eastAsia="zh-CN"/>
        </w:rPr>
        <w:t>万亩冬季瓜菜标准化生产基地项目</w:t>
      </w:r>
      <w:bookmarkEnd w:id="604"/>
      <w:bookmarkEnd w:id="608"/>
    </w:p>
    <w:p>
      <w:pPr>
        <w:pStyle w:val="5"/>
        <w:bidi w:val="0"/>
        <w:rPr>
          <w:rFonts w:hint="eastAsia"/>
          <w:lang w:val="en-US" w:eastAsia="zh-CN"/>
        </w:rPr>
      </w:pPr>
      <w:bookmarkStart w:id="609" w:name="_Toc2210"/>
      <w:bookmarkStart w:id="610" w:name="_Toc26293"/>
      <w:r>
        <w:rPr>
          <w:rFonts w:hint="eastAsia"/>
          <w:lang w:val="en-US" w:eastAsia="zh-CN"/>
        </w:rPr>
        <w:t>1.项目概况</w:t>
      </w:r>
      <w:bookmarkEnd w:id="609"/>
      <w:bookmarkEnd w:id="610"/>
    </w:p>
    <w:p>
      <w:pPr>
        <w:rPr>
          <w:rFonts w:hint="eastAsia"/>
          <w:lang w:val="en-US" w:eastAsia="zh-CN"/>
        </w:rPr>
      </w:pPr>
      <w:r>
        <w:rPr>
          <w:rFonts w:hint="eastAsia" w:ascii="仿宋_GB2312" w:eastAsia="仿宋_GB2312"/>
          <w:lang w:val="en-US" w:eastAsia="zh-CN"/>
        </w:rPr>
        <w:t>对崖州冬季瓜菜种植稳定、相对成片土地开展农田基础设施建设，主要实施露地基础设施建设，包括水利、用电、道路、喷灌等，提高生产能力。由于冬季瓜菜种植品种较为单一，土壤常年耕作得不到休养，作物产量走低，对农药化肥依赖过大进一步导致土壤质量下降，土壤需要提升地力。</w:t>
      </w:r>
    </w:p>
    <w:p>
      <w:pPr>
        <w:pStyle w:val="5"/>
        <w:bidi w:val="0"/>
        <w:rPr>
          <w:rFonts w:hint="default"/>
          <w:lang w:val="en-US" w:eastAsia="zh-CN"/>
        </w:rPr>
      </w:pPr>
      <w:bookmarkStart w:id="611" w:name="_Toc26287"/>
      <w:bookmarkStart w:id="612" w:name="_Toc27202"/>
      <w:r>
        <w:rPr>
          <w:rFonts w:hint="eastAsia"/>
          <w:lang w:val="en-US" w:eastAsia="zh-CN"/>
        </w:rPr>
        <w:t>2.投资方和匡算</w:t>
      </w:r>
      <w:bookmarkEnd w:id="611"/>
      <w:bookmarkEnd w:id="612"/>
    </w:p>
    <w:p>
      <w:pPr>
        <w:rPr>
          <w:rFonts w:hint="default"/>
          <w:lang w:val="en-US" w:eastAsia="zh-CN"/>
        </w:rPr>
      </w:pPr>
      <w:r>
        <w:rPr>
          <w:rFonts w:hint="eastAsia" w:ascii="仿宋_GB2312" w:eastAsia="仿宋_GB2312"/>
          <w:lang w:val="en-US" w:eastAsia="zh-CN"/>
        </w:rPr>
        <w:t>投资方为政府。根据1000元每亩的标准投入，总投资1000万元。</w:t>
      </w:r>
    </w:p>
    <w:p>
      <w:pPr>
        <w:pStyle w:val="5"/>
        <w:bidi w:val="0"/>
        <w:rPr>
          <w:rFonts w:hint="eastAsia"/>
          <w:lang w:val="en-US" w:eastAsia="zh-CN"/>
        </w:rPr>
      </w:pPr>
      <w:bookmarkStart w:id="613" w:name="_Toc6554"/>
      <w:bookmarkStart w:id="614" w:name="_Toc27311"/>
      <w:r>
        <w:rPr>
          <w:rFonts w:hint="eastAsia"/>
          <w:lang w:val="en-US" w:eastAsia="zh-CN"/>
        </w:rPr>
        <w:t>3.选址建议</w:t>
      </w:r>
      <w:bookmarkEnd w:id="613"/>
      <w:bookmarkEnd w:id="614"/>
    </w:p>
    <w:p>
      <w:pPr>
        <w:rPr>
          <w:rFonts w:hint="default"/>
          <w:lang w:val="en-US" w:eastAsia="zh-CN"/>
        </w:rPr>
      </w:pPr>
      <w:r>
        <w:rPr>
          <w:rFonts w:hint="eastAsia" w:ascii="仿宋_GB2312" w:eastAsia="仿宋_GB2312"/>
          <w:lang w:val="en-US" w:eastAsia="zh-CN"/>
        </w:rPr>
        <w:t>在</w:t>
      </w:r>
      <w:r>
        <w:rPr>
          <w:rFonts w:hint="default"/>
          <w:lang w:val="en-US" w:eastAsia="zh-CN"/>
        </w:rPr>
        <w:t>崖州区</w:t>
      </w:r>
      <w:r>
        <w:rPr>
          <w:rFonts w:hint="eastAsia" w:ascii="仿宋_GB2312" w:eastAsia="仿宋_GB2312"/>
          <w:lang w:val="en-US" w:eastAsia="zh-CN"/>
        </w:rPr>
        <w:t>5万</w:t>
      </w:r>
      <w:r>
        <w:rPr>
          <w:rFonts w:hint="default"/>
          <w:lang w:val="en-US" w:eastAsia="zh-CN"/>
        </w:rPr>
        <w:t>亩</w:t>
      </w:r>
      <w:r>
        <w:rPr>
          <w:rFonts w:hint="eastAsia" w:ascii="仿宋_GB2312" w:eastAsia="仿宋_GB2312"/>
          <w:lang w:val="en-US" w:eastAsia="zh-CN"/>
        </w:rPr>
        <w:t>冬季瓜菜种植面积中，选择1万亩</w:t>
      </w:r>
      <w:r>
        <w:rPr>
          <w:rFonts w:hint="default"/>
          <w:lang w:val="en-US" w:eastAsia="zh-CN"/>
        </w:rPr>
        <w:t>相对连片</w:t>
      </w:r>
      <w:r>
        <w:rPr>
          <w:rFonts w:hint="eastAsia" w:ascii="仿宋_GB2312" w:eastAsia="仿宋_GB2312"/>
          <w:lang w:val="en-US" w:eastAsia="zh-CN"/>
        </w:rPr>
        <w:t>、稳定种植的土地。</w:t>
      </w:r>
    </w:p>
    <w:p>
      <w:pPr>
        <w:pStyle w:val="4"/>
        <w:numPr>
          <w:ilvl w:val="0"/>
          <w:numId w:val="54"/>
        </w:numPr>
        <w:bidi w:val="0"/>
        <w:rPr>
          <w:rFonts w:hint="default"/>
          <w:lang w:val="en-US" w:eastAsia="zh-CN"/>
        </w:rPr>
      </w:pPr>
      <w:bookmarkStart w:id="615" w:name="_Toc16980"/>
      <w:bookmarkStart w:id="616" w:name="_Toc23578"/>
      <w:r>
        <w:rPr>
          <w:rFonts w:hint="eastAsia"/>
          <w:lang w:val="en-US" w:eastAsia="zh-CN"/>
        </w:rPr>
        <w:t>千亩常年蔬菜骨干基地项目（“菜篮子”基地）</w:t>
      </w:r>
      <w:bookmarkEnd w:id="615"/>
      <w:bookmarkEnd w:id="616"/>
    </w:p>
    <w:p>
      <w:pPr>
        <w:pStyle w:val="5"/>
        <w:bidi w:val="0"/>
        <w:rPr>
          <w:rFonts w:hint="default"/>
          <w:lang w:val="en-US" w:eastAsia="zh-CN"/>
        </w:rPr>
      </w:pPr>
      <w:bookmarkStart w:id="617" w:name="_Toc18859"/>
      <w:bookmarkStart w:id="618" w:name="_Toc13297"/>
      <w:r>
        <w:rPr>
          <w:rFonts w:hint="eastAsia"/>
          <w:lang w:val="en-US" w:eastAsia="zh-CN"/>
        </w:rPr>
        <w:t>1.项目概况</w:t>
      </w:r>
      <w:bookmarkEnd w:id="617"/>
      <w:bookmarkEnd w:id="618"/>
    </w:p>
    <w:p>
      <w:pPr>
        <w:rPr>
          <w:rFonts w:hint="default"/>
          <w:lang w:val="en-US" w:eastAsia="zh-CN"/>
        </w:rPr>
      </w:pPr>
      <w:r>
        <w:rPr>
          <w:rFonts w:hint="eastAsia" w:ascii="仿宋_GB2312" w:eastAsia="仿宋_GB2312"/>
          <w:lang w:val="en-US" w:eastAsia="zh-CN"/>
        </w:rPr>
        <w:t>三亚全市常年蔬菜基地稳定在1.5万亩，其中崖州区2500亩。常年蔬菜骨干基地是指种植相对连片、种植周期稳定（5-10月份能够保持持续种植）、主供本地的生产基地，并出台相应管理、扶持、考核办法，全市重点打造1500亩。崖州区在2500亩蔬菜基地任务指标中，重点建设1000亩常年蔬菜骨干基地，建成后每年可向三亚市场持续稳定提供6000吨蔬菜，收入3000万元。</w:t>
      </w:r>
    </w:p>
    <w:p>
      <w:pPr>
        <w:rPr>
          <w:rFonts w:hint="eastAsia"/>
          <w:lang w:val="en-US" w:eastAsia="zh-CN"/>
        </w:rPr>
      </w:pPr>
      <w:r>
        <w:rPr>
          <w:rFonts w:hint="eastAsia" w:ascii="仿宋_GB2312" w:eastAsia="仿宋_GB2312"/>
          <w:lang w:val="en-US" w:eastAsia="zh-CN"/>
        </w:rPr>
        <w:t>露地基础设施改造升级，改造升级露地喷灌、水肥一体化设施、水利设施、用电设施、道路工程等，提高生产能力。</w:t>
      </w:r>
    </w:p>
    <w:p>
      <w:pPr>
        <w:rPr>
          <w:rFonts w:hint="default"/>
          <w:lang w:val="en-US" w:eastAsia="zh-CN"/>
        </w:rPr>
      </w:pPr>
      <w:r>
        <w:rPr>
          <w:rFonts w:hint="eastAsia" w:ascii="仿宋_GB2312" w:eastAsia="仿宋_GB2312"/>
          <w:lang w:val="en-US" w:eastAsia="zh-CN"/>
        </w:rPr>
        <w:t>提升地力，通过增施有机肥、添加土壤调理剂等方式提升地力。</w:t>
      </w:r>
    </w:p>
    <w:p>
      <w:pPr>
        <w:rPr>
          <w:rFonts w:hint="eastAsia"/>
          <w:lang w:val="en-US" w:eastAsia="zh-CN"/>
        </w:rPr>
      </w:pPr>
      <w:r>
        <w:rPr>
          <w:rFonts w:hint="eastAsia" w:ascii="仿宋_GB2312" w:eastAsia="仿宋_GB2312"/>
          <w:lang w:val="en-US" w:eastAsia="zh-CN"/>
        </w:rPr>
        <w:t>改造提升原有设施大棚，修复或完善原有设施大棚，确保能够达到正常生产。</w:t>
      </w:r>
    </w:p>
    <w:p>
      <w:pPr>
        <w:rPr>
          <w:rFonts w:hint="eastAsia"/>
          <w:lang w:val="en-US" w:eastAsia="zh-CN"/>
        </w:rPr>
      </w:pPr>
      <w:r>
        <w:rPr>
          <w:rFonts w:hint="eastAsia" w:ascii="仿宋_GB2312" w:eastAsia="仿宋_GB2312"/>
          <w:lang w:val="en-US" w:eastAsia="zh-CN"/>
        </w:rPr>
        <w:t>新建经济实用大棚，新增建设一批能抵御10级以内台风的经济实用大棚，做到防风防雨防虫降温。</w:t>
      </w:r>
    </w:p>
    <w:p>
      <w:pPr>
        <w:rPr>
          <w:rFonts w:hint="eastAsia"/>
          <w:lang w:val="en-US" w:eastAsia="zh-CN"/>
        </w:rPr>
      </w:pPr>
      <w:r>
        <w:rPr>
          <w:rFonts w:hint="eastAsia" w:ascii="仿宋_GB2312" w:eastAsia="仿宋_GB2312"/>
          <w:lang w:val="en-US" w:eastAsia="zh-CN"/>
        </w:rPr>
        <w:t>建设智能化监控系统，试点利用物联网、互联网技术安装智能化监控系统，实现设施化、标准化、信息化水平较高的常年蔬菜生产基地。</w:t>
      </w:r>
    </w:p>
    <w:p>
      <w:pPr>
        <w:rPr>
          <w:rFonts w:hint="default"/>
          <w:lang w:val="en-US" w:eastAsia="zh-CN"/>
        </w:rPr>
      </w:pPr>
      <w:r>
        <w:rPr>
          <w:rFonts w:hint="eastAsia" w:ascii="仿宋_GB2312" w:eastAsia="仿宋_GB2312"/>
          <w:lang w:val="en-US" w:eastAsia="zh-CN"/>
        </w:rPr>
        <w:t>建设防虫网、诱虫色板等生产设施。</w:t>
      </w:r>
    </w:p>
    <w:p>
      <w:pPr>
        <w:rPr>
          <w:rFonts w:hint="eastAsia"/>
          <w:lang w:val="en-US" w:eastAsia="zh-CN"/>
        </w:rPr>
      </w:pPr>
      <w:r>
        <w:rPr>
          <w:rFonts w:hint="eastAsia" w:ascii="仿宋_GB2312" w:eastAsia="仿宋_GB2312"/>
          <w:lang w:val="en-US" w:eastAsia="zh-CN"/>
        </w:rPr>
        <w:t>根据需要建设仓库、冷库、初加工车间等配套设施。</w:t>
      </w:r>
    </w:p>
    <w:p>
      <w:pPr>
        <w:pStyle w:val="5"/>
        <w:bidi w:val="0"/>
        <w:rPr>
          <w:rFonts w:hint="eastAsia"/>
          <w:lang w:val="en-US" w:eastAsia="zh-CN"/>
        </w:rPr>
      </w:pPr>
      <w:bookmarkStart w:id="619" w:name="_Toc23450"/>
      <w:bookmarkStart w:id="620" w:name="_Toc7492"/>
      <w:r>
        <w:rPr>
          <w:rFonts w:hint="eastAsia"/>
          <w:lang w:val="en-US" w:eastAsia="zh-CN"/>
        </w:rPr>
        <w:t>2.投资方和匡算</w:t>
      </w:r>
      <w:bookmarkEnd w:id="619"/>
      <w:bookmarkEnd w:id="620"/>
    </w:p>
    <w:p>
      <w:pPr>
        <w:rPr>
          <w:rFonts w:hint="default"/>
          <w:lang w:val="en-US" w:eastAsia="zh-CN"/>
        </w:rPr>
      </w:pPr>
      <w:r>
        <w:rPr>
          <w:rFonts w:hint="eastAsia" w:ascii="仿宋_GB2312" w:eastAsia="仿宋_GB2312"/>
          <w:lang w:val="en-US" w:eastAsia="zh-CN"/>
        </w:rPr>
        <w:t>投资方为农业企业、城投公司，总投资在1000万以上，政府根据标准进行补贴。</w:t>
      </w:r>
    </w:p>
    <w:p>
      <w:pPr>
        <w:rPr>
          <w:rFonts w:hint="eastAsia"/>
          <w:lang w:val="en-US" w:eastAsia="zh-CN"/>
        </w:rPr>
      </w:pPr>
      <w:r>
        <w:rPr>
          <w:rFonts w:hint="default"/>
          <w:lang w:val="en-US" w:eastAsia="zh-CN"/>
        </w:rPr>
        <w:t>按照新建基地8000元每亩、老基地4000元每亩的标准</w:t>
      </w:r>
      <w:r>
        <w:rPr>
          <w:rFonts w:hint="eastAsia" w:ascii="仿宋_GB2312" w:eastAsia="仿宋_GB2312"/>
          <w:lang w:val="en-US" w:eastAsia="zh-CN"/>
        </w:rPr>
        <w:t>对</w:t>
      </w:r>
      <w:r>
        <w:rPr>
          <w:rFonts w:hint="default"/>
          <w:lang w:val="en-US" w:eastAsia="zh-CN"/>
        </w:rPr>
        <w:t>骨干基地农田基本建设</w:t>
      </w:r>
      <w:r>
        <w:rPr>
          <w:rFonts w:hint="eastAsia" w:ascii="仿宋_GB2312" w:eastAsia="仿宋_GB2312"/>
          <w:lang w:val="en-US" w:eastAsia="zh-CN"/>
        </w:rPr>
        <w:t>进行补贴</w:t>
      </w:r>
      <w:r>
        <w:rPr>
          <w:rFonts w:hint="default"/>
          <w:lang w:val="en-US" w:eastAsia="zh-CN"/>
        </w:rPr>
        <w:t>，按照800元每亩</w:t>
      </w:r>
      <w:r>
        <w:rPr>
          <w:rFonts w:hint="eastAsia" w:ascii="仿宋_GB2312" w:eastAsia="仿宋_GB2312"/>
          <w:lang w:val="en-US" w:eastAsia="zh-CN"/>
        </w:rPr>
        <w:t>的</w:t>
      </w:r>
      <w:r>
        <w:rPr>
          <w:rFonts w:hint="default"/>
          <w:lang w:val="en-US" w:eastAsia="zh-CN"/>
        </w:rPr>
        <w:t>标准</w:t>
      </w:r>
      <w:r>
        <w:rPr>
          <w:rFonts w:hint="eastAsia" w:ascii="仿宋_GB2312" w:eastAsia="仿宋_GB2312"/>
          <w:lang w:val="en-US" w:eastAsia="zh-CN"/>
        </w:rPr>
        <w:t>对</w:t>
      </w:r>
      <w:r>
        <w:rPr>
          <w:rFonts w:hint="default"/>
          <w:lang w:val="en-US" w:eastAsia="zh-CN"/>
        </w:rPr>
        <w:t>地力提升工程</w:t>
      </w:r>
      <w:r>
        <w:rPr>
          <w:rFonts w:hint="eastAsia" w:ascii="仿宋_GB2312" w:eastAsia="仿宋_GB2312"/>
          <w:lang w:val="en-US" w:eastAsia="zh-CN"/>
        </w:rPr>
        <w:t>进行补贴，补贴总金额480-880万。</w:t>
      </w:r>
    </w:p>
    <w:p>
      <w:pPr>
        <w:pStyle w:val="5"/>
        <w:bidi w:val="0"/>
        <w:rPr>
          <w:rFonts w:hint="eastAsia"/>
          <w:lang w:val="en-US" w:eastAsia="zh-CN"/>
        </w:rPr>
      </w:pPr>
      <w:bookmarkStart w:id="621" w:name="_Toc23309"/>
      <w:bookmarkStart w:id="622" w:name="_Toc31941"/>
      <w:r>
        <w:rPr>
          <w:rFonts w:hint="eastAsia"/>
          <w:lang w:val="en-US" w:eastAsia="zh-CN"/>
        </w:rPr>
        <w:t>3.选址建议</w:t>
      </w:r>
      <w:bookmarkEnd w:id="621"/>
      <w:bookmarkEnd w:id="622"/>
    </w:p>
    <w:p>
      <w:pPr>
        <w:rPr>
          <w:rFonts w:hint="default"/>
          <w:lang w:val="en-US" w:eastAsia="zh-CN"/>
        </w:rPr>
      </w:pPr>
      <w:r>
        <w:rPr>
          <w:rFonts w:hint="eastAsia" w:ascii="仿宋_GB2312" w:eastAsia="仿宋_GB2312"/>
          <w:lang w:val="en-US" w:eastAsia="zh-CN"/>
        </w:rPr>
        <w:t>在</w:t>
      </w:r>
      <w:r>
        <w:rPr>
          <w:rFonts w:hint="default"/>
          <w:lang w:val="en-US" w:eastAsia="zh-CN"/>
        </w:rPr>
        <w:t>崖州区2500亩常年蔬菜基地</w:t>
      </w:r>
      <w:r>
        <w:rPr>
          <w:rFonts w:hint="eastAsia" w:ascii="仿宋_GB2312" w:eastAsia="仿宋_GB2312"/>
          <w:lang w:val="en-US" w:eastAsia="zh-CN"/>
        </w:rPr>
        <w:t>中，选择</w:t>
      </w:r>
      <w:r>
        <w:rPr>
          <w:rFonts w:hint="default"/>
          <w:lang w:val="en-US" w:eastAsia="zh-CN"/>
        </w:rPr>
        <w:t>相对连片</w:t>
      </w:r>
      <w:r>
        <w:rPr>
          <w:rFonts w:hint="eastAsia" w:ascii="仿宋_GB2312" w:eastAsia="仿宋_GB2312"/>
          <w:lang w:val="en-US" w:eastAsia="zh-CN"/>
        </w:rPr>
        <w:t>的1000亩区域，优先考虑城东、城西、水南、拱北等传统连片蔬菜种植地区。</w:t>
      </w:r>
    </w:p>
    <w:p>
      <w:pPr>
        <w:pStyle w:val="4"/>
        <w:numPr>
          <w:ilvl w:val="0"/>
          <w:numId w:val="54"/>
        </w:numPr>
        <w:bidi w:val="0"/>
        <w:rPr>
          <w:rFonts w:hint="default"/>
          <w:lang w:val="en-US" w:eastAsia="zh-CN"/>
        </w:rPr>
      </w:pPr>
      <w:bookmarkStart w:id="623" w:name="_Toc8128"/>
      <w:bookmarkStart w:id="624" w:name="_Toc22436"/>
      <w:r>
        <w:rPr>
          <w:rFonts w:hint="eastAsia"/>
          <w:lang w:val="en-US" w:eastAsia="zh-CN"/>
        </w:rPr>
        <w:t>热带水果出口种植示范基地</w:t>
      </w:r>
      <w:bookmarkEnd w:id="623"/>
      <w:r>
        <w:rPr>
          <w:rFonts w:hint="eastAsia"/>
          <w:lang w:val="en-US" w:eastAsia="zh-CN"/>
        </w:rPr>
        <w:t>项目</w:t>
      </w:r>
      <w:bookmarkEnd w:id="624"/>
    </w:p>
    <w:p>
      <w:pPr>
        <w:pStyle w:val="5"/>
        <w:bidi w:val="0"/>
        <w:rPr>
          <w:rFonts w:hint="eastAsia"/>
          <w:lang w:val="en-US" w:eastAsia="zh-CN"/>
        </w:rPr>
      </w:pPr>
      <w:bookmarkStart w:id="625" w:name="_Toc30348"/>
      <w:bookmarkStart w:id="626" w:name="_Toc24821"/>
      <w:r>
        <w:rPr>
          <w:rFonts w:hint="eastAsia"/>
          <w:lang w:val="en-US" w:eastAsia="zh-CN"/>
        </w:rPr>
        <w:t>1.项目概况</w:t>
      </w:r>
      <w:bookmarkEnd w:id="625"/>
      <w:bookmarkEnd w:id="626"/>
    </w:p>
    <w:p>
      <w:pPr>
        <w:rPr>
          <w:rFonts w:hint="eastAsia"/>
          <w:lang w:val="en-US" w:eastAsia="zh-CN"/>
        </w:rPr>
      </w:pPr>
      <w:r>
        <w:rPr>
          <w:rFonts w:hint="eastAsia" w:ascii="仿宋_GB2312" w:eastAsia="仿宋_GB2312"/>
          <w:lang w:val="en-US" w:eastAsia="zh-CN"/>
        </w:rPr>
        <w:t>崖州芒果种植面积14.2万亩、蜜瓜种植面积0.5万亩，在发展成熟、条件较好的水果种植园中选择500亩芒果出口种植基地、500亩蜜瓜出口种植基地，打造</w:t>
      </w:r>
      <w:r>
        <w:rPr>
          <w:rFonts w:hint="eastAsia"/>
          <w:lang w:val="en-US" w:eastAsia="zh-CN"/>
        </w:rPr>
        <w:t>10</w:t>
      </w:r>
      <w:r>
        <w:rPr>
          <w:rFonts w:hint="eastAsia" w:ascii="仿宋_GB2312" w:eastAsia="仿宋_GB2312"/>
          <w:lang w:val="en-US" w:eastAsia="zh-CN"/>
        </w:rPr>
        <w:t>00亩热带水果出口种植示范基地，主要供应日韩俄欧等温带地区国家。出口种植示范基地重点发展芒果、莲雾、蜜瓜优质品种，全面提升水果种植园农业基础设施建设，采用生态化、绿色化、信息化田间管理手段，发挥四级检测机制作用，加强水果质量安全网格化管理，按照出口的质量和安全标准实施种植，打造芒果、莲雾、蜜瓜出口种植示范基地。</w:t>
      </w:r>
    </w:p>
    <w:p>
      <w:pPr>
        <w:rPr>
          <w:rFonts w:hint="eastAsia"/>
          <w:lang w:val="en-US" w:eastAsia="zh-CN"/>
        </w:rPr>
      </w:pPr>
      <w:r>
        <w:rPr>
          <w:rFonts w:hint="eastAsia" w:ascii="仿宋_GB2312" w:eastAsia="仿宋_GB2312"/>
          <w:lang w:val="en-US" w:eastAsia="zh-CN"/>
        </w:rPr>
        <w:t>坡地基础设施改造升级，改造升级喷灌、水肥一体化设施、水利设施、用电设施、道路工程等，提高生产能力。</w:t>
      </w:r>
    </w:p>
    <w:p>
      <w:pPr>
        <w:rPr>
          <w:rFonts w:hint="eastAsia"/>
          <w:lang w:val="en-US" w:eastAsia="zh-CN"/>
        </w:rPr>
      </w:pPr>
      <w:r>
        <w:rPr>
          <w:rFonts w:hint="eastAsia" w:ascii="仿宋_GB2312" w:eastAsia="仿宋_GB2312"/>
          <w:lang w:val="en-US" w:eastAsia="zh-CN"/>
        </w:rPr>
        <w:t>提升地力，增施有机肥、添加土壤调理剂等方式。</w:t>
      </w:r>
    </w:p>
    <w:p>
      <w:pPr>
        <w:rPr>
          <w:rFonts w:hint="eastAsia"/>
          <w:lang w:val="en-US" w:eastAsia="zh-CN"/>
        </w:rPr>
      </w:pPr>
      <w:r>
        <w:rPr>
          <w:rFonts w:hint="eastAsia" w:ascii="仿宋_GB2312" w:eastAsia="仿宋_GB2312"/>
          <w:lang w:val="en-US" w:eastAsia="zh-CN"/>
        </w:rPr>
        <w:t>建设智能化监控系统，利用物联网、互联网技术安装智能化监控系统，实现现代化水平较高的水果生产基地。</w:t>
      </w:r>
    </w:p>
    <w:p>
      <w:pPr>
        <w:rPr>
          <w:rFonts w:hint="eastAsia"/>
          <w:lang w:val="en-US" w:eastAsia="zh-CN"/>
        </w:rPr>
      </w:pPr>
      <w:r>
        <w:rPr>
          <w:rFonts w:hint="eastAsia" w:ascii="仿宋_GB2312" w:eastAsia="仿宋_GB2312"/>
          <w:lang w:val="en-US" w:eastAsia="zh-CN"/>
        </w:rPr>
        <w:t>建设防虫网、诱虫色板等生产设施。</w:t>
      </w:r>
    </w:p>
    <w:p>
      <w:pPr>
        <w:rPr>
          <w:rFonts w:hint="eastAsia"/>
          <w:lang w:val="en-US" w:eastAsia="zh-CN"/>
        </w:rPr>
      </w:pPr>
      <w:r>
        <w:rPr>
          <w:rFonts w:hint="eastAsia" w:ascii="仿宋_GB2312" w:eastAsia="仿宋_GB2312"/>
          <w:lang w:val="en-US" w:eastAsia="zh-CN"/>
        </w:rPr>
        <w:t>根据需要建设仓库、冷库，建设芒果、莲雾清洗、恒温热处理灭菌、分级、分选、标准化包装一体的自动化保鲜分选生产线。</w:t>
      </w:r>
    </w:p>
    <w:p>
      <w:pPr>
        <w:pStyle w:val="5"/>
        <w:bidi w:val="0"/>
        <w:rPr>
          <w:rFonts w:hint="eastAsia"/>
          <w:lang w:val="en-US" w:eastAsia="zh-CN"/>
        </w:rPr>
      </w:pPr>
      <w:bookmarkStart w:id="627" w:name="_Toc31069"/>
      <w:bookmarkStart w:id="628" w:name="_Toc9457"/>
      <w:r>
        <w:rPr>
          <w:rFonts w:hint="eastAsia"/>
          <w:lang w:val="en-US" w:eastAsia="zh-CN"/>
        </w:rPr>
        <w:t>2.投资方和匡算</w:t>
      </w:r>
      <w:bookmarkEnd w:id="627"/>
      <w:bookmarkEnd w:id="628"/>
    </w:p>
    <w:p>
      <w:pPr>
        <w:rPr>
          <w:rFonts w:hint="eastAsia"/>
          <w:lang w:val="en-US" w:eastAsia="zh-CN"/>
        </w:rPr>
      </w:pPr>
      <w:r>
        <w:rPr>
          <w:rFonts w:hint="eastAsia" w:ascii="仿宋_GB2312" w:eastAsia="仿宋_GB2312"/>
          <w:lang w:val="en-US" w:eastAsia="zh-CN"/>
        </w:rPr>
        <w:t>投资方为农业企业、城投公司，总投资在</w:t>
      </w:r>
      <w:r>
        <w:rPr>
          <w:rFonts w:hint="eastAsia"/>
          <w:lang w:val="en-US" w:eastAsia="zh-CN"/>
        </w:rPr>
        <w:t>1</w:t>
      </w:r>
      <w:r>
        <w:rPr>
          <w:rFonts w:hint="eastAsia" w:ascii="仿宋_GB2312" w:eastAsia="仿宋_GB2312"/>
          <w:lang w:val="en-US" w:eastAsia="zh-CN"/>
        </w:rPr>
        <w:t>000万以上。政府按照4000元每亩的标准对现有种植果园进行补贴，按照800元每亩的标准对地力提升工程进行补贴，补贴总金额</w:t>
      </w:r>
      <w:r>
        <w:rPr>
          <w:rFonts w:hint="eastAsia"/>
          <w:lang w:val="en-US" w:eastAsia="zh-CN"/>
        </w:rPr>
        <w:t>480</w:t>
      </w:r>
      <w:r>
        <w:rPr>
          <w:rFonts w:hint="eastAsia" w:ascii="仿宋_GB2312" w:eastAsia="仿宋_GB2312"/>
          <w:lang w:val="en-US" w:eastAsia="zh-CN"/>
        </w:rPr>
        <w:t>万。政府补贴的原则是不超过总投资的70%、单设备补贴不超过50%、单个经营主体扶持资金不超过500万，种植基地出口量占产量比重的50%以上。</w:t>
      </w:r>
    </w:p>
    <w:p>
      <w:pPr>
        <w:pStyle w:val="5"/>
        <w:bidi w:val="0"/>
        <w:rPr>
          <w:rFonts w:hint="default"/>
          <w:lang w:val="en-US" w:eastAsia="zh-CN"/>
        </w:rPr>
      </w:pPr>
      <w:bookmarkStart w:id="629" w:name="_Toc18432"/>
      <w:bookmarkStart w:id="630" w:name="_Toc24991"/>
      <w:r>
        <w:rPr>
          <w:rFonts w:hint="eastAsia"/>
          <w:lang w:val="en-US" w:eastAsia="zh-CN"/>
        </w:rPr>
        <w:t>3.选址建议</w:t>
      </w:r>
      <w:bookmarkEnd w:id="629"/>
      <w:bookmarkEnd w:id="630"/>
    </w:p>
    <w:p>
      <w:pPr>
        <w:rPr>
          <w:rFonts w:hint="default"/>
          <w:lang w:val="en-US" w:eastAsia="zh-CN"/>
        </w:rPr>
      </w:pPr>
      <w:r>
        <w:rPr>
          <w:rFonts w:hint="eastAsia" w:ascii="仿宋_GB2312" w:eastAsia="仿宋_GB2312"/>
          <w:lang w:val="en-US" w:eastAsia="zh-CN"/>
        </w:rPr>
        <w:t>芒果出口种植示范基地优先考虑南滨农场条件较好的芒果种植园，蜜瓜出口种植示范基地优先考虑梅山条件较好的蜜瓜种植园，莲雾出口种植示范基地选择区内条件较好的莲雾种植园或新建莲雾种植园。</w:t>
      </w:r>
    </w:p>
    <w:p>
      <w:pPr>
        <w:pStyle w:val="4"/>
        <w:numPr>
          <w:ilvl w:val="0"/>
          <w:numId w:val="54"/>
        </w:numPr>
        <w:bidi w:val="0"/>
        <w:rPr>
          <w:rFonts w:hint="default"/>
          <w:lang w:val="en-US" w:eastAsia="zh-CN"/>
        </w:rPr>
      </w:pPr>
      <w:bookmarkStart w:id="631" w:name="_Toc20678"/>
      <w:bookmarkStart w:id="632" w:name="_Toc22624"/>
      <w:r>
        <w:rPr>
          <w:rFonts w:hint="eastAsia"/>
          <w:lang w:val="en-US" w:eastAsia="zh-CN"/>
        </w:rPr>
        <w:t>工厂化水产养殖基地项目</w:t>
      </w:r>
      <w:bookmarkEnd w:id="631"/>
      <w:bookmarkEnd w:id="632"/>
    </w:p>
    <w:p>
      <w:pPr>
        <w:pStyle w:val="5"/>
        <w:bidi w:val="0"/>
        <w:rPr>
          <w:rFonts w:hint="default"/>
          <w:lang w:val="en-US" w:eastAsia="zh-CN"/>
        </w:rPr>
      </w:pPr>
      <w:bookmarkStart w:id="633" w:name="_Toc10903"/>
      <w:bookmarkStart w:id="634" w:name="_Toc22959"/>
      <w:r>
        <w:rPr>
          <w:rFonts w:hint="eastAsia"/>
          <w:lang w:val="en-US" w:eastAsia="zh-CN"/>
        </w:rPr>
        <w:t>1.项目概况</w:t>
      </w:r>
      <w:bookmarkEnd w:id="633"/>
      <w:bookmarkEnd w:id="634"/>
    </w:p>
    <w:p>
      <w:pPr>
        <w:rPr>
          <w:rFonts w:hint="eastAsia" w:ascii="仿宋_GB2312" w:eastAsia="仿宋_GB2312"/>
          <w:lang w:val="en-US" w:eastAsia="zh-CN"/>
        </w:rPr>
      </w:pPr>
      <w:r>
        <w:rPr>
          <w:rFonts w:hint="eastAsia" w:ascii="仿宋_GB2312" w:eastAsia="仿宋_GB2312"/>
          <w:lang w:val="en-US" w:eastAsia="zh-CN"/>
        </w:rPr>
        <w:t>2022年前</w:t>
      </w:r>
      <w:r>
        <w:rPr>
          <w:rFonts w:hint="eastAsia"/>
          <w:lang w:val="en-US" w:eastAsia="zh-CN"/>
        </w:rPr>
        <w:t>全区</w:t>
      </w:r>
      <w:r>
        <w:rPr>
          <w:rFonts w:hint="eastAsia" w:ascii="仿宋_GB2312" w:eastAsia="仿宋_GB2312"/>
          <w:lang w:val="en-US" w:eastAsia="zh-CN"/>
        </w:rPr>
        <w:t>需清理2430亩海岸线200米范围内鱼虾塘，全区鱼虾塘</w:t>
      </w:r>
      <w:r>
        <w:rPr>
          <w:rFonts w:hint="eastAsia"/>
          <w:lang w:val="en-US" w:eastAsia="zh-CN"/>
        </w:rPr>
        <w:t>养殖面积</w:t>
      </w:r>
      <w:r>
        <w:rPr>
          <w:rFonts w:hint="eastAsia" w:ascii="仿宋_GB2312" w:eastAsia="仿宋_GB2312"/>
          <w:lang w:val="en-US" w:eastAsia="zh-CN"/>
        </w:rPr>
        <w:t>减少1/3，</w:t>
      </w:r>
      <w:r>
        <w:rPr>
          <w:rFonts w:hint="eastAsia"/>
          <w:lang w:val="en-US" w:eastAsia="zh-CN"/>
        </w:rPr>
        <w:t>渔业经济规模将出现萎缩，亟需通过发展工厂化水产养殖基地项目补足产能、提振渔业经济、实现产业转型升级。</w:t>
      </w:r>
    </w:p>
    <w:p>
      <w:pPr>
        <w:rPr>
          <w:rFonts w:hint="default"/>
          <w:lang w:val="en-US" w:eastAsia="zh-CN"/>
        </w:rPr>
      </w:pPr>
      <w:r>
        <w:rPr>
          <w:rFonts w:hint="eastAsia" w:ascii="仿宋_GB2312" w:eastAsia="仿宋_GB2312"/>
          <w:lang w:val="en-US" w:eastAsia="zh-CN"/>
        </w:rPr>
        <w:t>在镇海、长山、盐灶等适宜地区建设工厂化循环水养殖基地（</w:t>
      </w:r>
      <w:r>
        <w:rPr>
          <w:rFonts w:hint="eastAsia"/>
          <w:lang w:val="en-US" w:eastAsia="zh-CN"/>
        </w:rPr>
        <w:t>含</w:t>
      </w:r>
      <w:r>
        <w:rPr>
          <w:rFonts w:hint="eastAsia" w:ascii="仿宋_GB2312" w:eastAsia="仿宋_GB2312"/>
          <w:lang w:val="en-US" w:eastAsia="zh-CN"/>
        </w:rPr>
        <w:t>热带观赏鱼养殖基地），具有管理高效、环境可控、用地集约、产量高、品质可靠、均衡上市等优点。</w:t>
      </w:r>
      <w:r>
        <w:rPr>
          <w:rFonts w:hint="eastAsia"/>
          <w:lang w:val="en-US" w:eastAsia="zh-CN"/>
        </w:rPr>
        <w:t>起步区</w:t>
      </w:r>
      <w:r>
        <w:rPr>
          <w:rFonts w:hint="eastAsia" w:ascii="仿宋_GB2312" w:eastAsia="仿宋_GB2312"/>
          <w:lang w:val="en-US" w:eastAsia="zh-CN"/>
        </w:rPr>
        <w:t>占地面积200亩，建设内容包括园区基础设施、环保设施、给排水工程、海水取水工程、养殖厂房、热带观赏鱼展示馆等。</w:t>
      </w:r>
      <w:r>
        <w:rPr>
          <w:rFonts w:hint="default"/>
          <w:lang w:val="en-US" w:eastAsia="zh-CN"/>
        </w:rPr>
        <w:t>养殖厂房及</w:t>
      </w:r>
      <w:r>
        <w:rPr>
          <w:rFonts w:hint="eastAsia" w:ascii="仿宋_GB2312" w:eastAsia="仿宋_GB2312"/>
          <w:lang w:val="en-US" w:eastAsia="zh-CN"/>
        </w:rPr>
        <w:t>附属用房</w:t>
      </w:r>
      <w:r>
        <w:rPr>
          <w:rFonts w:hint="default"/>
          <w:lang w:val="en-US" w:eastAsia="zh-CN"/>
        </w:rPr>
        <w:t>总建筑面积</w:t>
      </w:r>
      <w:r>
        <w:rPr>
          <w:rFonts w:hint="eastAsia" w:ascii="仿宋_GB2312" w:eastAsia="仿宋_GB2312"/>
          <w:lang w:val="en-US" w:eastAsia="zh-CN"/>
        </w:rPr>
        <w:t>6万</w:t>
      </w:r>
      <w:r>
        <w:rPr>
          <w:rFonts w:hint="default"/>
          <w:lang w:val="en-US" w:eastAsia="zh-CN"/>
        </w:rPr>
        <w:t>平方米</w:t>
      </w:r>
      <w:r>
        <w:rPr>
          <w:rFonts w:hint="eastAsia" w:ascii="仿宋_GB2312" w:eastAsia="仿宋_GB2312"/>
          <w:lang w:val="en-US" w:eastAsia="zh-CN"/>
        </w:rPr>
        <w:t>，</w:t>
      </w:r>
      <w:r>
        <w:rPr>
          <w:rFonts w:hint="default"/>
          <w:lang w:val="en-US" w:eastAsia="zh-CN"/>
        </w:rPr>
        <w:t>厂房</w:t>
      </w:r>
      <w:r>
        <w:rPr>
          <w:rFonts w:hint="eastAsia" w:ascii="仿宋_GB2312" w:eastAsia="仿宋_GB2312"/>
          <w:lang w:val="en-US" w:eastAsia="zh-CN"/>
        </w:rPr>
        <w:t>约20</w:t>
      </w:r>
      <w:r>
        <w:rPr>
          <w:rFonts w:hint="default"/>
          <w:lang w:val="en-US" w:eastAsia="zh-CN"/>
        </w:rPr>
        <w:t>栋</w:t>
      </w:r>
      <w:r>
        <w:rPr>
          <w:rFonts w:hint="eastAsia" w:ascii="仿宋_GB2312" w:eastAsia="仿宋_GB2312"/>
          <w:lang w:val="en-US" w:eastAsia="zh-CN"/>
        </w:rPr>
        <w:t>，根据实际需要设计</w:t>
      </w:r>
      <w:r>
        <w:rPr>
          <w:rFonts w:hint="default"/>
          <w:lang w:val="en-US" w:eastAsia="zh-CN"/>
        </w:rPr>
        <w:t>双联</w:t>
      </w:r>
      <w:r>
        <w:rPr>
          <w:rFonts w:hint="eastAsia" w:ascii="仿宋_GB2312" w:eastAsia="仿宋_GB2312"/>
          <w:lang w:val="en-US" w:eastAsia="zh-CN"/>
        </w:rPr>
        <w:t>或三联</w:t>
      </w:r>
      <w:r>
        <w:rPr>
          <w:rFonts w:hint="default"/>
          <w:lang w:val="en-US" w:eastAsia="zh-CN"/>
        </w:rPr>
        <w:t>厂房。</w:t>
      </w:r>
    </w:p>
    <w:p>
      <w:pPr>
        <w:rPr>
          <w:rFonts w:hint="default"/>
          <w:lang w:val="en-US" w:eastAsia="zh-CN"/>
        </w:rPr>
      </w:pPr>
      <w:r>
        <w:rPr>
          <w:rFonts w:hint="eastAsia" w:ascii="仿宋_GB2312" w:eastAsia="仿宋_GB2312"/>
          <w:lang w:val="en-US" w:eastAsia="zh-CN"/>
        </w:rPr>
        <w:t>随着环保督查的不断深入，工厂化循环水养殖基地需求十分迫切，租赁费用将迎来新的上涨趋势。项目建成后优先向崖州清理整治养殖户出租，其次向省内其他地区养殖户出租，采用拍卖摘牌的形式获取较高租金收益。基地向养殖户提供技术、种苗、渠道、污水处理等服务，形成由基地、技术单位、养殖户、加工企业、渠道经销商组成的水产共同体，打造工厂化养殖示范工程，实现崖州水产养殖业转型升级。依托热带观赏鱼展示馆发展观赏鱼博览、渔业观光展示、观赏鱼交易、渔家美食等农旅贸服务业。</w:t>
      </w:r>
    </w:p>
    <w:p>
      <w:pPr>
        <w:ind w:left="0" w:leftChars="0" w:firstLine="0" w:firstLineChars="0"/>
        <w:jc w:val="center"/>
        <w:rPr>
          <w:rFonts w:hint="default"/>
          <w:lang w:val="en-US" w:eastAsia="zh-CN"/>
        </w:rPr>
      </w:pPr>
      <w:r>
        <w:rPr>
          <w:rFonts w:hint="default"/>
          <w:lang w:val="en-US" w:eastAsia="zh-CN"/>
        </w:rPr>
        <w:drawing>
          <wp:inline distT="0" distB="0" distL="114300" distR="114300">
            <wp:extent cx="2424430" cy="1440180"/>
            <wp:effectExtent l="0" t="0" r="13970" b="7620"/>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51"/>
                    <a:stretch>
                      <a:fillRect/>
                    </a:stretch>
                  </pic:blipFill>
                  <pic:spPr>
                    <a:xfrm>
                      <a:off x="0" y="0"/>
                      <a:ext cx="2424430" cy="1440180"/>
                    </a:xfrm>
                    <a:prstGeom prst="rect">
                      <a:avLst/>
                    </a:prstGeom>
                    <a:noFill/>
                    <a:ln>
                      <a:noFill/>
                    </a:ln>
                  </pic:spPr>
                </pic:pic>
              </a:graphicData>
            </a:graphic>
          </wp:inline>
        </w:drawing>
      </w:r>
      <w:r>
        <w:rPr>
          <w:rFonts w:hint="eastAsia" w:ascii="仿宋_GB2312" w:eastAsia="仿宋_GB2312"/>
          <w:lang w:val="en-US" w:eastAsia="zh-CN"/>
        </w:rPr>
        <w:t xml:space="preserve">  </w:t>
      </w:r>
      <w:r>
        <w:rPr>
          <w:rFonts w:hint="default"/>
          <w:lang w:val="en-US" w:eastAsia="zh-CN"/>
        </w:rPr>
        <w:drawing>
          <wp:inline distT="0" distB="0" distL="114300" distR="114300">
            <wp:extent cx="2618740" cy="1440180"/>
            <wp:effectExtent l="0" t="0" r="10160" b="7620"/>
            <wp:docPr id="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
                    <pic:cNvPicPr>
                      <a:picLocks noChangeAspect="1"/>
                    </pic:cNvPicPr>
                  </pic:nvPicPr>
                  <pic:blipFill>
                    <a:blip r:embed="rId52"/>
                    <a:stretch>
                      <a:fillRect/>
                    </a:stretch>
                  </pic:blipFill>
                  <pic:spPr>
                    <a:xfrm>
                      <a:off x="0" y="0"/>
                      <a:ext cx="2618740" cy="1440180"/>
                    </a:xfrm>
                    <a:prstGeom prst="rect">
                      <a:avLst/>
                    </a:prstGeom>
                    <a:noFill/>
                    <a:ln>
                      <a:noFill/>
                    </a:ln>
                  </pic:spPr>
                </pic:pic>
              </a:graphicData>
            </a:graphic>
          </wp:inline>
        </w:drawing>
      </w:r>
    </w:p>
    <w:p>
      <w:pPr>
        <w:ind w:left="0" w:leftChars="0" w:firstLine="0" w:firstLineChars="0"/>
        <w:jc w:val="center"/>
        <w:rPr>
          <w:rFonts w:hint="default"/>
          <w:lang w:val="en-US" w:eastAsia="zh-CN"/>
        </w:rPr>
      </w:pPr>
      <w:r>
        <w:rPr>
          <w:rFonts w:hint="default"/>
          <w:lang w:val="en-US" w:eastAsia="zh-CN"/>
        </w:rPr>
        <w:drawing>
          <wp:inline distT="0" distB="0" distL="114300" distR="114300">
            <wp:extent cx="2349500" cy="1440180"/>
            <wp:effectExtent l="0" t="0" r="12700" b="7620"/>
            <wp:docPr id="1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2"/>
                    <pic:cNvPicPr>
                      <a:picLocks noChangeAspect="1"/>
                    </pic:cNvPicPr>
                  </pic:nvPicPr>
                  <pic:blipFill>
                    <a:blip r:embed="rId53"/>
                    <a:stretch>
                      <a:fillRect/>
                    </a:stretch>
                  </pic:blipFill>
                  <pic:spPr>
                    <a:xfrm>
                      <a:off x="0" y="0"/>
                      <a:ext cx="2349500" cy="1440180"/>
                    </a:xfrm>
                    <a:prstGeom prst="rect">
                      <a:avLst/>
                    </a:prstGeom>
                    <a:noFill/>
                    <a:ln>
                      <a:noFill/>
                    </a:ln>
                  </pic:spPr>
                </pic:pic>
              </a:graphicData>
            </a:graphic>
          </wp:inline>
        </w:drawing>
      </w:r>
      <w:r>
        <w:rPr>
          <w:rFonts w:hint="default"/>
          <w:lang w:val="en-US" w:eastAsia="zh-CN"/>
        </w:rPr>
        <w:drawing>
          <wp:inline distT="0" distB="0" distL="114300" distR="114300">
            <wp:extent cx="2880995" cy="1440180"/>
            <wp:effectExtent l="0" t="0" r="14605" b="7620"/>
            <wp:docPr id="2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3"/>
                    <pic:cNvPicPr>
                      <a:picLocks noChangeAspect="1"/>
                    </pic:cNvPicPr>
                  </pic:nvPicPr>
                  <pic:blipFill>
                    <a:blip r:embed="rId54"/>
                    <a:stretch>
                      <a:fillRect/>
                    </a:stretch>
                  </pic:blipFill>
                  <pic:spPr>
                    <a:xfrm>
                      <a:off x="0" y="0"/>
                      <a:ext cx="2880995" cy="1440180"/>
                    </a:xfrm>
                    <a:prstGeom prst="rect">
                      <a:avLst/>
                    </a:prstGeom>
                    <a:noFill/>
                    <a:ln>
                      <a:noFill/>
                    </a:ln>
                  </pic:spPr>
                </pic:pic>
              </a:graphicData>
            </a:graphic>
          </wp:inline>
        </w:drawing>
      </w:r>
    </w:p>
    <w:p>
      <w:pPr>
        <w:ind w:left="0" w:leftChars="0" w:firstLine="0" w:firstLineChars="0"/>
        <w:jc w:val="center"/>
        <w:rPr>
          <w:rFonts w:hint="default" w:ascii="楷体" w:hAnsi="楷体" w:eastAsia="楷体" w:cs="楷体"/>
          <w:b w:val="0"/>
          <w:bCs w:val="0"/>
          <w:sz w:val="28"/>
          <w:szCs w:val="28"/>
          <w:lang w:val="en-US" w:eastAsia="zh-CN"/>
        </w:rPr>
      </w:pPr>
      <w:r>
        <w:rPr>
          <w:rFonts w:hint="eastAsia" w:ascii="楷体" w:hAnsi="楷体" w:eastAsia="楷体" w:cs="楷体"/>
          <w:b w:val="0"/>
          <w:bCs w:val="0"/>
          <w:sz w:val="28"/>
          <w:szCs w:val="28"/>
          <w:lang w:val="en-US" w:eastAsia="zh-CN"/>
        </w:rPr>
        <w:t>图21  工厂化水产养殖基地设计示意图</w:t>
      </w:r>
    </w:p>
    <w:p>
      <w:pPr>
        <w:pStyle w:val="5"/>
        <w:bidi w:val="0"/>
        <w:rPr>
          <w:rFonts w:hint="eastAsia"/>
          <w:lang w:val="en-US" w:eastAsia="zh-CN"/>
        </w:rPr>
      </w:pPr>
      <w:bookmarkStart w:id="635" w:name="_Toc8510"/>
      <w:bookmarkStart w:id="636" w:name="_Toc2600"/>
      <w:r>
        <w:rPr>
          <w:rFonts w:hint="eastAsia"/>
          <w:lang w:val="en-US" w:eastAsia="zh-CN"/>
        </w:rPr>
        <w:t>2.投资方和匡算</w:t>
      </w:r>
      <w:bookmarkEnd w:id="635"/>
      <w:bookmarkEnd w:id="636"/>
    </w:p>
    <w:p>
      <w:pPr>
        <w:rPr>
          <w:rFonts w:hint="default"/>
          <w:lang w:val="en-US" w:eastAsia="zh-CN"/>
        </w:rPr>
      </w:pPr>
      <w:r>
        <w:rPr>
          <w:rFonts w:hint="eastAsia" w:ascii="仿宋_GB2312" w:eastAsia="仿宋_GB2312"/>
          <w:lang w:val="en-US" w:eastAsia="zh-CN"/>
        </w:rPr>
        <w:t>投资方为城投或农投公司，建设投资约2.5亿元，不含拆迁安置费用。投入运营后，园区运营由投资方负责，预计每年厂房租金收入约2500万元，热带观赏鱼展示馆接待游客10万人次。</w:t>
      </w:r>
    </w:p>
    <w:p>
      <w:pPr>
        <w:pStyle w:val="5"/>
        <w:bidi w:val="0"/>
        <w:rPr>
          <w:rFonts w:hint="default"/>
          <w:lang w:val="en-US" w:eastAsia="zh-CN"/>
        </w:rPr>
      </w:pPr>
      <w:bookmarkStart w:id="637" w:name="_Toc13197"/>
      <w:bookmarkStart w:id="638" w:name="_Toc2069"/>
      <w:r>
        <w:rPr>
          <w:rFonts w:hint="eastAsia"/>
          <w:lang w:val="en-US" w:eastAsia="zh-CN"/>
        </w:rPr>
        <w:t>3.选址建议</w:t>
      </w:r>
      <w:bookmarkEnd w:id="637"/>
      <w:bookmarkEnd w:id="638"/>
    </w:p>
    <w:p>
      <w:pPr>
        <w:rPr>
          <w:rFonts w:hint="default"/>
          <w:lang w:val="en-US" w:eastAsia="zh-CN"/>
        </w:rPr>
      </w:pPr>
      <w:r>
        <w:rPr>
          <w:rFonts w:hint="eastAsia" w:ascii="仿宋_GB2312" w:eastAsia="仿宋_GB2312"/>
          <w:lang w:val="en-US" w:eastAsia="zh-CN"/>
        </w:rPr>
        <w:t>建议选址在镇海村与长山村中间位置，225国道以北、084乡道以东、海南西环铁路以南位置，占地面积200亩，项目边界距离海岸线大于200米。地块内部目前为水产养殖池及附属用房地。远期可以向东、向西拓展。</w:t>
      </w:r>
    </w:p>
    <w:p>
      <w:pPr>
        <w:ind w:left="0" w:leftChars="0" w:firstLine="0" w:firstLineChars="0"/>
        <w:jc w:val="center"/>
        <w:rPr>
          <w:rFonts w:hint="default"/>
          <w:lang w:val="en-US" w:eastAsia="zh-CN"/>
        </w:rPr>
      </w:pPr>
      <w:r>
        <w:rPr>
          <w:rFonts w:hint="default"/>
          <w:lang w:val="en-US" w:eastAsia="zh-CN"/>
        </w:rPr>
        <w:drawing>
          <wp:inline distT="0" distB="0" distL="114300" distR="114300">
            <wp:extent cx="5228590" cy="2938145"/>
            <wp:effectExtent l="9525" t="9525" r="19685" b="24130"/>
            <wp:docPr id="21" name="图片 21" descr="制图ppt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制图ppt_02"/>
                    <pic:cNvPicPr>
                      <a:picLocks noChangeAspect="1"/>
                    </pic:cNvPicPr>
                  </pic:nvPicPr>
                  <pic:blipFill>
                    <a:blip r:embed="rId55"/>
                    <a:srcRect b="19264"/>
                    <a:stretch>
                      <a:fillRect/>
                    </a:stretch>
                  </pic:blipFill>
                  <pic:spPr>
                    <a:xfrm>
                      <a:off x="0" y="0"/>
                      <a:ext cx="5228590" cy="2938145"/>
                    </a:xfrm>
                    <a:prstGeom prst="rect">
                      <a:avLst/>
                    </a:prstGeom>
                    <a:ln>
                      <a:solidFill>
                        <a:schemeClr val="accent5">
                          <a:lumMod val="60000"/>
                          <a:lumOff val="40000"/>
                        </a:schemeClr>
                      </a:solidFill>
                    </a:ln>
                  </pic:spPr>
                </pic:pic>
              </a:graphicData>
            </a:graphic>
          </wp:inline>
        </w:drawing>
      </w:r>
    </w:p>
    <w:p>
      <w:pPr>
        <w:ind w:left="0" w:leftChars="0" w:firstLine="0" w:firstLineChars="0"/>
        <w:jc w:val="center"/>
        <w:rPr>
          <w:rFonts w:hint="eastAsia" w:ascii="楷体" w:hAnsi="楷体" w:eastAsia="楷体" w:cs="楷体"/>
          <w:b w:val="0"/>
          <w:bCs w:val="0"/>
          <w:sz w:val="28"/>
          <w:szCs w:val="28"/>
          <w:lang w:val="en-US" w:eastAsia="zh-CN"/>
        </w:rPr>
      </w:pPr>
      <w:r>
        <w:rPr>
          <w:rFonts w:hint="eastAsia" w:ascii="楷体" w:hAnsi="楷体" w:eastAsia="楷体" w:cs="楷体"/>
          <w:b w:val="0"/>
          <w:bCs w:val="0"/>
          <w:sz w:val="28"/>
          <w:szCs w:val="28"/>
          <w:lang w:val="en-US" w:eastAsia="zh-CN"/>
        </w:rPr>
        <w:t>图22  工厂化水产养殖基地项目选址建议</w:t>
      </w:r>
    </w:p>
    <w:p>
      <w:pPr>
        <w:pStyle w:val="5"/>
        <w:bidi w:val="0"/>
        <w:rPr>
          <w:rFonts w:hint="eastAsia"/>
          <w:lang w:val="en-US" w:eastAsia="zh-CN"/>
        </w:rPr>
      </w:pPr>
      <w:bookmarkStart w:id="639" w:name="_Toc8028"/>
      <w:bookmarkStart w:id="640" w:name="_Toc19806"/>
      <w:r>
        <w:rPr>
          <w:rFonts w:hint="eastAsia"/>
          <w:lang w:val="en-US" w:eastAsia="zh-CN"/>
        </w:rPr>
        <w:t>4.招商建议</w:t>
      </w:r>
      <w:bookmarkEnd w:id="639"/>
      <w:bookmarkEnd w:id="640"/>
    </w:p>
    <w:p>
      <w:pPr>
        <w:rPr>
          <w:rFonts w:hint="default" w:ascii="仿宋_GB2312" w:eastAsia="仿宋_GB2312"/>
          <w:lang w:val="en-US" w:eastAsia="zh-CN"/>
        </w:rPr>
      </w:pPr>
      <w:r>
        <w:rPr>
          <w:rFonts w:hint="eastAsia" w:ascii="仿宋_GB2312" w:eastAsia="仿宋_GB2312"/>
          <w:lang w:val="en-US" w:eastAsia="zh-CN"/>
        </w:rPr>
        <w:t>浙江恒泽生态农业有限公司、湛江国联水产、潍坊顺源渔业有限公司、英国Prawns水产养殖公司（GBP）、泰国正大卜蜂（CPF）、新加坡仟湖鱼业、马来西亚祥龙鱼场、长彦观赏鱼养殖公司。</w:t>
      </w:r>
    </w:p>
    <w:p>
      <w:pPr>
        <w:pStyle w:val="4"/>
        <w:numPr>
          <w:ilvl w:val="0"/>
          <w:numId w:val="54"/>
        </w:numPr>
        <w:bidi w:val="0"/>
        <w:rPr>
          <w:rFonts w:hint="default"/>
          <w:lang w:val="en-US" w:eastAsia="zh-CN"/>
        </w:rPr>
      </w:pPr>
      <w:bookmarkStart w:id="641" w:name="_Toc16775"/>
      <w:bookmarkStart w:id="642" w:name="_Toc6823"/>
      <w:r>
        <w:rPr>
          <w:rFonts w:hint="eastAsia"/>
          <w:lang w:val="en-US" w:eastAsia="zh-CN"/>
        </w:rPr>
        <w:t>大型网箱养殖工船项目</w:t>
      </w:r>
      <w:bookmarkEnd w:id="641"/>
      <w:bookmarkEnd w:id="642"/>
    </w:p>
    <w:p>
      <w:pPr>
        <w:pStyle w:val="5"/>
        <w:bidi w:val="0"/>
        <w:rPr>
          <w:rFonts w:hint="eastAsia"/>
          <w:lang w:val="en-US" w:eastAsia="zh-CN"/>
        </w:rPr>
      </w:pPr>
      <w:bookmarkStart w:id="643" w:name="_Toc21871"/>
      <w:bookmarkStart w:id="644" w:name="_Toc14284"/>
      <w:r>
        <w:rPr>
          <w:rFonts w:hint="eastAsia"/>
          <w:lang w:val="en-US" w:eastAsia="zh-CN"/>
        </w:rPr>
        <w:t>1.项目概况</w:t>
      </w:r>
      <w:bookmarkEnd w:id="643"/>
      <w:bookmarkEnd w:id="644"/>
    </w:p>
    <w:p>
      <w:pPr>
        <w:rPr>
          <w:rFonts w:hint="default"/>
          <w:lang w:val="en-US" w:eastAsia="zh-CN"/>
        </w:rPr>
      </w:pPr>
      <w:r>
        <w:rPr>
          <w:rFonts w:hint="eastAsia" w:ascii="仿宋_GB2312" w:eastAsia="仿宋_GB2312"/>
          <w:lang w:val="en-US" w:eastAsia="zh-CN"/>
        </w:rPr>
        <w:t>以崖州中心渔港为基地母港，在深远海区域发展大型工船网箱养殖，发展深远海、坐底式、抗风浪大型网箱养殖工船，养殖高附加值深水鱼类，开展黄鳍金枪鱼等高附加值深水鱼类养殖，供应国内高端市场，利用自贸港优势出口日韩欧美市场。依托海上养殖基地，可以开展休闲垂钓、海上观光、高端品鉴、现场拍卖等高端服务业。</w:t>
      </w:r>
    </w:p>
    <w:p>
      <w:pPr>
        <w:rPr>
          <w:rFonts w:hint="eastAsia"/>
          <w:lang w:val="en-US" w:eastAsia="zh-CN"/>
        </w:rPr>
      </w:pPr>
      <w:r>
        <w:rPr>
          <w:rFonts w:hint="eastAsia" w:ascii="仿宋_GB2312" w:eastAsia="仿宋_GB2312"/>
          <w:lang w:val="en-US" w:eastAsia="zh-CN"/>
        </w:rPr>
        <w:t>按照投入国内最大的250米长10万吨级大型养殖工船测算，单船养殖水体8万立方米，年产能4000吨，年均营业收入约2.2亿元，固定资产投资约4亿元。</w:t>
      </w:r>
    </w:p>
    <w:p>
      <w:pPr>
        <w:ind w:left="0" w:leftChars="0" w:firstLine="0" w:firstLineChars="0"/>
        <w:jc w:val="center"/>
        <w:rPr>
          <w:rFonts w:hint="eastAsia" w:ascii="仿宋_GB2312" w:eastAsia="仿宋_GB2312"/>
          <w:lang w:val="en-US" w:eastAsia="zh-CN"/>
        </w:rPr>
      </w:pPr>
      <w:r>
        <w:rPr>
          <w:rFonts w:hint="eastAsia" w:ascii="仿宋_GB2312" w:eastAsia="仿宋_GB2312"/>
          <w:lang w:val="en-US" w:eastAsia="zh-CN"/>
        </w:rPr>
        <w:drawing>
          <wp:inline distT="0" distB="0" distL="114300" distR="114300">
            <wp:extent cx="2063115" cy="1440180"/>
            <wp:effectExtent l="0" t="0" r="13335" b="7620"/>
            <wp:docPr id="2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5"/>
                    <pic:cNvPicPr>
                      <a:picLocks noChangeAspect="1"/>
                    </pic:cNvPicPr>
                  </pic:nvPicPr>
                  <pic:blipFill>
                    <a:blip r:embed="rId56"/>
                    <a:stretch>
                      <a:fillRect/>
                    </a:stretch>
                  </pic:blipFill>
                  <pic:spPr>
                    <a:xfrm>
                      <a:off x="0" y="0"/>
                      <a:ext cx="2063115" cy="1440180"/>
                    </a:xfrm>
                    <a:prstGeom prst="rect">
                      <a:avLst/>
                    </a:prstGeom>
                    <a:noFill/>
                    <a:ln>
                      <a:noFill/>
                    </a:ln>
                  </pic:spPr>
                </pic:pic>
              </a:graphicData>
            </a:graphic>
          </wp:inline>
        </w:drawing>
      </w:r>
      <w:r>
        <w:rPr>
          <w:rFonts w:hint="eastAsia" w:ascii="仿宋_GB2312" w:eastAsia="仿宋_GB2312"/>
          <w:lang w:val="en-US" w:eastAsia="zh-CN"/>
        </w:rPr>
        <w:t xml:space="preserve">    </w:t>
      </w:r>
      <w:r>
        <w:rPr>
          <w:rFonts w:hint="eastAsia" w:ascii="仿宋_GB2312" w:eastAsia="仿宋_GB2312"/>
          <w:lang w:val="en-US" w:eastAsia="zh-CN"/>
        </w:rPr>
        <w:drawing>
          <wp:inline distT="0" distB="0" distL="114300" distR="114300">
            <wp:extent cx="2268220" cy="1440180"/>
            <wp:effectExtent l="0" t="0" r="17780" b="7620"/>
            <wp:docPr id="23" name="图片 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8" descr="IMG_256"/>
                    <pic:cNvPicPr>
                      <a:picLocks noChangeAspect="1"/>
                    </pic:cNvPicPr>
                  </pic:nvPicPr>
                  <pic:blipFill>
                    <a:blip r:embed="rId57"/>
                    <a:srcRect b="15333"/>
                    <a:stretch>
                      <a:fillRect/>
                    </a:stretch>
                  </pic:blipFill>
                  <pic:spPr>
                    <a:xfrm>
                      <a:off x="0" y="0"/>
                      <a:ext cx="2268220" cy="1440180"/>
                    </a:xfrm>
                    <a:prstGeom prst="rect">
                      <a:avLst/>
                    </a:prstGeom>
                    <a:noFill/>
                    <a:ln w="9525">
                      <a:noFill/>
                    </a:ln>
                  </pic:spPr>
                </pic:pic>
              </a:graphicData>
            </a:graphic>
          </wp:inline>
        </w:drawing>
      </w:r>
    </w:p>
    <w:p>
      <w:pPr>
        <w:ind w:left="0" w:leftChars="0" w:firstLine="0" w:firstLineChars="0"/>
        <w:jc w:val="center"/>
        <w:rPr>
          <w:rFonts w:hint="default" w:ascii="楷体" w:hAnsi="楷体" w:eastAsia="楷体" w:cs="楷体"/>
          <w:b w:val="0"/>
          <w:bCs w:val="0"/>
          <w:sz w:val="28"/>
          <w:szCs w:val="28"/>
          <w:lang w:val="en-US" w:eastAsia="zh-CN"/>
        </w:rPr>
      </w:pPr>
      <w:r>
        <w:rPr>
          <w:rFonts w:hint="eastAsia" w:ascii="楷体" w:hAnsi="楷体" w:eastAsia="楷体" w:cs="楷体"/>
          <w:b w:val="0"/>
          <w:bCs w:val="0"/>
          <w:sz w:val="28"/>
          <w:szCs w:val="28"/>
          <w:lang w:val="en-US" w:eastAsia="zh-CN"/>
        </w:rPr>
        <w:t>图23  两种大型网箱养殖工船外部示意图</w:t>
      </w:r>
    </w:p>
    <w:p>
      <w:pPr>
        <w:pStyle w:val="5"/>
        <w:bidi w:val="0"/>
        <w:rPr>
          <w:rFonts w:hint="default"/>
          <w:lang w:val="en-US" w:eastAsia="zh-CN"/>
        </w:rPr>
      </w:pPr>
      <w:bookmarkStart w:id="645" w:name="_Toc4544"/>
      <w:bookmarkStart w:id="646" w:name="_Toc21311"/>
      <w:r>
        <w:rPr>
          <w:rFonts w:hint="eastAsia"/>
          <w:lang w:val="en-US" w:eastAsia="zh-CN"/>
        </w:rPr>
        <w:t>2.投资方和匡算</w:t>
      </w:r>
      <w:bookmarkEnd w:id="645"/>
      <w:bookmarkEnd w:id="646"/>
    </w:p>
    <w:p>
      <w:pPr>
        <w:rPr>
          <w:rFonts w:hint="default"/>
          <w:lang w:val="en-US" w:eastAsia="zh-CN"/>
        </w:rPr>
      </w:pPr>
      <w:r>
        <w:rPr>
          <w:rFonts w:hint="eastAsia" w:ascii="仿宋_GB2312" w:eastAsia="仿宋_GB2312"/>
          <w:lang w:val="en-US" w:eastAsia="zh-CN"/>
        </w:rPr>
        <w:t>投资方为企业。根据养殖船队规模，投资从几亿到几十亿不等。</w:t>
      </w:r>
    </w:p>
    <w:p>
      <w:pPr>
        <w:pStyle w:val="5"/>
        <w:bidi w:val="0"/>
        <w:rPr>
          <w:rFonts w:hint="eastAsia"/>
          <w:lang w:val="en-US" w:eastAsia="zh-CN"/>
        </w:rPr>
      </w:pPr>
      <w:bookmarkStart w:id="647" w:name="_Toc19754"/>
      <w:bookmarkStart w:id="648" w:name="_Toc5230"/>
      <w:r>
        <w:rPr>
          <w:rFonts w:hint="eastAsia"/>
          <w:lang w:val="en-US" w:eastAsia="zh-CN"/>
        </w:rPr>
        <w:t>3.选址建议</w:t>
      </w:r>
      <w:bookmarkEnd w:id="647"/>
      <w:bookmarkEnd w:id="648"/>
    </w:p>
    <w:p>
      <w:pPr>
        <w:rPr>
          <w:rFonts w:hint="eastAsia"/>
          <w:lang w:val="en-US" w:eastAsia="zh-CN"/>
        </w:rPr>
      </w:pPr>
      <w:r>
        <w:rPr>
          <w:rFonts w:hint="eastAsia" w:ascii="仿宋_GB2312" w:eastAsia="仿宋_GB2312"/>
          <w:lang w:val="en-US" w:eastAsia="zh-CN"/>
        </w:rPr>
        <w:t>养殖基地位于崖州以南深远海区域，陆地基地位于崖州中心渔港。</w:t>
      </w:r>
    </w:p>
    <w:p>
      <w:pPr>
        <w:pStyle w:val="5"/>
        <w:bidi w:val="0"/>
        <w:rPr>
          <w:rFonts w:hint="eastAsia"/>
          <w:lang w:val="en-US" w:eastAsia="zh-CN"/>
        </w:rPr>
      </w:pPr>
      <w:bookmarkStart w:id="649" w:name="_Toc11443"/>
      <w:bookmarkStart w:id="650" w:name="_Toc10617"/>
      <w:r>
        <w:rPr>
          <w:rFonts w:hint="eastAsia"/>
          <w:lang w:val="en-US" w:eastAsia="zh-CN"/>
        </w:rPr>
        <w:t>4.招商建议</w:t>
      </w:r>
      <w:bookmarkEnd w:id="649"/>
      <w:bookmarkEnd w:id="650"/>
    </w:p>
    <w:p>
      <w:pPr>
        <w:rPr>
          <w:rFonts w:hint="eastAsia"/>
          <w:lang w:val="en-US" w:eastAsia="zh-CN"/>
        </w:rPr>
      </w:pPr>
      <w:r>
        <w:rPr>
          <w:rFonts w:hint="default"/>
          <w:lang w:val="en-US" w:eastAsia="zh-CN"/>
        </w:rPr>
        <w:t>中集来福士海洋</w:t>
      </w:r>
      <w:r>
        <w:rPr>
          <w:rFonts w:hint="eastAsia" w:ascii="仿宋_GB2312" w:eastAsia="仿宋_GB2312"/>
          <w:lang w:val="en-US" w:eastAsia="zh-CN"/>
        </w:rPr>
        <w:t>、</w:t>
      </w:r>
      <w:r>
        <w:rPr>
          <w:rFonts w:hint="default"/>
          <w:lang w:val="en-US" w:eastAsia="zh-CN"/>
        </w:rPr>
        <w:t>烟台经海海洋渔业</w:t>
      </w:r>
      <w:r>
        <w:rPr>
          <w:rFonts w:hint="eastAsia" w:ascii="仿宋_GB2312" w:eastAsia="仿宋_GB2312"/>
          <w:lang w:val="en-US" w:eastAsia="zh-CN"/>
        </w:rPr>
        <w:t>、青岛国信集团。</w:t>
      </w:r>
    </w:p>
    <w:p>
      <w:pPr>
        <w:pStyle w:val="4"/>
        <w:numPr>
          <w:ilvl w:val="0"/>
          <w:numId w:val="54"/>
        </w:numPr>
        <w:bidi w:val="0"/>
        <w:rPr>
          <w:rFonts w:hint="default"/>
          <w:lang w:val="en-US" w:eastAsia="zh-CN"/>
        </w:rPr>
      </w:pPr>
      <w:bookmarkStart w:id="651" w:name="_Toc6193"/>
      <w:bookmarkStart w:id="652" w:name="_Toc19757"/>
      <w:r>
        <w:rPr>
          <w:rFonts w:hint="eastAsia"/>
          <w:lang w:val="en-US" w:eastAsia="zh-CN"/>
        </w:rPr>
        <w:t>主题乐园旅游区项目</w:t>
      </w:r>
      <w:bookmarkEnd w:id="651"/>
      <w:bookmarkEnd w:id="652"/>
    </w:p>
    <w:p>
      <w:pPr>
        <w:pStyle w:val="5"/>
        <w:bidi w:val="0"/>
        <w:rPr>
          <w:rFonts w:hint="eastAsia"/>
          <w:lang w:val="en-US" w:eastAsia="zh-CN"/>
        </w:rPr>
      </w:pPr>
      <w:bookmarkStart w:id="653" w:name="_Toc14172"/>
      <w:bookmarkStart w:id="654" w:name="_Toc4434"/>
      <w:r>
        <w:rPr>
          <w:rFonts w:hint="eastAsia"/>
          <w:lang w:val="en-US" w:eastAsia="zh-CN"/>
        </w:rPr>
        <w:t>1.项目概况</w:t>
      </w:r>
      <w:bookmarkEnd w:id="653"/>
      <w:bookmarkEnd w:id="654"/>
    </w:p>
    <w:p>
      <w:pPr>
        <w:rPr>
          <w:rFonts w:hint="eastAsia"/>
          <w:lang w:val="en-US" w:eastAsia="zh-CN"/>
        </w:rPr>
      </w:pPr>
      <w:r>
        <w:rPr>
          <w:rFonts w:hint="eastAsia" w:ascii="仿宋_GB2312" w:eastAsia="仿宋_GB2312"/>
          <w:lang w:val="en-US" w:eastAsia="zh-CN"/>
        </w:rPr>
        <w:t>主题乐园旅游区项目由单体项目和乐园集聚区2部分组成，优化主题乐园供地模式，探索“大独立小进园”开发方式。</w:t>
      </w:r>
    </w:p>
    <w:p>
      <w:pPr>
        <w:rPr>
          <w:rFonts w:hint="default"/>
          <w:lang w:val="en-US" w:eastAsia="zh-CN"/>
        </w:rPr>
      </w:pPr>
      <w:r>
        <w:rPr>
          <w:rFonts w:hint="eastAsia" w:ascii="仿宋_GB2312" w:eastAsia="仿宋_GB2312"/>
          <w:lang w:val="en-US" w:eastAsia="zh-CN"/>
        </w:rPr>
        <w:t>（1）大型单体项目占地800亩，高标准引入1个全球知名大型主题乐园项目，对标上海迪士尼、大阪环球影城、奥兰多阿凡达世界等全球顶级主题乐园游乐区</w:t>
      </w:r>
      <w:r>
        <w:rPr>
          <w:rFonts w:hint="eastAsia"/>
          <w:lang w:val="en-US" w:eastAsia="zh-CN"/>
        </w:rPr>
        <w:t>。</w:t>
      </w:r>
    </w:p>
    <w:p>
      <w:pPr>
        <w:rPr>
          <w:rFonts w:hint="eastAsia" w:ascii="仿宋_GB2312" w:eastAsia="仿宋_GB2312"/>
          <w:lang w:val="en-US" w:eastAsia="zh-CN"/>
        </w:rPr>
      </w:pPr>
      <w:r>
        <w:rPr>
          <w:rFonts w:hint="eastAsia" w:ascii="仿宋_GB2312" w:eastAsia="仿宋_GB2312"/>
          <w:lang w:val="en-US" w:eastAsia="zh-CN"/>
        </w:rPr>
        <w:t>（2）</w:t>
      </w:r>
      <w:r>
        <w:rPr>
          <w:rFonts w:hint="default"/>
          <w:lang w:val="en-US" w:eastAsia="zh-CN"/>
        </w:rPr>
        <w:t>主题乐园集聚区占地500亩</w:t>
      </w:r>
      <w:r>
        <w:rPr>
          <w:rFonts w:hint="eastAsia" w:ascii="仿宋_GB2312" w:eastAsia="仿宋_GB2312"/>
          <w:lang w:val="en-US" w:eastAsia="zh-CN"/>
        </w:rPr>
        <w:t>，引入3-5个中小型、个性化乐园产品，共享交通、能源等基础设施和酒店、购物等服务配套，集约利用土地，形成集聚效应。</w:t>
      </w:r>
    </w:p>
    <w:p>
      <w:pPr>
        <w:rPr>
          <w:rFonts w:hint="default" w:ascii="仿宋_GB2312" w:eastAsia="仿宋_GB2312"/>
          <w:lang w:val="en-US" w:eastAsia="zh-CN"/>
        </w:rPr>
      </w:pPr>
      <w:r>
        <w:rPr>
          <w:rFonts w:hint="eastAsia"/>
          <w:lang w:val="en-US" w:eastAsia="zh-CN"/>
        </w:rPr>
        <w:t>（3）2019年三亚全市过夜游客人数为2396万人次，崖州为109万人次，主要集中在南山和大小洞天景区，很少过夜，占全市4.5%。近5年全市游客人数年均增长12.5%，结合自贸港建设重大利好，预计到2025年继续保持前期增速，过夜游客人数达到4860万人次。假设主题乐园吸引三亚10%客流进入崖州，每年客流量可达500万人次。主题乐园的门票、购物、餐饮、娱乐等人均消费较高，通常需要过夜，按照人均每次消费1000元计算，每年可带来50亿元旅游收入。</w:t>
      </w:r>
    </w:p>
    <w:p>
      <w:pPr>
        <w:pStyle w:val="5"/>
        <w:bidi w:val="0"/>
        <w:rPr>
          <w:rFonts w:hint="eastAsia"/>
          <w:lang w:val="en-US" w:eastAsia="zh-CN"/>
        </w:rPr>
      </w:pPr>
      <w:bookmarkStart w:id="655" w:name="_Toc28633"/>
      <w:bookmarkStart w:id="656" w:name="_Toc1813"/>
      <w:r>
        <w:rPr>
          <w:rFonts w:hint="eastAsia"/>
          <w:lang w:val="en-US" w:eastAsia="zh-CN"/>
        </w:rPr>
        <w:t>2.投资方和匡算</w:t>
      </w:r>
      <w:bookmarkEnd w:id="655"/>
      <w:bookmarkEnd w:id="656"/>
    </w:p>
    <w:p>
      <w:pPr>
        <w:rPr>
          <w:rFonts w:hint="default"/>
          <w:lang w:val="en-US" w:eastAsia="zh-CN"/>
        </w:rPr>
      </w:pPr>
      <w:r>
        <w:rPr>
          <w:rFonts w:hint="eastAsia" w:ascii="仿宋_GB2312" w:eastAsia="仿宋_GB2312"/>
          <w:lang w:val="en-US" w:eastAsia="zh-CN"/>
        </w:rPr>
        <w:t>项目总投资超过250亿元。</w:t>
      </w:r>
    </w:p>
    <w:p>
      <w:pPr>
        <w:rPr>
          <w:rFonts w:hint="eastAsia"/>
          <w:lang w:val="en-US" w:eastAsia="zh-CN"/>
        </w:rPr>
      </w:pPr>
      <w:r>
        <w:rPr>
          <w:rFonts w:hint="eastAsia" w:ascii="仿宋_GB2312" w:eastAsia="仿宋_GB2312"/>
          <w:lang w:val="en-US" w:eastAsia="zh-CN"/>
        </w:rPr>
        <w:t>（1）1300亩用地“三通一平”由城投公司承担，投资约3.25亿元（25万元/亩）。园区建筑、游乐设施、酒店购物设施等地上物由企业投资，总投资约100亿。</w:t>
      </w:r>
    </w:p>
    <w:p>
      <w:pPr>
        <w:rPr>
          <w:rFonts w:hint="eastAsia"/>
          <w:lang w:val="en-US" w:eastAsia="zh-CN"/>
        </w:rPr>
      </w:pPr>
      <w:r>
        <w:rPr>
          <w:rFonts w:hint="eastAsia" w:ascii="仿宋_GB2312" w:eastAsia="仿宋_GB2312"/>
          <w:lang w:val="en-US" w:eastAsia="zh-CN"/>
        </w:rPr>
        <w:t>（2）800亩单体项目打造全球最领先游乐园，设施设备和高科技投资强度大，运营集团投资在150亿以上。对标参考：三亚Hello Kitty投资110亿，海口特纳（华纳媒体）投资70亿、占地560亩，北京环球影城投资500亿美元、占地6000亩，上海迪士尼投资340亿、占地1740亩</w:t>
      </w:r>
      <w:r>
        <w:rPr>
          <w:rFonts w:hint="eastAsia"/>
          <w:lang w:val="en-US" w:eastAsia="zh-CN"/>
        </w:rPr>
        <w:t>。</w:t>
      </w:r>
    </w:p>
    <w:p>
      <w:pPr>
        <w:rPr>
          <w:rFonts w:hint="default"/>
          <w:lang w:val="en-US" w:eastAsia="zh-CN"/>
        </w:rPr>
      </w:pPr>
      <w:r>
        <w:rPr>
          <w:rFonts w:hint="eastAsia" w:ascii="仿宋_GB2312" w:eastAsia="仿宋_GB2312"/>
          <w:lang w:val="en-US" w:eastAsia="zh-CN"/>
        </w:rPr>
        <w:t>（3）500亩主题乐园集聚区，进驻企业总投资约100亿。</w:t>
      </w:r>
    </w:p>
    <w:p>
      <w:pPr>
        <w:pStyle w:val="5"/>
        <w:bidi w:val="0"/>
        <w:rPr>
          <w:rFonts w:hint="eastAsia"/>
          <w:lang w:val="en-US" w:eastAsia="zh-CN"/>
        </w:rPr>
      </w:pPr>
      <w:bookmarkStart w:id="657" w:name="_Toc16463"/>
      <w:bookmarkStart w:id="658" w:name="_Toc684"/>
      <w:r>
        <w:rPr>
          <w:rFonts w:hint="eastAsia"/>
          <w:lang w:val="en-US" w:eastAsia="zh-CN"/>
        </w:rPr>
        <w:t>3.选址建议</w:t>
      </w:r>
      <w:bookmarkEnd w:id="657"/>
      <w:bookmarkEnd w:id="658"/>
    </w:p>
    <w:p>
      <w:pPr>
        <w:rPr>
          <w:rFonts w:hint="eastAsia"/>
          <w:lang w:val="en-US" w:eastAsia="zh-CN"/>
        </w:rPr>
      </w:pPr>
      <w:r>
        <w:rPr>
          <w:rFonts w:hint="eastAsia" w:ascii="仿宋_GB2312" w:eastAsia="仿宋_GB2312"/>
          <w:lang w:val="en-US" w:eastAsia="zh-CN"/>
        </w:rPr>
        <w:t>建议选址镇海、盐灶附近225国道以北、海南西环铁路以南区域，总占地1300亩。其中，1个全球知名大型单体项目占地800亩，1个主题乐园集聚区占地500亩。</w:t>
      </w:r>
    </w:p>
    <w:p>
      <w:pPr>
        <w:ind w:left="0" w:leftChars="0" w:firstLine="0" w:firstLineChars="0"/>
        <w:jc w:val="center"/>
        <w:rPr>
          <w:rFonts w:hint="eastAsia" w:ascii="楷体" w:hAnsi="楷体" w:eastAsia="楷体" w:cs="楷体"/>
          <w:b w:val="0"/>
          <w:bCs w:val="0"/>
          <w:sz w:val="28"/>
          <w:szCs w:val="28"/>
          <w:lang w:val="en-US" w:eastAsia="zh-CN"/>
        </w:rPr>
      </w:pPr>
      <w:r>
        <w:rPr>
          <w:rFonts w:hint="eastAsia" w:ascii="楷体" w:hAnsi="楷体" w:eastAsia="楷体" w:cs="楷体"/>
          <w:b w:val="0"/>
          <w:bCs w:val="0"/>
          <w:sz w:val="28"/>
          <w:szCs w:val="28"/>
          <w:lang w:val="en-US" w:eastAsia="zh-CN"/>
        </w:rPr>
        <w:drawing>
          <wp:inline distT="0" distB="0" distL="114300" distR="114300">
            <wp:extent cx="5228590" cy="2950210"/>
            <wp:effectExtent l="0" t="0" r="10160" b="2540"/>
            <wp:docPr id="25" name="图片 25" descr="制图ppt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制图ppt_04"/>
                    <pic:cNvPicPr>
                      <a:picLocks noChangeAspect="1"/>
                    </pic:cNvPicPr>
                  </pic:nvPicPr>
                  <pic:blipFill>
                    <a:blip r:embed="rId58"/>
                    <a:srcRect t="4938" b="13994"/>
                    <a:stretch>
                      <a:fillRect/>
                    </a:stretch>
                  </pic:blipFill>
                  <pic:spPr>
                    <a:xfrm>
                      <a:off x="0" y="0"/>
                      <a:ext cx="5228590" cy="2950210"/>
                    </a:xfrm>
                    <a:prstGeom prst="rect">
                      <a:avLst/>
                    </a:prstGeom>
                  </pic:spPr>
                </pic:pic>
              </a:graphicData>
            </a:graphic>
          </wp:inline>
        </w:drawing>
      </w:r>
    </w:p>
    <w:p>
      <w:pPr>
        <w:ind w:left="0" w:leftChars="0" w:firstLine="0" w:firstLineChars="0"/>
        <w:jc w:val="center"/>
        <w:rPr>
          <w:rFonts w:hint="default"/>
          <w:highlight w:val="none"/>
          <w:lang w:val="en-US" w:eastAsia="zh-CN"/>
        </w:rPr>
      </w:pPr>
      <w:r>
        <w:rPr>
          <w:rFonts w:hint="eastAsia" w:ascii="楷体" w:hAnsi="楷体" w:eastAsia="楷体" w:cs="楷体"/>
          <w:b w:val="0"/>
          <w:bCs w:val="0"/>
          <w:sz w:val="28"/>
          <w:szCs w:val="28"/>
          <w:highlight w:val="none"/>
          <w:lang w:val="en-US" w:eastAsia="zh-CN"/>
        </w:rPr>
        <w:t>图24  主题乐园旅游区项目选址建议</w:t>
      </w:r>
    </w:p>
    <w:p>
      <w:pPr>
        <w:pStyle w:val="5"/>
        <w:bidi w:val="0"/>
        <w:rPr>
          <w:rFonts w:hint="default"/>
          <w:lang w:val="en-US" w:eastAsia="zh-CN"/>
        </w:rPr>
      </w:pPr>
      <w:bookmarkStart w:id="659" w:name="_Toc14416"/>
      <w:bookmarkStart w:id="660" w:name="_Toc1016"/>
      <w:r>
        <w:rPr>
          <w:rFonts w:hint="eastAsia"/>
          <w:lang w:val="en-US" w:eastAsia="zh-CN"/>
        </w:rPr>
        <w:t>4.招商建议</w:t>
      </w:r>
      <w:bookmarkEnd w:id="659"/>
      <w:bookmarkEnd w:id="660"/>
    </w:p>
    <w:p>
      <w:pPr>
        <w:rPr>
          <w:rFonts w:hint="eastAsia" w:ascii="仿宋_GB2312" w:eastAsia="仿宋_GB2312"/>
          <w:lang w:val="en-US" w:eastAsia="zh-CN"/>
        </w:rPr>
      </w:pPr>
      <w:r>
        <w:rPr>
          <w:rFonts w:hint="default"/>
          <w:lang w:val="en-US" w:eastAsia="zh-CN"/>
        </w:rPr>
        <w:t>乐高主题乐园（大型）</w:t>
      </w:r>
      <w:r>
        <w:rPr>
          <w:rFonts w:hint="eastAsia" w:ascii="仿宋_GB2312" w:eastAsia="仿宋_GB2312"/>
          <w:lang w:val="en-US" w:eastAsia="zh-CN"/>
        </w:rPr>
        <w:t>、</w:t>
      </w:r>
      <w:r>
        <w:rPr>
          <w:rFonts w:hint="default"/>
          <w:lang w:val="en-US" w:eastAsia="zh-CN"/>
        </w:rPr>
        <w:t>阿凡达世界主题乐园（大型）</w:t>
      </w:r>
      <w:r>
        <w:rPr>
          <w:rFonts w:hint="eastAsia"/>
          <w:lang w:val="en-US" w:eastAsia="zh-CN"/>
        </w:rPr>
        <w:t>、</w:t>
      </w:r>
      <w:r>
        <w:rPr>
          <w:rFonts w:hint="default"/>
          <w:lang w:val="en-US" w:eastAsia="zh-CN"/>
        </w:rPr>
        <w:t>法拉利世界主题乐园（大型）</w:t>
      </w:r>
      <w:r>
        <w:rPr>
          <w:rFonts w:hint="eastAsia" w:ascii="仿宋_GB2312" w:eastAsia="仿宋_GB2312"/>
          <w:lang w:val="en-US" w:eastAsia="zh-CN"/>
        </w:rPr>
        <w:t>、</w:t>
      </w:r>
      <w:r>
        <w:rPr>
          <w:rFonts w:hint="default"/>
          <w:lang w:val="en-US" w:eastAsia="zh-CN"/>
        </w:rPr>
        <w:t>万达主题公园（大型）</w:t>
      </w:r>
      <w:r>
        <w:rPr>
          <w:rFonts w:hint="eastAsia" w:ascii="仿宋_GB2312" w:eastAsia="仿宋_GB2312"/>
          <w:lang w:val="en-US" w:eastAsia="zh-CN"/>
        </w:rPr>
        <w:t>、</w:t>
      </w:r>
      <w:r>
        <w:rPr>
          <w:rFonts w:hint="default"/>
          <w:lang w:val="en-US" w:eastAsia="zh-CN"/>
        </w:rPr>
        <w:t>乐天世界主题乐园（室内大型）</w:t>
      </w:r>
      <w:r>
        <w:rPr>
          <w:rFonts w:hint="eastAsia" w:ascii="仿宋_GB2312" w:eastAsia="仿宋_GB2312"/>
          <w:lang w:val="en-US" w:eastAsia="zh-CN"/>
        </w:rPr>
        <w:t>、</w:t>
      </w:r>
      <w:r>
        <w:rPr>
          <w:rFonts w:hint="default"/>
          <w:lang w:val="en-US" w:eastAsia="zh-CN"/>
        </w:rPr>
        <w:t>杜莎夫人蜡像馆（室内中小型）</w:t>
      </w:r>
      <w:r>
        <w:rPr>
          <w:rFonts w:hint="eastAsia" w:ascii="仿宋_GB2312" w:eastAsia="仿宋_GB2312"/>
          <w:lang w:val="en-US" w:eastAsia="zh-CN"/>
        </w:rPr>
        <w:t>、</w:t>
      </w:r>
      <w:r>
        <w:rPr>
          <w:rFonts w:hint="default"/>
          <w:lang w:val="en-US" w:eastAsia="zh-CN"/>
        </w:rPr>
        <w:t>推理之城悬疑乐园（中小型）</w:t>
      </w:r>
      <w:r>
        <w:rPr>
          <w:rFonts w:hint="eastAsia" w:ascii="仿宋_GB2312" w:eastAsia="仿宋_GB2312"/>
          <w:lang w:val="en-US" w:eastAsia="zh-CN"/>
        </w:rPr>
        <w:t>、</w:t>
      </w:r>
      <w:r>
        <w:rPr>
          <w:rFonts w:hint="default"/>
          <w:lang w:val="en-US" w:eastAsia="zh-CN"/>
        </w:rPr>
        <w:t>密室小镇社交互动乐园（室内中小型）</w:t>
      </w:r>
      <w:r>
        <w:rPr>
          <w:rFonts w:hint="eastAsia" w:ascii="仿宋_GB2312" w:eastAsia="仿宋_GB2312"/>
          <w:lang w:val="en-US" w:eastAsia="zh-CN"/>
        </w:rPr>
        <w:t>、</w:t>
      </w:r>
      <w:r>
        <w:rPr>
          <w:rFonts w:hint="default"/>
          <w:lang w:val="en-US" w:eastAsia="zh-CN"/>
        </w:rPr>
        <w:t>愤怒小鸟游戏乐园（中小型）</w:t>
      </w:r>
      <w:r>
        <w:rPr>
          <w:rFonts w:hint="eastAsia" w:ascii="仿宋_GB2312" w:eastAsia="仿宋_GB2312"/>
          <w:lang w:val="en-US" w:eastAsia="zh-CN"/>
        </w:rPr>
        <w:t>、</w:t>
      </w:r>
      <w:r>
        <w:rPr>
          <w:rFonts w:hint="default"/>
          <w:lang w:val="en-US" w:eastAsia="zh-CN"/>
        </w:rPr>
        <w:t>南繁植物迷宫探索乐园（中小型）</w:t>
      </w:r>
      <w:r>
        <w:rPr>
          <w:rFonts w:hint="eastAsia" w:ascii="仿宋_GB2312" w:eastAsia="仿宋_GB2312"/>
          <w:lang w:val="en-US" w:eastAsia="zh-CN"/>
        </w:rPr>
        <w:t>。</w:t>
      </w:r>
    </w:p>
    <w:p>
      <w:pPr>
        <w:pStyle w:val="4"/>
        <w:numPr>
          <w:ilvl w:val="0"/>
          <w:numId w:val="54"/>
        </w:numPr>
        <w:bidi w:val="0"/>
        <w:rPr>
          <w:rFonts w:hint="default"/>
          <w:lang w:val="en-US" w:eastAsia="zh-CN"/>
        </w:rPr>
      </w:pPr>
      <w:bookmarkStart w:id="661" w:name="_Toc8968"/>
      <w:bookmarkStart w:id="662" w:name="_Toc28237"/>
      <w:r>
        <w:rPr>
          <w:rFonts w:hint="eastAsia"/>
          <w:lang w:val="en-US" w:eastAsia="zh-CN"/>
        </w:rPr>
        <w:t>“一村一品”</w:t>
      </w:r>
      <w:bookmarkEnd w:id="661"/>
      <w:r>
        <w:rPr>
          <w:rFonts w:hint="eastAsia"/>
          <w:lang w:val="en-US" w:eastAsia="zh-CN"/>
        </w:rPr>
        <w:t>特色小镇系列策划项目</w:t>
      </w:r>
      <w:bookmarkEnd w:id="662"/>
    </w:p>
    <w:p>
      <w:pPr>
        <w:rPr>
          <w:rFonts w:hint="eastAsia" w:ascii="仿宋_GB2312" w:eastAsia="仿宋_GB2312"/>
          <w:lang w:val="en-US" w:eastAsia="zh-CN"/>
        </w:rPr>
      </w:pPr>
      <w:r>
        <w:rPr>
          <w:rFonts w:hint="default"/>
          <w:lang w:val="en-US" w:eastAsia="zh-CN"/>
        </w:rPr>
        <w:t>发挥</w:t>
      </w:r>
      <w:r>
        <w:rPr>
          <w:rFonts w:hint="eastAsia"/>
          <w:lang w:val="en-US" w:eastAsia="zh-CN"/>
        </w:rPr>
        <w:t>全区</w:t>
      </w:r>
      <w:r>
        <w:rPr>
          <w:rFonts w:hint="eastAsia" w:ascii="仿宋_GB2312" w:eastAsia="仿宋_GB2312"/>
          <w:lang w:val="en-US" w:eastAsia="zh-CN"/>
        </w:rPr>
        <w:t>各村特色</w:t>
      </w:r>
      <w:r>
        <w:rPr>
          <w:rFonts w:hint="default"/>
          <w:lang w:val="en-US" w:eastAsia="zh-CN"/>
        </w:rPr>
        <w:t>资源优势，通过规模化、标准化、</w:t>
      </w:r>
      <w:r>
        <w:rPr>
          <w:rFonts w:hint="default"/>
          <w:lang w:val="en-US" w:eastAsia="zh-CN"/>
        </w:rPr>
        <w:fldChar w:fldCharType="begin"/>
      </w:r>
      <w:r>
        <w:rPr>
          <w:rFonts w:hint="default"/>
          <w:lang w:val="en-US" w:eastAsia="zh-CN"/>
        </w:rPr>
        <w:instrText xml:space="preserve"> HYPERLINK "https://baike.baidu.com/item/%E5%93%81%E7%89%8C%E5%8C%96/10992508" \t "https://baike.baidu.com/item/%E4%B8%80%E6%9D%91%E4%B8%80%E5%93%81/_blank" </w:instrText>
      </w:r>
      <w:r>
        <w:rPr>
          <w:rFonts w:hint="default"/>
          <w:lang w:val="en-US" w:eastAsia="zh-CN"/>
        </w:rPr>
        <w:fldChar w:fldCharType="separate"/>
      </w:r>
      <w:r>
        <w:rPr>
          <w:rFonts w:hint="default"/>
          <w:lang w:val="en-US" w:eastAsia="zh-CN"/>
        </w:rPr>
        <w:t>品牌化</w:t>
      </w:r>
      <w:r>
        <w:rPr>
          <w:rFonts w:hint="default"/>
          <w:lang w:val="en-US" w:eastAsia="zh-CN"/>
        </w:rPr>
        <w:fldChar w:fldCharType="end"/>
      </w:r>
      <w:r>
        <w:rPr>
          <w:rFonts w:hint="default"/>
          <w:lang w:val="en-US" w:eastAsia="zh-CN"/>
        </w:rPr>
        <w:t>和市场化建设，</w:t>
      </w:r>
      <w:r>
        <w:rPr>
          <w:rFonts w:hint="eastAsia" w:ascii="仿宋_GB2312" w:eastAsia="仿宋_GB2312"/>
          <w:lang w:val="en-US" w:eastAsia="zh-CN"/>
        </w:rPr>
        <w:t>努力推进全区各个社区和行政村形成特色鲜明的产业发展方向</w:t>
      </w:r>
      <w:r>
        <w:rPr>
          <w:rFonts w:hint="eastAsia"/>
          <w:lang w:val="en-US" w:eastAsia="zh-CN"/>
        </w:rPr>
        <w:t>，打造一批特色小镇</w:t>
      </w:r>
      <w:r>
        <w:rPr>
          <w:rFonts w:hint="eastAsia" w:ascii="仿宋_GB2312" w:eastAsia="仿宋_GB2312"/>
          <w:lang w:val="en-US" w:eastAsia="zh-CN"/>
        </w:rPr>
        <w:t>。</w:t>
      </w:r>
    </w:p>
    <w:p>
      <w:pPr>
        <w:rPr>
          <w:rFonts w:hint="eastAsia" w:ascii="仿宋_GB2312" w:eastAsia="仿宋_GB2312"/>
          <w:lang w:val="en-US" w:eastAsia="zh-CN"/>
        </w:rPr>
      </w:pPr>
    </w:p>
    <w:p>
      <w:pPr>
        <w:rPr>
          <w:rFonts w:hint="default" w:ascii="仿宋_GB2312" w:eastAsia="仿宋_GB2312"/>
          <w:lang w:val="en-US" w:eastAsia="zh-CN"/>
        </w:rPr>
      </w:pPr>
    </w:p>
    <w:p>
      <w:pPr>
        <w:bidi w:val="0"/>
        <w:spacing w:line="240" w:lineRule="auto"/>
        <w:ind w:firstLine="0" w:firstLineChars="0"/>
        <w:jc w:val="center"/>
        <w:rPr>
          <w:rFonts w:hint="eastAsia" w:ascii="楷体" w:hAnsi="楷体" w:eastAsia="楷体" w:cs="楷体"/>
          <w:b w:val="0"/>
          <w:bCs w:val="0"/>
          <w:sz w:val="28"/>
          <w:szCs w:val="28"/>
          <w:lang w:val="en-US" w:eastAsia="zh-CN"/>
        </w:rPr>
      </w:pPr>
      <w:r>
        <w:rPr>
          <w:rFonts w:hint="eastAsia" w:ascii="楷体" w:hAnsi="楷体" w:eastAsia="楷体" w:cs="楷体"/>
          <w:b w:val="0"/>
          <w:bCs w:val="0"/>
          <w:sz w:val="28"/>
          <w:szCs w:val="28"/>
          <w:lang w:val="en-US" w:eastAsia="zh-CN"/>
        </w:rPr>
        <w:t>表36  崖州区“一村一品”特色小镇产业谋划方向</w:t>
      </w:r>
    </w:p>
    <w:tbl>
      <w:tblPr>
        <w:tblStyle w:val="18"/>
        <w:tblW w:w="5000" w:type="pct"/>
        <w:jc w:val="center"/>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43"/>
        <w:gridCol w:w="1737"/>
        <w:gridCol w:w="4088"/>
        <w:gridCol w:w="1354"/>
      </w:tblGrid>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blHeader/>
          <w:jc w:val="center"/>
        </w:trPr>
        <w:tc>
          <w:tcPr>
            <w:tcW w:w="1343"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bCs/>
                <w:i w:val="0"/>
                <w:color w:val="000000"/>
                <w:kern w:val="2"/>
                <w:sz w:val="24"/>
                <w:szCs w:val="24"/>
                <w:u w:val="none"/>
                <w:lang w:val="en-US" w:eastAsia="zh-CN" w:bidi="ar"/>
              </w:rPr>
            </w:pPr>
            <w:r>
              <w:rPr>
                <w:rFonts w:hint="eastAsia" w:ascii="楷体" w:hAnsi="楷体" w:eastAsia="楷体" w:cs="楷体"/>
                <w:b/>
                <w:bCs/>
                <w:i w:val="0"/>
                <w:color w:val="000000"/>
                <w:kern w:val="2"/>
                <w:sz w:val="24"/>
                <w:szCs w:val="24"/>
                <w:u w:val="none"/>
                <w:lang w:val="en-US" w:eastAsia="zh-CN" w:bidi="ar"/>
              </w:rPr>
              <w:t>村社区</w:t>
            </w:r>
          </w:p>
        </w:tc>
        <w:tc>
          <w:tcPr>
            <w:tcW w:w="173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bCs/>
                <w:i w:val="0"/>
                <w:color w:val="000000"/>
                <w:kern w:val="2"/>
                <w:sz w:val="24"/>
                <w:szCs w:val="24"/>
                <w:u w:val="none"/>
                <w:lang w:val="en-US" w:eastAsia="zh-CN" w:bidi="ar"/>
              </w:rPr>
            </w:pPr>
            <w:r>
              <w:rPr>
                <w:rFonts w:hint="eastAsia" w:ascii="楷体" w:hAnsi="楷体" w:eastAsia="楷体" w:cs="楷体"/>
                <w:b/>
                <w:bCs/>
                <w:i w:val="0"/>
                <w:color w:val="000000"/>
                <w:kern w:val="2"/>
                <w:sz w:val="24"/>
                <w:szCs w:val="24"/>
                <w:u w:val="none"/>
                <w:lang w:val="en-US" w:eastAsia="zh-CN" w:bidi="ar"/>
              </w:rPr>
              <w:t>农业基础优势</w:t>
            </w:r>
          </w:p>
        </w:tc>
        <w:tc>
          <w:tcPr>
            <w:tcW w:w="4088"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bCs/>
                <w:i w:val="0"/>
                <w:color w:val="000000"/>
                <w:kern w:val="2"/>
                <w:sz w:val="24"/>
                <w:szCs w:val="24"/>
                <w:u w:val="none"/>
                <w:lang w:val="en-US" w:eastAsia="zh-CN" w:bidi="ar"/>
              </w:rPr>
            </w:pPr>
            <w:r>
              <w:rPr>
                <w:rFonts w:hint="eastAsia" w:ascii="楷体" w:hAnsi="楷体" w:eastAsia="楷体" w:cs="楷体"/>
                <w:b/>
                <w:bCs/>
                <w:i w:val="0"/>
                <w:color w:val="000000"/>
                <w:kern w:val="2"/>
                <w:sz w:val="24"/>
                <w:szCs w:val="24"/>
                <w:u w:val="none"/>
                <w:lang w:val="en-US" w:eastAsia="zh-CN" w:bidi="ar"/>
              </w:rPr>
              <w:t>特色产业谋划方向</w:t>
            </w:r>
          </w:p>
        </w:tc>
        <w:tc>
          <w:tcPr>
            <w:tcW w:w="135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bCs/>
                <w:i w:val="0"/>
                <w:color w:val="000000"/>
                <w:kern w:val="2"/>
                <w:sz w:val="24"/>
                <w:szCs w:val="24"/>
                <w:u w:val="none"/>
                <w:lang w:val="en-US" w:eastAsia="zh-CN" w:bidi="ar"/>
              </w:rPr>
            </w:pPr>
            <w:r>
              <w:rPr>
                <w:rFonts w:hint="eastAsia" w:ascii="楷体" w:hAnsi="楷体" w:eastAsia="楷体" w:cs="楷体"/>
                <w:b/>
                <w:bCs/>
                <w:i w:val="0"/>
                <w:color w:val="000000"/>
                <w:kern w:val="2"/>
                <w:sz w:val="24"/>
                <w:szCs w:val="24"/>
                <w:u w:val="none"/>
                <w:lang w:val="en-US" w:eastAsia="zh-CN" w:bidi="ar"/>
              </w:rPr>
              <w:t>特色符号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343"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auto"/>
              <w:rPr>
                <w:rFonts w:hint="default"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崖城村</w:t>
            </w:r>
          </w:p>
        </w:tc>
        <w:tc>
          <w:tcPr>
            <w:tcW w:w="173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auto"/>
              <w:rPr>
                <w:rFonts w:hint="default"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冬季瓜菜</w:t>
            </w:r>
          </w:p>
        </w:tc>
        <w:tc>
          <w:tcPr>
            <w:tcW w:w="4088"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auto"/>
              <w:rPr>
                <w:rFonts w:hint="default"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城镇区域与崖州主城区融合发展，发展古城历史文化旅游，乡村区域发展秸秆回收利用循环经济，插花布置秸秆文化创意作品，发展近郊乡村休闲游。</w:t>
            </w:r>
          </w:p>
        </w:tc>
        <w:tc>
          <w:tcPr>
            <w:tcW w:w="135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auto"/>
              <w:rPr>
                <w:rFonts w:hint="default"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文化古村、古城民宿、近郊休闲农庄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343"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auto"/>
              <w:rPr>
                <w:rFonts w:hint="default"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城西村</w:t>
            </w:r>
          </w:p>
        </w:tc>
        <w:tc>
          <w:tcPr>
            <w:tcW w:w="173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auto"/>
              <w:rPr>
                <w:rFonts w:hint="default"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芒果、香蕉、槟榔、冬季瓜菜、黑山羊</w:t>
            </w:r>
          </w:p>
        </w:tc>
        <w:tc>
          <w:tcPr>
            <w:tcW w:w="4088"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auto"/>
              <w:rPr>
                <w:rFonts w:hint="default"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城镇区域与崖州主城区融合发展，发展古城周边历史文化旅游，乡村区域发展热带果园观光采摘等特色农业旅游，打造近郊休闲农庄。</w:t>
            </w:r>
          </w:p>
        </w:tc>
        <w:tc>
          <w:tcPr>
            <w:tcW w:w="135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auto"/>
              <w:rPr>
                <w:rFonts w:hint="eastAsia"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近郊休闲农庄、果园观光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43"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auto"/>
              <w:rPr>
                <w:rFonts w:hint="default"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拱北村</w:t>
            </w:r>
          </w:p>
        </w:tc>
        <w:tc>
          <w:tcPr>
            <w:tcW w:w="173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auto"/>
              <w:rPr>
                <w:rFonts w:hint="default"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芒果、香蕉、槟榔、冬季瓜菜</w:t>
            </w:r>
          </w:p>
        </w:tc>
        <w:tc>
          <w:tcPr>
            <w:tcW w:w="4088"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auto"/>
              <w:rPr>
                <w:rFonts w:hint="default"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城镇区域与崖州主城区融合发展，提升完善林缵统纪念馆文化功能，发展古城周边历史文化旅游，乡村区域发展常年菜篮子基地。</w:t>
            </w:r>
          </w:p>
        </w:tc>
        <w:tc>
          <w:tcPr>
            <w:tcW w:w="135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auto"/>
              <w:rPr>
                <w:rFonts w:hint="default"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文化古村、菜篮子基地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343"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auto"/>
              <w:rPr>
                <w:rFonts w:hint="default"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城东村</w:t>
            </w:r>
          </w:p>
        </w:tc>
        <w:tc>
          <w:tcPr>
            <w:tcW w:w="173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auto"/>
              <w:rPr>
                <w:rFonts w:hint="default"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芒果、冬季瓜菜</w:t>
            </w:r>
          </w:p>
        </w:tc>
        <w:tc>
          <w:tcPr>
            <w:tcW w:w="4088"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auto"/>
              <w:rPr>
                <w:rFonts w:hint="default"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城镇区域融入古城文旅产业生态圈，发展沿河沿街古城文化特色民宿，打造民宿一条街、特色饮食一条街。</w:t>
            </w:r>
          </w:p>
        </w:tc>
        <w:tc>
          <w:tcPr>
            <w:tcW w:w="135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auto"/>
              <w:rPr>
                <w:rFonts w:hint="default"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古城民宿、特色商业街坊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343"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auto"/>
              <w:rPr>
                <w:rFonts w:hint="eastAsia" w:ascii="楷体" w:hAnsi="楷体" w:eastAsia="楷体" w:cs="楷体"/>
                <w:b w:val="0"/>
                <w:bCs w:val="0"/>
                <w:i w:val="0"/>
                <w:color w:val="000000"/>
                <w:kern w:val="2"/>
                <w:sz w:val="24"/>
                <w:szCs w:val="24"/>
                <w:u w:val="none"/>
                <w:lang w:val="en-US" w:eastAsia="zh-CN" w:bidi="ar"/>
              </w:rPr>
            </w:pPr>
            <w:r>
              <w:rPr>
                <w:rFonts w:hint="default" w:ascii="楷体" w:hAnsi="楷体" w:eastAsia="楷体" w:cs="楷体"/>
                <w:b w:val="0"/>
                <w:bCs w:val="0"/>
                <w:i w:val="0"/>
                <w:color w:val="000000"/>
                <w:kern w:val="2"/>
                <w:sz w:val="24"/>
                <w:szCs w:val="24"/>
                <w:u w:val="none"/>
                <w:lang w:val="en-US" w:eastAsia="zh-CN" w:bidi="ar"/>
              </w:rPr>
              <w:t>水南村</w:t>
            </w:r>
          </w:p>
        </w:tc>
        <w:tc>
          <w:tcPr>
            <w:tcW w:w="173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auto"/>
              <w:rPr>
                <w:rFonts w:hint="eastAsia"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冬季瓜菜</w:t>
            </w:r>
          </w:p>
        </w:tc>
        <w:tc>
          <w:tcPr>
            <w:tcW w:w="4088"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auto"/>
              <w:rPr>
                <w:rFonts w:hint="eastAsia"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擦亮</w:t>
            </w:r>
            <w:r>
              <w:rPr>
                <w:rFonts w:hint="default" w:ascii="楷体" w:hAnsi="楷体" w:eastAsia="楷体" w:cs="楷体"/>
                <w:b w:val="0"/>
                <w:bCs w:val="0"/>
                <w:i w:val="0"/>
                <w:color w:val="000000"/>
                <w:kern w:val="2"/>
                <w:sz w:val="24"/>
                <w:szCs w:val="24"/>
                <w:u w:val="none"/>
                <w:lang w:val="en-US" w:eastAsia="zh-CN" w:bidi="ar"/>
              </w:rPr>
              <w:t>“海南第一文化古村”</w:t>
            </w:r>
            <w:r>
              <w:rPr>
                <w:rFonts w:hint="eastAsia" w:ascii="楷体" w:hAnsi="楷体" w:eastAsia="楷体" w:cs="楷体"/>
                <w:b w:val="0"/>
                <w:bCs w:val="0"/>
                <w:i w:val="0"/>
                <w:color w:val="000000"/>
                <w:kern w:val="2"/>
                <w:sz w:val="24"/>
                <w:szCs w:val="24"/>
                <w:u w:val="none"/>
                <w:lang w:val="en-US" w:eastAsia="zh-CN" w:bidi="ar"/>
              </w:rPr>
              <w:t>品牌，在古城文旅产业生态圈中发挥更重要作用，突出体现传统建筑风貌，发展文旅观光、高山窑址场景再现和陶艺体验、南海民俗体验、特色民宿，推进热带农业青少年科普基地（水南村田园综合体）项目。</w:t>
            </w:r>
          </w:p>
        </w:tc>
        <w:tc>
          <w:tcPr>
            <w:tcW w:w="135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auto"/>
              <w:rPr>
                <w:rFonts w:hint="default"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文化古村、河景民宿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343"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auto"/>
              <w:rPr>
                <w:rFonts w:hint="default"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南滨居</w:t>
            </w:r>
          </w:p>
        </w:tc>
        <w:tc>
          <w:tcPr>
            <w:tcW w:w="173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auto"/>
              <w:rPr>
                <w:rFonts w:hint="default"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南繁、芒果、橡胶、冬季瓜菜</w:t>
            </w:r>
          </w:p>
        </w:tc>
        <w:tc>
          <w:tcPr>
            <w:tcW w:w="4088"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auto"/>
              <w:rPr>
                <w:rFonts w:hint="default" w:ascii="楷体" w:hAnsi="楷体" w:eastAsia="楷体" w:cs="楷体"/>
                <w:b w:val="0"/>
                <w:bCs w:val="0"/>
                <w:i w:val="0"/>
                <w:color w:val="000000"/>
                <w:kern w:val="2"/>
                <w:sz w:val="24"/>
                <w:szCs w:val="24"/>
                <w:u w:val="none"/>
                <w:lang w:val="en-US" w:eastAsia="zh-CN" w:bidi="ar"/>
              </w:rPr>
            </w:pPr>
            <w:r>
              <w:rPr>
                <w:rFonts w:hint="default" w:ascii="楷体" w:hAnsi="楷体" w:eastAsia="楷体" w:cs="楷体"/>
                <w:b w:val="0"/>
                <w:bCs w:val="0"/>
                <w:i w:val="0"/>
                <w:color w:val="000000"/>
                <w:kern w:val="2"/>
                <w:sz w:val="24"/>
                <w:szCs w:val="24"/>
                <w:u w:val="none"/>
                <w:lang w:val="en-US" w:eastAsia="zh-CN" w:bidi="ar"/>
              </w:rPr>
              <w:t>依托水稻南繁育种大田景观打造南滨田园综合体</w:t>
            </w:r>
            <w:r>
              <w:rPr>
                <w:rFonts w:hint="eastAsia" w:ascii="楷体" w:hAnsi="楷体" w:eastAsia="楷体" w:cs="楷体"/>
                <w:b w:val="0"/>
                <w:bCs w:val="0"/>
                <w:i w:val="0"/>
                <w:color w:val="000000"/>
                <w:kern w:val="2"/>
                <w:sz w:val="24"/>
                <w:szCs w:val="24"/>
                <w:u w:val="none"/>
                <w:lang w:val="en-US" w:eastAsia="zh-CN" w:bidi="ar"/>
              </w:rPr>
              <w:t>、</w:t>
            </w:r>
            <w:r>
              <w:rPr>
                <w:rFonts w:hint="default" w:ascii="楷体" w:hAnsi="楷体" w:eastAsia="楷体" w:cs="楷体"/>
                <w:b w:val="0"/>
                <w:bCs w:val="0"/>
                <w:i w:val="0"/>
                <w:color w:val="000000"/>
                <w:kern w:val="2"/>
                <w:sz w:val="24"/>
                <w:szCs w:val="24"/>
                <w:u w:val="none"/>
                <w:lang w:val="en-US" w:eastAsia="zh-CN" w:bidi="ar"/>
              </w:rPr>
              <w:t>南繁主题植物公园</w:t>
            </w:r>
            <w:r>
              <w:rPr>
                <w:rFonts w:hint="eastAsia" w:ascii="楷体" w:hAnsi="楷体" w:eastAsia="楷体" w:cs="楷体"/>
                <w:b w:val="0"/>
                <w:bCs w:val="0"/>
                <w:i w:val="0"/>
                <w:color w:val="000000"/>
                <w:kern w:val="2"/>
                <w:sz w:val="24"/>
                <w:szCs w:val="24"/>
                <w:u w:val="none"/>
                <w:lang w:val="en-US" w:eastAsia="zh-CN" w:bidi="ar"/>
              </w:rPr>
              <w:t>，</w:t>
            </w:r>
            <w:r>
              <w:rPr>
                <w:rFonts w:hint="default" w:ascii="楷体" w:hAnsi="楷体" w:eastAsia="楷体" w:cs="楷体"/>
                <w:b w:val="0"/>
                <w:bCs w:val="0"/>
                <w:i w:val="0"/>
                <w:color w:val="000000"/>
                <w:kern w:val="2"/>
                <w:sz w:val="24"/>
                <w:szCs w:val="24"/>
                <w:u w:val="none"/>
                <w:lang w:val="en-US" w:eastAsia="zh-CN" w:bidi="ar"/>
              </w:rPr>
              <w:t>打造“南繁+旅游”精品旅游体验项目</w:t>
            </w:r>
            <w:r>
              <w:rPr>
                <w:rFonts w:hint="eastAsia" w:ascii="楷体" w:hAnsi="楷体" w:eastAsia="楷体" w:cs="楷体"/>
                <w:b w:val="0"/>
                <w:bCs w:val="0"/>
                <w:i w:val="0"/>
                <w:color w:val="000000"/>
                <w:kern w:val="2"/>
                <w:sz w:val="24"/>
                <w:szCs w:val="24"/>
                <w:u w:val="none"/>
                <w:lang w:val="en-US" w:eastAsia="zh-CN" w:bidi="ar"/>
              </w:rPr>
              <w:t>，发展</w:t>
            </w:r>
            <w:r>
              <w:rPr>
                <w:rFonts w:hint="default" w:ascii="楷体" w:hAnsi="楷体" w:eastAsia="楷体" w:cs="楷体"/>
                <w:b w:val="0"/>
                <w:bCs w:val="0"/>
                <w:i w:val="0"/>
                <w:color w:val="000000"/>
                <w:kern w:val="2"/>
                <w:sz w:val="24"/>
                <w:szCs w:val="24"/>
                <w:u w:val="none"/>
                <w:lang w:val="en-US" w:eastAsia="zh-CN" w:bidi="ar"/>
              </w:rPr>
              <w:t>科技亲子研学、种植文化展示、经济作物采摘、生态艺术酒店、琼南特色民宿，推动南繁种业与科普教育、休闲养生有机结合，建设田园度假休闲康养基地，打造南繁小镇</w:t>
            </w:r>
            <w:r>
              <w:rPr>
                <w:rFonts w:hint="eastAsia" w:ascii="楷体" w:hAnsi="楷体" w:eastAsia="楷体" w:cs="楷体"/>
                <w:b w:val="0"/>
                <w:bCs w:val="0"/>
                <w:i w:val="0"/>
                <w:color w:val="000000"/>
                <w:kern w:val="2"/>
                <w:sz w:val="24"/>
                <w:szCs w:val="24"/>
                <w:u w:val="none"/>
                <w:lang w:val="en-US" w:eastAsia="zh-CN" w:bidi="ar"/>
              </w:rPr>
              <w:t>。</w:t>
            </w:r>
          </w:p>
        </w:tc>
        <w:tc>
          <w:tcPr>
            <w:tcW w:w="135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auto"/>
              <w:rPr>
                <w:rFonts w:hint="default"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南繁小镇、研学基地、田园度假胜地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343"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auto"/>
              <w:rPr>
                <w:rFonts w:hint="default"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抱古村</w:t>
            </w:r>
          </w:p>
        </w:tc>
        <w:tc>
          <w:tcPr>
            <w:tcW w:w="173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auto"/>
              <w:rPr>
                <w:rFonts w:hint="default"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睡莲、芒果、槟榔、水稻、冬季瓜菜、水产养殖</w:t>
            </w:r>
          </w:p>
        </w:tc>
        <w:tc>
          <w:tcPr>
            <w:tcW w:w="4088"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auto"/>
              <w:rPr>
                <w:rFonts w:hint="default" w:ascii="楷体" w:hAnsi="楷体" w:eastAsia="楷体" w:cs="楷体"/>
                <w:b w:val="0"/>
                <w:bCs w:val="0"/>
                <w:i w:val="0"/>
                <w:color w:val="000000"/>
                <w:kern w:val="2"/>
                <w:sz w:val="24"/>
                <w:szCs w:val="24"/>
                <w:u w:val="none"/>
                <w:lang w:val="en-US" w:eastAsia="zh-CN" w:bidi="ar"/>
              </w:rPr>
            </w:pPr>
            <w:r>
              <w:rPr>
                <w:rFonts w:hint="default" w:ascii="楷体" w:hAnsi="楷体" w:eastAsia="楷体" w:cs="楷体"/>
                <w:b w:val="0"/>
                <w:bCs w:val="0"/>
                <w:i w:val="0"/>
                <w:color w:val="000000"/>
                <w:kern w:val="2"/>
                <w:sz w:val="24"/>
                <w:szCs w:val="24"/>
                <w:u w:val="none"/>
                <w:lang w:val="en-US" w:eastAsia="zh-CN" w:bidi="ar"/>
              </w:rPr>
              <w:t>建设睡莲</w:t>
            </w:r>
            <w:r>
              <w:rPr>
                <w:rFonts w:hint="eastAsia" w:ascii="楷体" w:hAnsi="楷体" w:eastAsia="楷体" w:cs="楷体"/>
                <w:b w:val="0"/>
                <w:bCs w:val="0"/>
                <w:i w:val="0"/>
                <w:color w:val="000000"/>
                <w:kern w:val="2"/>
                <w:sz w:val="24"/>
                <w:szCs w:val="24"/>
                <w:u w:val="none"/>
                <w:lang w:val="en-US" w:eastAsia="zh-CN" w:bidi="ar"/>
              </w:rPr>
              <w:t>特色</w:t>
            </w:r>
            <w:r>
              <w:rPr>
                <w:rFonts w:hint="default" w:ascii="楷体" w:hAnsi="楷体" w:eastAsia="楷体" w:cs="楷体"/>
                <w:b w:val="0"/>
                <w:bCs w:val="0"/>
                <w:i w:val="0"/>
                <w:color w:val="000000"/>
                <w:kern w:val="2"/>
                <w:sz w:val="24"/>
                <w:szCs w:val="24"/>
                <w:u w:val="none"/>
                <w:lang w:val="en-US" w:eastAsia="zh-CN" w:bidi="ar"/>
              </w:rPr>
              <w:t>美丽乡村</w:t>
            </w:r>
            <w:r>
              <w:rPr>
                <w:rFonts w:hint="eastAsia" w:ascii="楷体" w:hAnsi="楷体" w:eastAsia="楷体" w:cs="楷体"/>
                <w:b w:val="0"/>
                <w:bCs w:val="0"/>
                <w:i w:val="0"/>
                <w:color w:val="000000"/>
                <w:kern w:val="2"/>
                <w:sz w:val="24"/>
                <w:szCs w:val="24"/>
                <w:u w:val="none"/>
                <w:lang w:val="en-US" w:eastAsia="zh-CN" w:bidi="ar"/>
              </w:rPr>
              <w:t>，建设莲花公园、睡莲观景塘、风景长廊、共享农庄，打造</w:t>
            </w:r>
            <w:r>
              <w:rPr>
                <w:rFonts w:hint="default" w:ascii="楷体" w:hAnsi="楷体" w:eastAsia="楷体" w:cs="楷体"/>
                <w:b w:val="0"/>
                <w:bCs w:val="0"/>
                <w:i w:val="0"/>
                <w:color w:val="000000"/>
                <w:kern w:val="2"/>
                <w:sz w:val="24"/>
                <w:szCs w:val="24"/>
                <w:u w:val="none"/>
                <w:lang w:val="en-US" w:eastAsia="zh-CN" w:bidi="ar"/>
              </w:rPr>
              <w:t>月光水色莲花“镜湖秋月”风貌</w:t>
            </w:r>
            <w:r>
              <w:rPr>
                <w:rFonts w:hint="eastAsia" w:ascii="楷体" w:hAnsi="楷体" w:eastAsia="楷体" w:cs="楷体"/>
                <w:b w:val="0"/>
                <w:bCs w:val="0"/>
                <w:i w:val="0"/>
                <w:color w:val="000000"/>
                <w:kern w:val="2"/>
                <w:sz w:val="24"/>
                <w:szCs w:val="24"/>
                <w:u w:val="none"/>
                <w:lang w:val="en-US" w:eastAsia="zh-CN" w:bidi="ar"/>
              </w:rPr>
              <w:t>，发展睡莲种植、观赏、采摘活动，加工睡莲特色功能食品，举办“抱古莲花文化节”，走三产融合发展的道路。</w:t>
            </w:r>
          </w:p>
        </w:tc>
        <w:tc>
          <w:tcPr>
            <w:tcW w:w="135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auto"/>
              <w:rPr>
                <w:rFonts w:hint="default"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莲花小镇、莲花文化节、莲花文创产品、香水莲花规模化种植和研发加工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343"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auto"/>
              <w:rPr>
                <w:rFonts w:hint="default"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雅安村</w:t>
            </w:r>
          </w:p>
        </w:tc>
        <w:tc>
          <w:tcPr>
            <w:tcW w:w="173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auto"/>
              <w:rPr>
                <w:rFonts w:hint="default"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芒果、香蕉、百香果、水稻、冬季瓜菜</w:t>
            </w:r>
          </w:p>
        </w:tc>
        <w:tc>
          <w:tcPr>
            <w:tcW w:w="4088"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auto"/>
              <w:rPr>
                <w:rFonts w:hint="default"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积极联动融入南山风景区，建设芒果、香蕉、百香果热带水果共享农庄，打造热带水果特色小镇，发展突出水果庄园、宗教文化特色的休闲康养度假型民宿，吸引大南山景区游客就近进入雅安，实现区域联动、农旅融合发展。</w:t>
            </w:r>
          </w:p>
        </w:tc>
        <w:tc>
          <w:tcPr>
            <w:tcW w:w="135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auto"/>
              <w:rPr>
                <w:rFonts w:hint="default"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水果小镇、芒果香蕉百香果共享农庄、康养度假型民宿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343"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auto"/>
              <w:rPr>
                <w:rFonts w:hint="default"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南山村</w:t>
            </w:r>
          </w:p>
        </w:tc>
        <w:tc>
          <w:tcPr>
            <w:tcW w:w="173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auto"/>
              <w:rPr>
                <w:rFonts w:hint="default"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冬季瓜菜</w:t>
            </w:r>
          </w:p>
        </w:tc>
        <w:tc>
          <w:tcPr>
            <w:tcW w:w="4088"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auto"/>
              <w:rPr>
                <w:rFonts w:hint="default"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优先发展集体经济，建设具有传统文化、黎族文化、国学文化特色美丽乡村，打造共享农庄，发展文化主题民宿、文旅体验、特色餐饮，依托大南山景区打造特色旅游小镇，重点发展生态休闲、度假养生、民俗文化、服务消费等产业。</w:t>
            </w:r>
          </w:p>
        </w:tc>
        <w:tc>
          <w:tcPr>
            <w:tcW w:w="135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auto"/>
              <w:rPr>
                <w:rFonts w:hint="default"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南山小镇、双创主题民宿（农创、文创）、民俗文化、服务南山景区一般消费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343"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auto"/>
              <w:rPr>
                <w:rFonts w:hint="default"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保平村</w:t>
            </w:r>
          </w:p>
        </w:tc>
        <w:tc>
          <w:tcPr>
            <w:tcW w:w="173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auto"/>
              <w:rPr>
                <w:rFonts w:hint="eastAsia"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芒果、槟榔、冬季瓜菜</w:t>
            </w:r>
          </w:p>
        </w:tc>
        <w:tc>
          <w:tcPr>
            <w:tcW w:w="4088"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auto"/>
              <w:rPr>
                <w:rFonts w:hint="eastAsia"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擦亮“海南十大文化名村”品牌，开发古村落明清古建筑旅游路线，保护修葺古建筑群落，打造访古研学、历史寻根、诗词文化、平安文化、古村体验等具有崖州特色的乡村文旅产品体系。</w:t>
            </w:r>
          </w:p>
        </w:tc>
        <w:tc>
          <w:tcPr>
            <w:tcW w:w="135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auto"/>
              <w:rPr>
                <w:rFonts w:hint="default"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文化名村、古村古建文化游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343"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auto"/>
              <w:rPr>
                <w:rFonts w:hint="default"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雀信社区、东京社区、中和社区、龙港社区、文明社区、乾隆村、港门村、临高村</w:t>
            </w:r>
          </w:p>
        </w:tc>
        <w:tc>
          <w:tcPr>
            <w:tcW w:w="173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auto"/>
              <w:rPr>
                <w:rFonts w:hint="default"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渔业捕捞、水产养殖、芒果、冬季瓜菜</w:t>
            </w:r>
          </w:p>
        </w:tc>
        <w:tc>
          <w:tcPr>
            <w:tcW w:w="4088"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auto"/>
              <w:rPr>
                <w:rFonts w:hint="default"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结合中心渔港联动发展，打造渔业体验、海洋观光、休闲度假“三位一体”休闲渔业特色小镇，打造夜经济一条街，发展海上垂钓、龙舟赛事、渔事体验、渔人码头餐饮、疍家特色民宿、海鲜市场等业态，建设渔业小镇、龙舟小镇、海洋渔业主题民宿，乾隆村发展芒果采摘园，壮大观光休闲度假产业。</w:t>
            </w:r>
          </w:p>
        </w:tc>
        <w:tc>
          <w:tcPr>
            <w:tcW w:w="135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auto"/>
              <w:rPr>
                <w:rFonts w:hint="default"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渔业小镇、龙舟小镇、夜市经济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343"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auto"/>
              <w:rPr>
                <w:rFonts w:hint="default"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北岭村</w:t>
            </w:r>
          </w:p>
        </w:tc>
        <w:tc>
          <w:tcPr>
            <w:tcW w:w="173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auto"/>
              <w:rPr>
                <w:rFonts w:hint="default"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芒果、槟榔、冬季瓜菜、黑山羊</w:t>
            </w:r>
          </w:p>
        </w:tc>
        <w:tc>
          <w:tcPr>
            <w:tcW w:w="4088"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auto"/>
              <w:rPr>
                <w:rFonts w:hint="default"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扩大北岭黑山羊养殖规模，实行农民+合作社+公司模式，打造黑山羊休闲农庄，突出绿色有机卖点，推出黑山羊“传统菜肴+创意料理”餐饮，延长热带果园观光采摘等农旅融合产业链，发展农旅休闲游。</w:t>
            </w:r>
          </w:p>
        </w:tc>
        <w:tc>
          <w:tcPr>
            <w:tcW w:w="135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auto"/>
              <w:rPr>
                <w:rFonts w:hint="default"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黑山羊农庄、果园观光、打柴舞黎族风情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343"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auto"/>
              <w:rPr>
                <w:rFonts w:hint="eastAsia"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海棠村</w:t>
            </w:r>
          </w:p>
        </w:tc>
        <w:tc>
          <w:tcPr>
            <w:tcW w:w="173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auto"/>
              <w:rPr>
                <w:rFonts w:hint="eastAsia"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槟榔、香蕉、冬季瓜菜、畜禽养殖</w:t>
            </w:r>
          </w:p>
        </w:tc>
        <w:tc>
          <w:tcPr>
            <w:tcW w:w="4088"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auto"/>
              <w:rPr>
                <w:rFonts w:hint="eastAsia"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提升果蔬批发市场产业功能，发展商贸物流、果蔬保鲜处理、果蔬加工、直播电商、度假康养等业态，建设农产品加工产业园，打造商贸专业村。</w:t>
            </w:r>
          </w:p>
        </w:tc>
        <w:tc>
          <w:tcPr>
            <w:tcW w:w="135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auto"/>
              <w:rPr>
                <w:rFonts w:hint="default"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电商村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343"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auto"/>
              <w:rPr>
                <w:rFonts w:hint="default"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赤草村</w:t>
            </w:r>
          </w:p>
        </w:tc>
        <w:tc>
          <w:tcPr>
            <w:tcW w:w="173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auto"/>
              <w:rPr>
                <w:rFonts w:hint="default"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芒果、黑山羊、黑猪、鸭、水产养殖</w:t>
            </w:r>
          </w:p>
        </w:tc>
        <w:tc>
          <w:tcPr>
            <w:tcW w:w="4088"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auto"/>
              <w:rPr>
                <w:rFonts w:hint="default"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建设芒果青春小镇，发展牛腊水库淡水鱼生态养殖、垂钓、休闲鱼庄，发展热带果园观光农业，打造生态度假型农庄。做大做强优势冬季瓜菜和热带水果种植业。</w:t>
            </w:r>
          </w:p>
        </w:tc>
        <w:tc>
          <w:tcPr>
            <w:tcW w:w="135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auto"/>
              <w:rPr>
                <w:rFonts w:hint="default"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芒果小镇、休闲农业、淡水鱼养殖、生态度假农庄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343"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auto"/>
              <w:rPr>
                <w:rFonts w:hint="default" w:ascii="楷体" w:hAnsi="楷体" w:eastAsia="楷体" w:cs="楷体"/>
                <w:b w:val="0"/>
                <w:bCs w:val="0"/>
                <w:i w:val="0"/>
                <w:color w:val="000000"/>
                <w:kern w:val="2"/>
                <w:sz w:val="24"/>
                <w:szCs w:val="24"/>
                <w:u w:val="none"/>
                <w:lang w:val="en-US" w:eastAsia="zh-CN" w:bidi="ar"/>
              </w:rPr>
            </w:pPr>
            <w:r>
              <w:rPr>
                <w:rFonts w:hint="default" w:ascii="楷体" w:hAnsi="楷体" w:eastAsia="楷体" w:cs="楷体"/>
                <w:b w:val="0"/>
                <w:bCs w:val="0"/>
                <w:i w:val="0"/>
                <w:color w:val="000000"/>
                <w:kern w:val="2"/>
                <w:sz w:val="24"/>
                <w:szCs w:val="24"/>
                <w:u w:val="none"/>
                <w:lang w:val="en-US" w:eastAsia="zh-CN" w:bidi="ar"/>
              </w:rPr>
              <w:t>三公里村</w:t>
            </w:r>
          </w:p>
        </w:tc>
        <w:tc>
          <w:tcPr>
            <w:tcW w:w="173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auto"/>
              <w:rPr>
                <w:rFonts w:hint="default"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芒果、冬季瓜菜、养殖</w:t>
            </w:r>
          </w:p>
        </w:tc>
        <w:tc>
          <w:tcPr>
            <w:tcW w:w="4088"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auto"/>
              <w:rPr>
                <w:rFonts w:hint="eastAsia"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发展农业观光，融合生态农业、休闲旅游、乡村文化游，形成农旅融合产业特色村。</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auto"/>
              <w:rPr>
                <w:rFonts w:hint="default"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发展现代化生猪养殖，构建从养殖、加工到冷链物流的完整产业链，打造大三亚区域生猪养殖基地。</w:t>
            </w:r>
          </w:p>
        </w:tc>
        <w:tc>
          <w:tcPr>
            <w:tcW w:w="135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auto"/>
              <w:rPr>
                <w:rFonts w:hint="default"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生态观光农业、生猪养殖基地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343"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auto"/>
              <w:rPr>
                <w:rFonts w:hint="default"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镇海村</w:t>
            </w:r>
          </w:p>
        </w:tc>
        <w:tc>
          <w:tcPr>
            <w:tcW w:w="173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auto"/>
              <w:rPr>
                <w:rFonts w:hint="default"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哈密瓜、芒果、黑猪养殖、渔业捕捞</w:t>
            </w:r>
          </w:p>
        </w:tc>
        <w:tc>
          <w:tcPr>
            <w:tcW w:w="4088"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auto"/>
              <w:rPr>
                <w:rFonts w:hint="default"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发挥直面南海、亲水亲沙优势，因地制宜发展南海渔业疍家风情特色民宿，打造“云天谣/镇海渔歌”文化主题旅游，发展村民渔家庭院休闲餐饮，发展水上运动观光垂钓等农旅休闲融合产业。</w:t>
            </w:r>
          </w:p>
        </w:tc>
        <w:tc>
          <w:tcPr>
            <w:tcW w:w="135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auto"/>
              <w:rPr>
                <w:rFonts w:hint="default"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亲海小镇、渔村剪影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343"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auto"/>
              <w:rPr>
                <w:rFonts w:hint="default" w:ascii="楷体" w:hAnsi="楷体" w:eastAsia="楷体" w:cs="楷体"/>
                <w:b w:val="0"/>
                <w:bCs w:val="0"/>
                <w:i w:val="0"/>
                <w:color w:val="000000"/>
                <w:kern w:val="2"/>
                <w:sz w:val="24"/>
                <w:szCs w:val="24"/>
                <w:u w:val="none"/>
                <w:lang w:val="en-US" w:eastAsia="zh-CN" w:bidi="ar"/>
              </w:rPr>
            </w:pPr>
            <w:r>
              <w:rPr>
                <w:rFonts w:hint="default" w:ascii="楷体" w:hAnsi="楷体" w:eastAsia="楷体" w:cs="楷体"/>
                <w:b w:val="0"/>
                <w:bCs w:val="0"/>
                <w:i w:val="0"/>
                <w:color w:val="000000"/>
                <w:kern w:val="2"/>
                <w:sz w:val="24"/>
                <w:szCs w:val="24"/>
                <w:u w:val="none"/>
                <w:lang w:val="en-US" w:eastAsia="zh-CN" w:bidi="ar"/>
              </w:rPr>
              <w:t>盐灶村</w:t>
            </w:r>
            <w:r>
              <w:rPr>
                <w:rFonts w:hint="eastAsia" w:ascii="楷体" w:hAnsi="楷体" w:eastAsia="楷体" w:cs="楷体"/>
                <w:b w:val="0"/>
                <w:bCs w:val="0"/>
                <w:i w:val="0"/>
                <w:color w:val="000000"/>
                <w:kern w:val="2"/>
                <w:sz w:val="24"/>
                <w:szCs w:val="24"/>
                <w:u w:val="none"/>
                <w:lang w:val="en-US" w:eastAsia="zh-CN" w:bidi="ar"/>
              </w:rPr>
              <w:t>、长山村</w:t>
            </w:r>
          </w:p>
        </w:tc>
        <w:tc>
          <w:tcPr>
            <w:tcW w:w="173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auto"/>
              <w:rPr>
                <w:rFonts w:hint="default"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芒果、冬季瓜菜、槟榔、水产养殖</w:t>
            </w:r>
          </w:p>
        </w:tc>
        <w:tc>
          <w:tcPr>
            <w:tcW w:w="4088"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auto"/>
              <w:rPr>
                <w:rFonts w:hint="default"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发展工厂化循环水生态养殖基地，重点拓展鱼虾育苗、热带观赏鱼养殖、高附加值鱼类养殖，发展热带观赏鱼观光，做大做强做优水产养殖业，发展壮大莲雾、百香果等特色小镇农庄，发展现代农业观光。</w:t>
            </w:r>
          </w:p>
        </w:tc>
        <w:tc>
          <w:tcPr>
            <w:tcW w:w="135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auto"/>
              <w:rPr>
                <w:rFonts w:hint="default"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工厂化养殖、观赏鱼养殖观光、莲雾农庄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343"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auto"/>
              <w:rPr>
                <w:rFonts w:hint="default"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凤岭村</w:t>
            </w:r>
          </w:p>
        </w:tc>
        <w:tc>
          <w:tcPr>
            <w:tcW w:w="173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auto"/>
              <w:rPr>
                <w:rFonts w:hint="default"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芒果、冬季瓜菜、百香果、水稻</w:t>
            </w:r>
          </w:p>
        </w:tc>
        <w:tc>
          <w:tcPr>
            <w:tcW w:w="4088"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auto"/>
              <w:rPr>
                <w:rFonts w:hint="eastAsia"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发展百香果规模种植，打造百香果主题农庄，发展设施农业观光、采摘体验、百香果产品开发等农旅融合产业。</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auto"/>
              <w:rPr>
                <w:rFonts w:hint="eastAsia"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打造优良水稻生产基地，培育优质水稻品种，改良农业种植技术。</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auto"/>
              <w:rPr>
                <w:rFonts w:hint="default"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发展现代林业经济，探索花梨木种植，发展林下养鸡、花卉苗圃、食用菌等复合农业。</w:t>
            </w:r>
          </w:p>
        </w:tc>
        <w:tc>
          <w:tcPr>
            <w:tcW w:w="135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auto"/>
              <w:rPr>
                <w:rFonts w:hint="default"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百香果农庄、林下经济和观光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343"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auto"/>
              <w:rPr>
                <w:rFonts w:hint="default" w:ascii="楷体" w:hAnsi="楷体" w:eastAsia="楷体" w:cs="楷体"/>
                <w:b w:val="0"/>
                <w:bCs w:val="0"/>
                <w:i w:val="0"/>
                <w:color w:val="000000"/>
                <w:kern w:val="2"/>
                <w:sz w:val="24"/>
                <w:szCs w:val="24"/>
                <w:u w:val="none"/>
                <w:lang w:val="en-US" w:eastAsia="zh-CN" w:bidi="ar"/>
              </w:rPr>
            </w:pPr>
            <w:r>
              <w:rPr>
                <w:rFonts w:hint="default" w:ascii="楷体" w:hAnsi="楷体" w:eastAsia="楷体" w:cs="楷体"/>
                <w:b w:val="0"/>
                <w:bCs w:val="0"/>
                <w:i w:val="0"/>
                <w:color w:val="000000"/>
                <w:kern w:val="2"/>
                <w:sz w:val="24"/>
                <w:szCs w:val="24"/>
                <w:u w:val="none"/>
                <w:lang w:val="en-US" w:eastAsia="zh-CN" w:bidi="ar"/>
              </w:rPr>
              <w:t>三更村</w:t>
            </w:r>
          </w:p>
        </w:tc>
        <w:tc>
          <w:tcPr>
            <w:tcW w:w="173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auto"/>
              <w:rPr>
                <w:rFonts w:hint="default"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芒果、冬季瓜菜、养殖</w:t>
            </w:r>
          </w:p>
        </w:tc>
        <w:tc>
          <w:tcPr>
            <w:tcW w:w="4088"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auto"/>
              <w:rPr>
                <w:rFonts w:hint="default"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发展黄牛养殖产业，壮大村集体经济，打造黄牛养殖专业特色村，</w:t>
            </w:r>
            <w:r>
              <w:rPr>
                <w:rFonts w:hint="default" w:ascii="楷体" w:hAnsi="楷体" w:eastAsia="楷体" w:cs="楷体"/>
                <w:b w:val="0"/>
                <w:bCs w:val="0"/>
                <w:i w:val="0"/>
                <w:color w:val="000000"/>
                <w:kern w:val="2"/>
                <w:sz w:val="24"/>
                <w:szCs w:val="24"/>
                <w:u w:val="none"/>
                <w:lang w:val="en-US" w:eastAsia="zh-CN" w:bidi="ar"/>
              </w:rPr>
              <w:t>围绕黄牛</w:t>
            </w:r>
            <w:r>
              <w:rPr>
                <w:rFonts w:hint="eastAsia" w:ascii="楷体" w:hAnsi="楷体" w:eastAsia="楷体" w:cs="楷体"/>
                <w:b w:val="0"/>
                <w:bCs w:val="0"/>
                <w:i w:val="0"/>
                <w:color w:val="000000"/>
                <w:kern w:val="2"/>
                <w:sz w:val="24"/>
                <w:szCs w:val="24"/>
                <w:u w:val="none"/>
                <w:lang w:val="en-US" w:eastAsia="zh-CN" w:bidi="ar"/>
              </w:rPr>
              <w:t>发展</w:t>
            </w:r>
            <w:r>
              <w:rPr>
                <w:rFonts w:hint="default" w:ascii="楷体" w:hAnsi="楷体" w:eastAsia="楷体" w:cs="楷体"/>
                <w:b w:val="0"/>
                <w:bCs w:val="0"/>
                <w:i w:val="0"/>
                <w:color w:val="000000"/>
                <w:kern w:val="2"/>
                <w:sz w:val="24"/>
                <w:szCs w:val="24"/>
                <w:u w:val="none"/>
                <w:lang w:val="en-US" w:eastAsia="zh-CN" w:bidi="ar"/>
              </w:rPr>
              <w:t>特色餐饮</w:t>
            </w:r>
            <w:r>
              <w:rPr>
                <w:rFonts w:hint="eastAsia" w:ascii="楷体" w:hAnsi="楷体" w:eastAsia="楷体" w:cs="楷体"/>
                <w:b w:val="0"/>
                <w:bCs w:val="0"/>
                <w:i w:val="0"/>
                <w:color w:val="000000"/>
                <w:kern w:val="2"/>
                <w:sz w:val="24"/>
                <w:szCs w:val="24"/>
                <w:u w:val="none"/>
                <w:lang w:val="en-US" w:eastAsia="zh-CN" w:bidi="ar"/>
              </w:rPr>
              <w:t>和民宿。</w:t>
            </w:r>
          </w:p>
        </w:tc>
        <w:tc>
          <w:tcPr>
            <w:tcW w:w="135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auto"/>
              <w:rPr>
                <w:rFonts w:hint="eastAsia"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黄牛产业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343"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auto"/>
              <w:rPr>
                <w:rFonts w:hint="default"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梅山组团（</w:t>
            </w:r>
            <w:r>
              <w:rPr>
                <w:rFonts w:hint="default" w:ascii="楷体" w:hAnsi="楷体" w:eastAsia="楷体" w:cs="楷体"/>
                <w:b w:val="0"/>
                <w:bCs w:val="0"/>
                <w:i w:val="0"/>
                <w:color w:val="000000"/>
                <w:kern w:val="2"/>
                <w:sz w:val="24"/>
                <w:szCs w:val="24"/>
                <w:u w:val="none"/>
                <w:lang w:val="en-US" w:eastAsia="zh-CN" w:bidi="ar"/>
              </w:rPr>
              <w:t>梅东、梅西</w:t>
            </w:r>
            <w:r>
              <w:rPr>
                <w:rFonts w:hint="eastAsia" w:ascii="楷体" w:hAnsi="楷体" w:eastAsia="楷体" w:cs="楷体"/>
                <w:b w:val="0"/>
                <w:bCs w:val="0"/>
                <w:i w:val="0"/>
                <w:color w:val="000000"/>
                <w:kern w:val="2"/>
                <w:sz w:val="24"/>
                <w:szCs w:val="24"/>
                <w:u w:val="none"/>
                <w:lang w:val="en-US" w:eastAsia="zh-CN" w:bidi="ar"/>
              </w:rPr>
              <w:t>）</w:t>
            </w:r>
          </w:p>
        </w:tc>
        <w:tc>
          <w:tcPr>
            <w:tcW w:w="173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auto"/>
              <w:rPr>
                <w:rFonts w:hint="default"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哈密瓜、芒果、冬季瓜菜、南繁育种、渔业捕捞</w:t>
            </w:r>
          </w:p>
        </w:tc>
        <w:tc>
          <w:tcPr>
            <w:tcW w:w="4088"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auto"/>
              <w:rPr>
                <w:rFonts w:hint="eastAsia"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建设环岛旅游公路“崖州红韵”公路驿站，策划红色基地教育、古寨游览、文化展示、生态观光等项目，形成红色旅游精品线路。</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auto"/>
              <w:rPr>
                <w:rFonts w:hint="eastAsia"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建设“南海之恋”听海婚庆旅拍公园，设置主题雕塑、热带苗圃、四季花廊、植物迷宫、探海平台，打造外景拍摄、营车基地、休闲度假、活动举办功能，成为闻名的旅拍基地。</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auto"/>
              <w:rPr>
                <w:rFonts w:hint="default"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建设沙滩运动公园，实行一滩多场、赛教融合、体旅融合的发展模式。</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auto"/>
              <w:rPr>
                <w:rFonts w:hint="eastAsia" w:ascii="楷体" w:hAnsi="楷体" w:eastAsia="楷体" w:cs="楷体"/>
                <w:b w:val="0"/>
                <w:bCs w:val="0"/>
                <w:i w:val="0"/>
                <w:color w:val="000000"/>
                <w:kern w:val="2"/>
                <w:sz w:val="24"/>
                <w:szCs w:val="24"/>
                <w:u w:val="none"/>
                <w:lang w:val="en-US" w:eastAsia="zh-CN" w:bidi="ar"/>
              </w:rPr>
            </w:pPr>
            <w:r>
              <w:rPr>
                <w:rFonts w:hint="default" w:ascii="楷体" w:hAnsi="楷体" w:eastAsia="楷体" w:cs="楷体"/>
                <w:b w:val="0"/>
                <w:bCs w:val="0"/>
                <w:i w:val="0"/>
                <w:color w:val="000000"/>
                <w:kern w:val="2"/>
                <w:sz w:val="24"/>
                <w:szCs w:val="24"/>
                <w:u w:val="none"/>
                <w:lang w:val="en-US" w:eastAsia="zh-CN" w:bidi="ar"/>
              </w:rPr>
              <w:t>梅西村打造疍家特色风格美丽乡村，定位成为直面南海、亲水亲沙的疍家风情特色民宿小镇，引入培育一批优质特色民宿、餐厅、咖啡馆，打造梅西网红渔村</w:t>
            </w:r>
            <w:r>
              <w:rPr>
                <w:rFonts w:hint="eastAsia" w:ascii="楷体" w:hAnsi="楷体" w:eastAsia="楷体" w:cs="楷体"/>
                <w:b w:val="0"/>
                <w:bCs w:val="0"/>
                <w:i w:val="0"/>
                <w:color w:val="000000"/>
                <w:kern w:val="2"/>
                <w:sz w:val="24"/>
                <w:szCs w:val="24"/>
                <w:u w:val="none"/>
                <w:lang w:val="en-US" w:eastAsia="zh-CN" w:bidi="ar"/>
              </w:rPr>
              <w:t>。</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auto"/>
              <w:rPr>
                <w:rFonts w:hint="default"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拓展热带水果农业种植品种，发展现代农业、农产品加工，培育引入热带水果主题旅游IP品牌。</w:t>
            </w:r>
          </w:p>
        </w:tc>
        <w:tc>
          <w:tcPr>
            <w:tcW w:w="135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auto"/>
              <w:rPr>
                <w:rFonts w:hint="default" w:ascii="楷体" w:hAnsi="楷体" w:eastAsia="楷体" w:cs="楷体"/>
                <w:b w:val="0"/>
                <w:bCs w:val="0"/>
                <w:i w:val="0"/>
                <w:color w:val="000000"/>
                <w:kern w:val="2"/>
                <w:sz w:val="24"/>
                <w:szCs w:val="24"/>
                <w:u w:val="none"/>
                <w:lang w:val="en-US" w:eastAsia="zh-CN" w:bidi="ar"/>
              </w:rPr>
            </w:pPr>
            <w:r>
              <w:rPr>
                <w:rFonts w:hint="eastAsia" w:ascii="楷体" w:hAnsi="楷体" w:eastAsia="楷体" w:cs="楷体"/>
                <w:b w:val="0"/>
                <w:bCs w:val="0"/>
                <w:i w:val="0"/>
                <w:color w:val="000000"/>
                <w:kern w:val="2"/>
                <w:sz w:val="24"/>
                <w:szCs w:val="24"/>
                <w:u w:val="none"/>
                <w:lang w:val="en-US" w:eastAsia="zh-CN" w:bidi="ar"/>
              </w:rPr>
              <w:t>打造康养、红色、婚庆旅游产业链，树立全域全域旅游示范</w:t>
            </w:r>
          </w:p>
        </w:tc>
      </w:tr>
    </w:tbl>
    <w:p>
      <w:pPr>
        <w:keepNext w:val="0"/>
        <w:keepLines w:val="0"/>
        <w:pageBreakBefore w:val="0"/>
        <w:widowControl w:val="0"/>
        <w:kinsoku/>
        <w:wordWrap/>
        <w:overflowPunct/>
        <w:topLinePunct w:val="0"/>
        <w:autoSpaceDE/>
        <w:autoSpaceDN/>
        <w:bidi w:val="0"/>
        <w:adjustRightInd/>
        <w:snapToGrid/>
        <w:spacing w:line="40" w:lineRule="exact"/>
        <w:textAlignment w:val="auto"/>
        <w:rPr>
          <w:rFonts w:hint="default" w:ascii="仿宋_GB2312" w:eastAsia="仿宋_GB2312"/>
          <w:lang w:val="en-US" w:eastAsia="zh-CN"/>
        </w:rPr>
      </w:pPr>
    </w:p>
    <w:p>
      <w:pPr>
        <w:keepNext w:val="0"/>
        <w:keepLines w:val="0"/>
        <w:pageBreakBefore w:val="0"/>
        <w:widowControl w:val="0"/>
        <w:kinsoku/>
        <w:wordWrap/>
        <w:overflowPunct/>
        <w:topLinePunct w:val="0"/>
        <w:autoSpaceDE/>
        <w:autoSpaceDN/>
        <w:bidi w:val="0"/>
        <w:adjustRightInd/>
        <w:snapToGrid/>
        <w:spacing w:line="40" w:lineRule="exact"/>
        <w:textAlignment w:val="auto"/>
        <w:rPr>
          <w:rFonts w:hint="default"/>
          <w:lang w:val="en-US" w:eastAsia="zh-CN"/>
        </w:rPr>
        <w:sectPr>
          <w:pgSz w:w="11906" w:h="16838"/>
          <w:pgMar w:top="1440" w:right="1800" w:bottom="1440" w:left="1800" w:header="851" w:footer="992" w:gutter="0"/>
          <w:cols w:space="425" w:num="1"/>
          <w:docGrid w:type="lines" w:linePitch="312" w:charSpace="0"/>
        </w:sectPr>
      </w:pPr>
    </w:p>
    <w:p>
      <w:pPr>
        <w:rPr>
          <w:rFonts w:hint="default"/>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pStyle w:val="2"/>
        <w:bidi w:val="0"/>
        <w:rPr>
          <w:rFonts w:hint="default"/>
          <w:lang w:val="en-US" w:eastAsia="zh-CN"/>
        </w:rPr>
      </w:pPr>
      <w:bookmarkStart w:id="663" w:name="_Toc21004"/>
      <w:bookmarkStart w:id="664" w:name="_Toc10181"/>
      <w:bookmarkStart w:id="665" w:name="_Toc9244"/>
      <w:r>
        <w:rPr>
          <w:rFonts w:hint="eastAsia"/>
          <w:lang w:val="en-US" w:eastAsia="zh-CN"/>
        </w:rPr>
        <w:t>第七章  实施保障</w:t>
      </w:r>
      <w:bookmarkEnd w:id="663"/>
      <w:bookmarkEnd w:id="664"/>
      <w:bookmarkEnd w:id="665"/>
    </w:p>
    <w:p>
      <w:pPr>
        <w:rPr>
          <w:rFonts w:hint="eastAsia"/>
          <w:lang w:val="en-US" w:eastAsia="zh-CN"/>
        </w:rPr>
      </w:pPr>
      <w:r>
        <w:rPr>
          <w:rFonts w:hint="eastAsia" w:ascii="仿宋_GB2312" w:eastAsia="仿宋_GB2312"/>
          <w:lang w:val="en-US" w:eastAsia="zh-CN"/>
        </w:rPr>
        <w:br w:type="page"/>
      </w:r>
    </w:p>
    <w:p>
      <w:pPr>
        <w:pStyle w:val="3"/>
        <w:bidi w:val="0"/>
        <w:rPr>
          <w:rFonts w:hint="default"/>
          <w:lang w:val="en-US" w:eastAsia="zh-CN"/>
        </w:rPr>
      </w:pPr>
      <w:bookmarkStart w:id="666" w:name="_Toc13959"/>
      <w:bookmarkStart w:id="667" w:name="_Toc26822"/>
      <w:bookmarkStart w:id="668" w:name="_Toc13451"/>
      <w:r>
        <w:rPr>
          <w:rFonts w:hint="eastAsia"/>
          <w:lang w:val="en-US" w:eastAsia="zh-CN"/>
        </w:rPr>
        <w:t>第一节  用好海南自贸港政策</w:t>
      </w:r>
      <w:bookmarkEnd w:id="666"/>
      <w:bookmarkEnd w:id="667"/>
      <w:bookmarkEnd w:id="668"/>
    </w:p>
    <w:p>
      <w:pPr>
        <w:pStyle w:val="5"/>
        <w:numPr>
          <w:ilvl w:val="0"/>
          <w:numId w:val="55"/>
        </w:numPr>
        <w:bidi w:val="0"/>
        <w:ind w:left="0" w:leftChars="0" w:firstLine="400" w:firstLineChars="0"/>
        <w:rPr>
          <w:rFonts w:hint="default"/>
          <w:lang w:val="en-US" w:eastAsia="zh-CN"/>
        </w:rPr>
      </w:pPr>
      <w:bookmarkStart w:id="669" w:name="_Toc14347"/>
      <w:bookmarkStart w:id="670" w:name="_Toc4570"/>
      <w:bookmarkStart w:id="671" w:name="_Toc12829"/>
      <w:r>
        <w:rPr>
          <w:rFonts w:hint="eastAsia"/>
          <w:lang w:val="en-US" w:eastAsia="zh-CN"/>
        </w:rPr>
        <w:t>发展农渔产品保税仓储精深加工和出口</w:t>
      </w:r>
      <w:bookmarkEnd w:id="669"/>
      <w:bookmarkEnd w:id="670"/>
      <w:bookmarkEnd w:id="671"/>
    </w:p>
    <w:p>
      <w:pPr>
        <w:rPr>
          <w:rFonts w:hint="default"/>
          <w:lang w:val="en-US" w:eastAsia="zh-CN"/>
        </w:rPr>
      </w:pPr>
      <w:r>
        <w:rPr>
          <w:rFonts w:hint="eastAsia" w:ascii="仿宋_GB2312" w:eastAsia="仿宋_GB2312"/>
          <w:lang w:val="en-US" w:eastAsia="zh-CN"/>
        </w:rPr>
        <w:t>利用“一线”放开、加工</w:t>
      </w:r>
      <w:r>
        <w:rPr>
          <w:rFonts w:hint="default"/>
          <w:lang w:val="en-US" w:eastAsia="zh-CN"/>
        </w:rPr>
        <w:t>增值30％货物进内地</w:t>
      </w:r>
      <w:r>
        <w:rPr>
          <w:rFonts w:hint="eastAsia" w:ascii="仿宋_GB2312" w:eastAsia="仿宋_GB2312"/>
          <w:lang w:val="en-US" w:eastAsia="zh-CN"/>
        </w:rPr>
        <w:t>免</w:t>
      </w:r>
      <w:r>
        <w:rPr>
          <w:rFonts w:hint="default"/>
          <w:lang w:val="en-US" w:eastAsia="zh-CN"/>
        </w:rPr>
        <w:t>关税</w:t>
      </w:r>
      <w:r>
        <w:rPr>
          <w:rFonts w:hint="eastAsia" w:ascii="仿宋_GB2312" w:eastAsia="仿宋_GB2312"/>
          <w:lang w:val="en-US" w:eastAsia="zh-CN"/>
        </w:rPr>
        <w:t>等政策，发展</w:t>
      </w:r>
      <w:r>
        <w:rPr>
          <w:rFonts w:hint="default"/>
          <w:lang w:val="en-US" w:eastAsia="zh-CN"/>
        </w:rPr>
        <w:t>农渔产品来料</w:t>
      </w:r>
      <w:r>
        <w:rPr>
          <w:rFonts w:hint="eastAsia" w:ascii="仿宋_GB2312" w:eastAsia="仿宋_GB2312"/>
          <w:lang w:val="en-US" w:eastAsia="zh-CN"/>
        </w:rPr>
        <w:t>精深</w:t>
      </w:r>
      <w:r>
        <w:rPr>
          <w:rFonts w:hint="default"/>
          <w:lang w:val="en-US" w:eastAsia="zh-CN"/>
        </w:rPr>
        <w:t>加工</w:t>
      </w:r>
      <w:r>
        <w:rPr>
          <w:rFonts w:hint="eastAsia" w:ascii="仿宋_GB2312" w:eastAsia="仿宋_GB2312"/>
          <w:lang w:val="en-US" w:eastAsia="zh-CN"/>
        </w:rPr>
        <w:t>，</w:t>
      </w:r>
      <w:r>
        <w:rPr>
          <w:rFonts w:hint="default"/>
          <w:lang w:val="en-US" w:eastAsia="zh-CN"/>
        </w:rPr>
        <w:t>销往大陆或保税出口</w:t>
      </w:r>
      <w:r>
        <w:rPr>
          <w:rFonts w:hint="eastAsia" w:ascii="仿宋_GB2312" w:eastAsia="仿宋_GB2312"/>
          <w:lang w:val="en-US" w:eastAsia="zh-CN"/>
        </w:rPr>
        <w:t>，如</w:t>
      </w:r>
      <w:r>
        <w:rPr>
          <w:rFonts w:hint="default"/>
          <w:lang w:val="en-US" w:eastAsia="zh-CN"/>
        </w:rPr>
        <w:t>海产品初级加工</w:t>
      </w:r>
      <w:r>
        <w:rPr>
          <w:rFonts w:hint="eastAsia" w:ascii="仿宋_GB2312" w:eastAsia="仿宋_GB2312"/>
          <w:lang w:val="en-US" w:eastAsia="zh-CN"/>
        </w:rPr>
        <w:t>、</w:t>
      </w:r>
      <w:r>
        <w:rPr>
          <w:rFonts w:hint="default"/>
          <w:lang w:val="en-US" w:eastAsia="zh-CN"/>
        </w:rPr>
        <w:t>消费类海产品加工</w:t>
      </w:r>
      <w:r>
        <w:rPr>
          <w:rFonts w:hint="eastAsia" w:ascii="仿宋_GB2312" w:eastAsia="仿宋_GB2312"/>
          <w:lang w:val="en-US" w:eastAsia="zh-CN"/>
        </w:rPr>
        <w:t>、</w:t>
      </w:r>
      <w:r>
        <w:rPr>
          <w:rFonts w:hint="default"/>
          <w:lang w:val="en-US" w:eastAsia="zh-CN"/>
        </w:rPr>
        <w:t>宠物和牲畜饲料</w:t>
      </w:r>
      <w:r>
        <w:rPr>
          <w:rFonts w:hint="eastAsia" w:ascii="仿宋_GB2312" w:eastAsia="仿宋_GB2312"/>
          <w:lang w:val="en-US" w:eastAsia="zh-CN"/>
        </w:rPr>
        <w:t>、</w:t>
      </w:r>
      <w:r>
        <w:rPr>
          <w:rFonts w:hint="default"/>
          <w:lang w:val="en-US" w:eastAsia="zh-CN"/>
        </w:rPr>
        <w:t>海产品功能性精深加工。</w:t>
      </w:r>
      <w:r>
        <w:rPr>
          <w:rFonts w:hint="eastAsia" w:ascii="仿宋_GB2312" w:eastAsia="仿宋_GB2312"/>
          <w:lang w:val="en-US" w:eastAsia="zh-CN"/>
        </w:rPr>
        <w:t>利用</w:t>
      </w:r>
      <w:r>
        <w:rPr>
          <w:rFonts w:hint="default"/>
          <w:lang w:val="en-US" w:eastAsia="zh-CN"/>
        </w:rPr>
        <w:t>全岛封关运作</w:t>
      </w:r>
      <w:r>
        <w:rPr>
          <w:rFonts w:hint="eastAsia" w:ascii="仿宋_GB2312" w:eastAsia="仿宋_GB2312"/>
          <w:lang w:val="en-US" w:eastAsia="zh-CN"/>
        </w:rPr>
        <w:t>和航空政策推进热带水果向温带地区国家出口。</w:t>
      </w:r>
    </w:p>
    <w:p>
      <w:pPr>
        <w:pStyle w:val="5"/>
        <w:numPr>
          <w:ilvl w:val="0"/>
          <w:numId w:val="55"/>
        </w:numPr>
        <w:bidi w:val="0"/>
        <w:ind w:left="0" w:leftChars="0" w:firstLine="400" w:firstLineChars="0"/>
        <w:rPr>
          <w:rFonts w:hint="default"/>
          <w:lang w:val="en-US" w:eastAsia="zh-CN"/>
        </w:rPr>
      </w:pPr>
      <w:bookmarkStart w:id="672" w:name="_Toc31670"/>
      <w:bookmarkStart w:id="673" w:name="_Toc4639"/>
      <w:bookmarkStart w:id="674" w:name="_Toc2363"/>
      <w:r>
        <w:rPr>
          <w:rFonts w:hint="eastAsia"/>
          <w:lang w:val="en-US" w:eastAsia="zh-CN"/>
        </w:rPr>
        <w:t>企业可以获取境外低成本资金</w:t>
      </w:r>
      <w:bookmarkEnd w:id="672"/>
      <w:bookmarkEnd w:id="673"/>
      <w:bookmarkEnd w:id="674"/>
    </w:p>
    <w:p>
      <w:pPr>
        <w:rPr>
          <w:rFonts w:hint="default"/>
          <w:lang w:val="en-US" w:eastAsia="zh-CN"/>
        </w:rPr>
      </w:pPr>
      <w:r>
        <w:rPr>
          <w:rFonts w:hint="eastAsia" w:ascii="仿宋_GB2312" w:eastAsia="仿宋_GB2312"/>
          <w:lang w:val="en-US" w:eastAsia="zh-CN"/>
        </w:rPr>
        <w:t>当前全球流动性十分充裕，境外资金成本很低，崖州投入高、重资本类企业可以在境外融资借债。</w:t>
      </w:r>
    </w:p>
    <w:p>
      <w:pPr>
        <w:pStyle w:val="5"/>
        <w:numPr>
          <w:ilvl w:val="0"/>
          <w:numId w:val="55"/>
        </w:numPr>
        <w:bidi w:val="0"/>
        <w:ind w:left="0" w:leftChars="0" w:firstLine="400" w:firstLineChars="0"/>
        <w:rPr>
          <w:rFonts w:hint="default"/>
          <w:lang w:val="en-US" w:eastAsia="zh-CN"/>
        </w:rPr>
      </w:pPr>
      <w:bookmarkStart w:id="675" w:name="_Toc3370"/>
      <w:bookmarkStart w:id="676" w:name="_Toc909"/>
      <w:bookmarkStart w:id="677" w:name="_Toc26271"/>
      <w:r>
        <w:rPr>
          <w:rFonts w:hint="eastAsia"/>
          <w:lang w:val="en-US" w:eastAsia="zh-CN"/>
        </w:rPr>
        <w:t>对岛外企业和人才的吸引力更足</w:t>
      </w:r>
      <w:bookmarkEnd w:id="675"/>
      <w:bookmarkEnd w:id="676"/>
      <w:bookmarkEnd w:id="677"/>
    </w:p>
    <w:p>
      <w:pPr>
        <w:rPr>
          <w:rFonts w:hint="default"/>
          <w:lang w:val="en-US" w:eastAsia="zh-CN"/>
        </w:rPr>
      </w:pPr>
      <w:r>
        <w:rPr>
          <w:rFonts w:hint="eastAsia" w:ascii="仿宋_GB2312" w:eastAsia="仿宋_GB2312"/>
          <w:lang w:val="en-US" w:eastAsia="zh-CN"/>
        </w:rPr>
        <w:t>较低的</w:t>
      </w:r>
      <w:r>
        <w:rPr>
          <w:rFonts w:hint="default"/>
          <w:lang w:val="en-US" w:eastAsia="zh-CN"/>
        </w:rPr>
        <w:t>企业所得税</w:t>
      </w:r>
      <w:r>
        <w:rPr>
          <w:rFonts w:hint="eastAsia" w:ascii="仿宋_GB2312" w:eastAsia="仿宋_GB2312"/>
          <w:lang w:val="en-US" w:eastAsia="zh-CN"/>
        </w:rPr>
        <w:t>和</w:t>
      </w:r>
      <w:r>
        <w:rPr>
          <w:rFonts w:hint="default"/>
          <w:lang w:val="en-US" w:eastAsia="zh-CN"/>
        </w:rPr>
        <w:t>个人所得税</w:t>
      </w:r>
      <w:r>
        <w:rPr>
          <w:rFonts w:hint="eastAsia" w:ascii="仿宋_GB2312" w:eastAsia="仿宋_GB2312"/>
          <w:lang w:val="en-US" w:eastAsia="zh-CN"/>
        </w:rPr>
        <w:t>有利于崖州吸引岛外及全球企业和人才。</w:t>
      </w:r>
    </w:p>
    <w:p>
      <w:pPr>
        <w:pStyle w:val="5"/>
        <w:numPr>
          <w:ilvl w:val="0"/>
          <w:numId w:val="55"/>
        </w:numPr>
        <w:bidi w:val="0"/>
        <w:ind w:left="0" w:leftChars="0" w:firstLine="400" w:firstLineChars="0"/>
        <w:rPr>
          <w:rFonts w:hint="default"/>
          <w:lang w:val="en-US" w:eastAsia="zh-CN"/>
        </w:rPr>
      </w:pPr>
      <w:bookmarkStart w:id="678" w:name="_Toc12568"/>
      <w:bookmarkStart w:id="679" w:name="_Toc28557"/>
      <w:bookmarkStart w:id="680" w:name="_Toc7529"/>
      <w:r>
        <w:rPr>
          <w:rFonts w:hint="eastAsia"/>
          <w:lang w:val="en-US" w:eastAsia="zh-CN"/>
        </w:rPr>
        <w:t>产业发展空间和农民利益更有保障</w:t>
      </w:r>
      <w:bookmarkEnd w:id="678"/>
      <w:bookmarkEnd w:id="679"/>
      <w:bookmarkEnd w:id="680"/>
    </w:p>
    <w:p>
      <w:pPr>
        <w:rPr>
          <w:rFonts w:hint="default"/>
          <w:lang w:val="en-US" w:eastAsia="zh-CN"/>
        </w:rPr>
      </w:pPr>
      <w:r>
        <w:rPr>
          <w:rFonts w:hint="eastAsia" w:ascii="仿宋_GB2312" w:eastAsia="仿宋_GB2312"/>
          <w:lang w:val="en-US" w:eastAsia="zh-CN"/>
        </w:rPr>
        <w:t>自贸港农村土地政策有利于崖州保障产业发展空间、推进农业规模化产业化，提高农民长期稳定收益。</w:t>
      </w:r>
    </w:p>
    <w:p>
      <w:pPr>
        <w:pStyle w:val="5"/>
        <w:numPr>
          <w:ilvl w:val="0"/>
          <w:numId w:val="55"/>
        </w:numPr>
        <w:bidi w:val="0"/>
        <w:ind w:left="0" w:leftChars="0" w:firstLine="400" w:firstLineChars="0"/>
        <w:rPr>
          <w:rFonts w:hint="default"/>
          <w:lang w:val="en-US" w:eastAsia="zh-CN"/>
        </w:rPr>
      </w:pPr>
      <w:bookmarkStart w:id="681" w:name="_Toc16503"/>
      <w:bookmarkStart w:id="682" w:name="_Toc20733"/>
      <w:bookmarkStart w:id="683" w:name="_Toc28260"/>
      <w:r>
        <w:rPr>
          <w:rFonts w:hint="eastAsia"/>
          <w:lang w:val="en-US" w:eastAsia="zh-CN"/>
        </w:rPr>
        <w:t>人才、信息、资金等要素流动更自由</w:t>
      </w:r>
      <w:bookmarkEnd w:id="681"/>
      <w:bookmarkEnd w:id="682"/>
      <w:bookmarkEnd w:id="683"/>
    </w:p>
    <w:p>
      <w:pPr>
        <w:rPr>
          <w:rFonts w:hint="eastAsia"/>
          <w:lang w:val="en-US" w:eastAsia="zh-CN"/>
        </w:rPr>
      </w:pPr>
      <w:r>
        <w:rPr>
          <w:rFonts w:hint="eastAsia" w:ascii="仿宋_GB2312" w:eastAsia="仿宋_GB2312"/>
          <w:lang w:val="en-US" w:eastAsia="zh-CN"/>
        </w:rPr>
        <w:t>要素自由流动的政策环境有利于崖州发展农产品交易、文旅产业、主题乐园、体育旅游产业。</w:t>
      </w:r>
    </w:p>
    <w:p>
      <w:pPr>
        <w:pStyle w:val="3"/>
        <w:bidi w:val="0"/>
        <w:rPr>
          <w:rFonts w:hint="eastAsia"/>
          <w:lang w:val="en-US" w:eastAsia="zh-CN"/>
        </w:rPr>
      </w:pPr>
      <w:bookmarkStart w:id="684" w:name="_Toc4090"/>
      <w:bookmarkStart w:id="685" w:name="_Toc21706"/>
      <w:bookmarkStart w:id="686" w:name="_Toc28206"/>
      <w:r>
        <w:rPr>
          <w:rFonts w:hint="eastAsia"/>
          <w:lang w:val="en-US" w:eastAsia="zh-CN"/>
        </w:rPr>
        <w:t>第二节  制定产业指导目录</w:t>
      </w:r>
      <w:bookmarkEnd w:id="684"/>
      <w:bookmarkEnd w:id="685"/>
      <w:bookmarkEnd w:id="686"/>
    </w:p>
    <w:p>
      <w:pPr>
        <w:pStyle w:val="5"/>
        <w:numPr>
          <w:ilvl w:val="0"/>
          <w:numId w:val="56"/>
        </w:numPr>
        <w:bidi w:val="0"/>
        <w:ind w:left="0" w:leftChars="0" w:firstLine="400" w:firstLineChars="0"/>
        <w:rPr>
          <w:rFonts w:hint="default"/>
          <w:lang w:val="en-US" w:eastAsia="zh-CN"/>
        </w:rPr>
      </w:pPr>
      <w:bookmarkStart w:id="687" w:name="_Toc28976"/>
      <w:bookmarkStart w:id="688" w:name="_Toc29124"/>
      <w:r>
        <w:rPr>
          <w:rFonts w:hint="default"/>
          <w:lang w:val="en-US" w:eastAsia="zh-CN"/>
        </w:rPr>
        <w:t>制定产业招商指导目录</w:t>
      </w:r>
      <w:bookmarkEnd w:id="687"/>
      <w:bookmarkEnd w:id="688"/>
    </w:p>
    <w:p>
      <w:pPr>
        <w:rPr>
          <w:rFonts w:hint="eastAsia"/>
          <w:lang w:val="en-US" w:eastAsia="zh-CN"/>
        </w:rPr>
      </w:pPr>
      <w:r>
        <w:rPr>
          <w:rFonts w:hint="eastAsia"/>
          <w:lang w:val="en-US" w:eastAsia="zh-CN"/>
        </w:rPr>
        <w:t>依据《海南省产业准入禁止限制目录（2019年版）》制定崖州产业发展负面清单，根据海南自由贸易港《产业结构调整指导目录（2019年本）》《鼓励外商投资产业目录（2019年版）》和海南自由贸易港新增鼓励类产业目录，围绕崖州打造“两主导+两优势+两新兴”产业体系结构，制定重点优先引入产业清单，鼓励</w:t>
      </w:r>
      <w:r>
        <w:rPr>
          <w:rFonts w:hint="default"/>
          <w:lang w:val="en-US" w:eastAsia="zh-CN"/>
        </w:rPr>
        <w:t>热带</w:t>
      </w:r>
      <w:r>
        <w:rPr>
          <w:rFonts w:hint="eastAsia"/>
          <w:lang w:val="en-US" w:eastAsia="zh-CN"/>
        </w:rPr>
        <w:t>特色高效</w:t>
      </w:r>
      <w:r>
        <w:rPr>
          <w:rFonts w:hint="default"/>
          <w:lang w:val="en-US" w:eastAsia="zh-CN"/>
        </w:rPr>
        <w:t>农业</w:t>
      </w:r>
      <w:r>
        <w:rPr>
          <w:rFonts w:hint="eastAsia"/>
          <w:lang w:val="en-US" w:eastAsia="zh-CN"/>
        </w:rPr>
        <w:t>项目</w:t>
      </w:r>
      <w:r>
        <w:rPr>
          <w:rFonts w:hint="default"/>
          <w:lang w:val="en-US" w:eastAsia="zh-CN"/>
        </w:rPr>
        <w:t>、</w:t>
      </w:r>
      <w:r>
        <w:rPr>
          <w:rFonts w:hint="eastAsia"/>
          <w:lang w:val="en-US" w:eastAsia="zh-CN"/>
        </w:rPr>
        <w:t>目的地式</w:t>
      </w:r>
      <w:r>
        <w:rPr>
          <w:rFonts w:hint="default"/>
          <w:lang w:val="en-US" w:eastAsia="zh-CN"/>
        </w:rPr>
        <w:t>旅游</w:t>
      </w:r>
      <w:r>
        <w:rPr>
          <w:rFonts w:hint="eastAsia"/>
          <w:lang w:val="en-US" w:eastAsia="zh-CN"/>
        </w:rPr>
        <w:t>项目、</w:t>
      </w:r>
      <w:r>
        <w:rPr>
          <w:rFonts w:hint="default"/>
          <w:lang w:val="en-US" w:eastAsia="zh-CN"/>
        </w:rPr>
        <w:t>现代渔业</w:t>
      </w:r>
      <w:r>
        <w:rPr>
          <w:rFonts w:hint="eastAsia"/>
          <w:lang w:val="en-US" w:eastAsia="zh-CN"/>
        </w:rPr>
        <w:t>养殖项目</w:t>
      </w:r>
      <w:r>
        <w:rPr>
          <w:rFonts w:hint="default"/>
          <w:lang w:val="en-US" w:eastAsia="zh-CN"/>
        </w:rPr>
        <w:t>、</w:t>
      </w:r>
      <w:r>
        <w:rPr>
          <w:rFonts w:hint="eastAsia"/>
          <w:lang w:val="en-US" w:eastAsia="zh-CN"/>
        </w:rPr>
        <w:t>冷链物流项目、农产品电子商务项目、</w:t>
      </w:r>
      <w:r>
        <w:rPr>
          <w:rFonts w:hint="default"/>
          <w:lang w:val="en-US" w:eastAsia="zh-CN"/>
        </w:rPr>
        <w:t>农渔产品</w:t>
      </w:r>
      <w:r>
        <w:rPr>
          <w:rFonts w:hint="eastAsia"/>
          <w:lang w:val="en-US" w:eastAsia="zh-CN"/>
        </w:rPr>
        <w:t>精深加工项目</w:t>
      </w:r>
      <w:r>
        <w:rPr>
          <w:rFonts w:hint="default"/>
          <w:lang w:val="en-US" w:eastAsia="zh-CN"/>
        </w:rPr>
        <w:t>、绿色高端制造</w:t>
      </w:r>
      <w:r>
        <w:rPr>
          <w:rFonts w:hint="eastAsia"/>
          <w:lang w:val="en-US" w:eastAsia="zh-CN"/>
        </w:rPr>
        <w:t>项目落户崖州。</w:t>
      </w:r>
    </w:p>
    <w:p>
      <w:pPr>
        <w:pStyle w:val="5"/>
        <w:numPr>
          <w:ilvl w:val="0"/>
          <w:numId w:val="56"/>
        </w:numPr>
        <w:bidi w:val="0"/>
        <w:ind w:left="0" w:leftChars="0" w:firstLine="400" w:firstLineChars="0"/>
        <w:rPr>
          <w:rFonts w:hint="default"/>
          <w:lang w:val="en-US" w:eastAsia="zh-CN"/>
        </w:rPr>
      </w:pPr>
      <w:bookmarkStart w:id="689" w:name="_Toc11348"/>
      <w:bookmarkStart w:id="690" w:name="_Toc28114"/>
      <w:r>
        <w:rPr>
          <w:rFonts w:hint="eastAsia"/>
          <w:lang w:val="en-US" w:eastAsia="zh-CN"/>
        </w:rPr>
        <w:t>坚决把生态环境保护作为产业发展的前提</w:t>
      </w:r>
      <w:bookmarkEnd w:id="689"/>
      <w:bookmarkEnd w:id="690"/>
    </w:p>
    <w:p>
      <w:pPr>
        <w:rPr>
          <w:rFonts w:hint="default"/>
          <w:lang w:val="en-US" w:eastAsia="zh-CN"/>
        </w:rPr>
      </w:pPr>
      <w:r>
        <w:rPr>
          <w:rFonts w:hint="eastAsia"/>
          <w:lang w:val="en-US" w:eastAsia="zh-CN"/>
        </w:rPr>
        <w:t>严格执行产业项目进入环境影响评价，实行严格的环评一票否决制，</w:t>
      </w:r>
      <w:r>
        <w:rPr>
          <w:rFonts w:hint="default"/>
          <w:lang w:val="en-US" w:eastAsia="zh-CN"/>
        </w:rPr>
        <w:t>坚决把生态环境保护作为产业发展</w:t>
      </w:r>
      <w:r>
        <w:rPr>
          <w:rFonts w:hint="eastAsia"/>
          <w:lang w:val="en-US" w:eastAsia="zh-CN"/>
        </w:rPr>
        <w:t>的</w:t>
      </w:r>
      <w:r>
        <w:rPr>
          <w:rFonts w:hint="default"/>
          <w:lang w:val="en-US" w:eastAsia="zh-CN"/>
        </w:rPr>
        <w:t>前提</w:t>
      </w:r>
      <w:r>
        <w:rPr>
          <w:rFonts w:hint="eastAsia"/>
          <w:lang w:val="en-US" w:eastAsia="zh-CN"/>
        </w:rPr>
        <w:t>条件。</w:t>
      </w:r>
      <w:r>
        <w:rPr>
          <w:rFonts w:hint="default"/>
          <w:lang w:val="en-US" w:eastAsia="zh-CN"/>
        </w:rPr>
        <w:t>保护好生态环境这个最大优势和最大本钱，全面践行绿水青山就是金山银山的发展道路，推进</w:t>
      </w:r>
      <w:r>
        <w:rPr>
          <w:rFonts w:hint="eastAsia"/>
          <w:lang w:val="en-US" w:eastAsia="zh-CN"/>
        </w:rPr>
        <w:t>产业结构向</w:t>
      </w:r>
      <w:r>
        <w:rPr>
          <w:rFonts w:hint="default"/>
          <w:lang w:val="en-US" w:eastAsia="zh-CN"/>
        </w:rPr>
        <w:t>绿色、低碳、循环可持续</w:t>
      </w:r>
      <w:r>
        <w:rPr>
          <w:rFonts w:hint="eastAsia"/>
          <w:lang w:val="en-US" w:eastAsia="zh-CN"/>
        </w:rPr>
        <w:t>的方向</w:t>
      </w:r>
      <w:r>
        <w:rPr>
          <w:rFonts w:hint="default"/>
          <w:lang w:val="en-US" w:eastAsia="zh-CN"/>
        </w:rPr>
        <w:t>发展，确保生态环境只能更好、不能变差。加强农业面源污染防治，有效管控种植业污染，实施农药化肥减施行动，提高农膜回收治理率和农药包装废弃物回收率。实施畜禽养殖场排污整治和集中处理改造，引入有机肥工厂，构建循环经济模式。</w:t>
      </w:r>
      <w:r>
        <w:rPr>
          <w:rFonts w:hint="eastAsia"/>
          <w:lang w:val="en-US" w:eastAsia="zh-CN"/>
        </w:rPr>
        <w:t>积极发展工厂化循环水养殖，构建“园区+养殖户+技术单位+市场”水产共同体，推动水产养殖技术和生产组织模式转型升级，推进水产养殖向生态、集约、高效转变。严格执行坡度25度以上耕地退耕还林政策，引导芒果等水果种植基地优化布局发展。</w:t>
      </w:r>
    </w:p>
    <w:p>
      <w:pPr>
        <w:pStyle w:val="3"/>
        <w:bidi w:val="0"/>
        <w:rPr>
          <w:rFonts w:hint="eastAsia"/>
          <w:lang w:val="en-US" w:eastAsia="zh-CN"/>
        </w:rPr>
      </w:pPr>
      <w:bookmarkStart w:id="691" w:name="_Toc26704"/>
      <w:bookmarkStart w:id="692" w:name="_Toc10400"/>
      <w:r>
        <w:rPr>
          <w:rFonts w:hint="eastAsia"/>
          <w:lang w:val="en-US" w:eastAsia="zh-CN"/>
        </w:rPr>
        <w:t>第三节  创新产业发展和招商引资工作机制</w:t>
      </w:r>
      <w:bookmarkEnd w:id="691"/>
      <w:bookmarkEnd w:id="692"/>
    </w:p>
    <w:p>
      <w:pPr>
        <w:pStyle w:val="5"/>
        <w:numPr>
          <w:ilvl w:val="0"/>
          <w:numId w:val="57"/>
        </w:numPr>
        <w:bidi w:val="0"/>
        <w:ind w:left="0" w:leftChars="0" w:firstLine="400" w:firstLineChars="0"/>
        <w:rPr>
          <w:rFonts w:hint="eastAsia"/>
          <w:lang w:val="en-US" w:eastAsia="zh-CN"/>
        </w:rPr>
      </w:pPr>
      <w:bookmarkStart w:id="693" w:name="_Toc13191"/>
      <w:bookmarkStart w:id="694" w:name="_Toc3848"/>
      <w:r>
        <w:rPr>
          <w:rFonts w:hint="eastAsia"/>
          <w:lang w:val="en-US" w:eastAsia="zh-CN"/>
        </w:rPr>
        <w:t>成立崖州区产业发展领导小组</w:t>
      </w:r>
      <w:bookmarkEnd w:id="693"/>
      <w:bookmarkEnd w:id="694"/>
    </w:p>
    <w:p>
      <w:pPr>
        <w:rPr>
          <w:rFonts w:hint="default"/>
          <w:lang w:val="en-US" w:eastAsia="zh-CN"/>
        </w:rPr>
      </w:pPr>
      <w:r>
        <w:rPr>
          <w:rFonts w:hint="eastAsia"/>
          <w:lang w:val="en-US" w:eastAsia="zh-CN"/>
        </w:rPr>
        <w:t>筹划组建崖州区产业发展政府领导小组，牵头发挥统筹协调职能，推进产业筹备与落地工作。在结构上，崖州区产业发展领导小组由区委区政府牵头组建，向区委区政府直接汇报工作，通过定期会议沟通机制与崖州区各部门、平台公司、科技城及其他相关机构协同办公。在职能上，崖州区产业发展领导小组统筹全区产业资源，积极落实自贸港政策红利，最大程度争取省市产业资源，对拟建农产品加工产业园、工厂化水产养殖基地、主题乐园旅游区、角头湾沙滩运动公园等园区指导工作，制定产业实施路线图，推动项目落地。</w:t>
      </w:r>
    </w:p>
    <w:p>
      <w:pPr>
        <w:pStyle w:val="5"/>
        <w:numPr>
          <w:ilvl w:val="0"/>
          <w:numId w:val="57"/>
        </w:numPr>
        <w:bidi w:val="0"/>
        <w:ind w:left="0" w:leftChars="0" w:firstLine="400" w:firstLineChars="0"/>
        <w:rPr>
          <w:rFonts w:hint="default"/>
          <w:lang w:val="en-US" w:eastAsia="zh-CN"/>
        </w:rPr>
      </w:pPr>
      <w:bookmarkStart w:id="695" w:name="_Toc29130"/>
      <w:bookmarkStart w:id="696" w:name="_Toc14476"/>
      <w:r>
        <w:rPr>
          <w:rFonts w:hint="eastAsia"/>
          <w:lang w:val="en-US" w:eastAsia="zh-CN"/>
        </w:rPr>
        <w:t>成立崖州区产业发展平台公司</w:t>
      </w:r>
      <w:bookmarkEnd w:id="695"/>
      <w:bookmarkEnd w:id="696"/>
    </w:p>
    <w:p>
      <w:pPr>
        <w:rPr>
          <w:rFonts w:hint="eastAsia"/>
          <w:lang w:val="en-US" w:eastAsia="zh-CN"/>
        </w:rPr>
      </w:pPr>
      <w:r>
        <w:rPr>
          <w:rFonts w:hint="eastAsia"/>
          <w:lang w:val="en-US" w:eastAsia="zh-CN"/>
        </w:rPr>
        <w:t>在崖州区产业发展领导小组的直接领导下，成立崖州区产业发展平台公司，负责拟建农产品加工产业园、工厂化水产养殖基地、主题乐园旅游区、角头湾沙滩运动公园等园区的规划落地、土地一级开发、基本建设、运营管理、招商引资、企业服务等工作。平台公司在自贸港政策指导下，广泛与社会资本、产业集团、专业化园区运营商开展合作，引入专业化、国际化运营管理团队，设定长效激励机制，实行专业的市场化、企业化管理，统领全区产业园区基地建设发展，形成集聚产业发展的合力。崖州区产业发展领导小组扮演好政府角色，行使好政策引导和督促监督职能，做好产业优惠政策、招商指导目录、土地供给、征地协调、环保监督等职能。</w:t>
      </w:r>
    </w:p>
    <w:p>
      <w:pPr>
        <w:pStyle w:val="5"/>
        <w:numPr>
          <w:ilvl w:val="0"/>
          <w:numId w:val="57"/>
        </w:numPr>
        <w:bidi w:val="0"/>
        <w:ind w:left="0" w:leftChars="0" w:firstLine="400" w:firstLineChars="0"/>
        <w:rPr>
          <w:rFonts w:hint="default"/>
          <w:lang w:val="en-US" w:eastAsia="zh-CN"/>
        </w:rPr>
      </w:pPr>
      <w:bookmarkStart w:id="697" w:name="_Toc20473"/>
      <w:bookmarkStart w:id="698" w:name="_Toc28992"/>
      <w:r>
        <w:rPr>
          <w:rFonts w:hint="eastAsia"/>
          <w:lang w:val="en-US" w:eastAsia="zh-CN"/>
        </w:rPr>
        <w:t>创新招商引资合作模式</w:t>
      </w:r>
      <w:bookmarkEnd w:id="697"/>
      <w:bookmarkEnd w:id="698"/>
    </w:p>
    <w:p>
      <w:pPr>
        <w:rPr>
          <w:rFonts w:hint="default"/>
          <w:lang w:val="en-US" w:eastAsia="zh-CN"/>
        </w:rPr>
      </w:pPr>
      <w:r>
        <w:rPr>
          <w:rFonts w:hint="eastAsia"/>
          <w:lang w:val="en-US" w:eastAsia="zh-CN"/>
        </w:rPr>
        <w:t>探索嫁接引入外部招商团队和专业化招商平台，</w:t>
      </w:r>
      <w:r>
        <w:rPr>
          <w:rFonts w:hint="default"/>
          <w:lang w:val="en-US" w:eastAsia="zh-CN"/>
        </w:rPr>
        <w:t>编织</w:t>
      </w:r>
      <w:r>
        <w:rPr>
          <w:rFonts w:hint="eastAsia"/>
          <w:lang w:val="en-US" w:eastAsia="zh-CN"/>
        </w:rPr>
        <w:t>面向大湾区、覆盖全国、辐射全球的</w:t>
      </w:r>
      <w:r>
        <w:rPr>
          <w:rFonts w:hint="default"/>
          <w:lang w:val="en-US" w:eastAsia="zh-CN"/>
        </w:rPr>
        <w:t>招商网络</w:t>
      </w:r>
      <w:r>
        <w:rPr>
          <w:rFonts w:hint="eastAsia"/>
          <w:lang w:val="en-US" w:eastAsia="zh-CN"/>
        </w:rPr>
        <w:t>。</w:t>
      </w:r>
      <w:r>
        <w:rPr>
          <w:rFonts w:hint="default"/>
          <w:lang w:val="en-US" w:eastAsia="zh-CN"/>
        </w:rPr>
        <w:t>组建跨领域（崖州湾科技城）、跨部门（与产业发展有关部门）的</w:t>
      </w:r>
      <w:r>
        <w:rPr>
          <w:rFonts w:hint="eastAsia"/>
          <w:lang w:val="en-US" w:eastAsia="zh-CN"/>
        </w:rPr>
        <w:t>招商工作团队</w:t>
      </w:r>
      <w:r>
        <w:rPr>
          <w:rFonts w:hint="default"/>
          <w:lang w:val="en-US" w:eastAsia="zh-CN"/>
        </w:rPr>
        <w:t>，针对重大项目进行一对一上门对接，建立重大项目审批“绿色通道”，打通从项目接洽、审核批准、开工建设到运营管理“一站式”服务链。加强与旅游消费、高新技术、热带农业、现代渔业、冷链物流、电子商务、主题乐园、体育旅游等领域中具备较强影响力的全球行业协会、商业组织、产业联盟等合作。提升道路交通基础设施支撑能力，实施225国道崖州境内全线改造提升工程，满足未来旅游业、临港经济发展的交通需求。</w:t>
      </w:r>
    </w:p>
    <w:p>
      <w:pPr>
        <w:pStyle w:val="3"/>
        <w:bidi w:val="0"/>
        <w:rPr>
          <w:rFonts w:hint="eastAsia"/>
          <w:lang w:val="en-US" w:eastAsia="zh-CN"/>
        </w:rPr>
      </w:pPr>
      <w:bookmarkStart w:id="699" w:name="_Toc16509"/>
      <w:bookmarkStart w:id="700" w:name="_Toc1289"/>
      <w:bookmarkStart w:id="701" w:name="_Toc24148"/>
      <w:r>
        <w:rPr>
          <w:rFonts w:hint="eastAsia"/>
          <w:lang w:val="en-US" w:eastAsia="zh-CN"/>
        </w:rPr>
        <w:t>第四节  保障产业用地供给</w:t>
      </w:r>
      <w:bookmarkEnd w:id="699"/>
      <w:bookmarkEnd w:id="700"/>
      <w:bookmarkEnd w:id="701"/>
    </w:p>
    <w:p>
      <w:pPr>
        <w:rPr>
          <w:rFonts w:hint="default"/>
          <w:lang w:val="en-US" w:eastAsia="zh-CN"/>
        </w:rPr>
      </w:pPr>
      <w:r>
        <w:rPr>
          <w:rFonts w:hint="eastAsia"/>
          <w:lang w:val="en-US" w:eastAsia="zh-CN"/>
        </w:rPr>
        <w:t>在符合各级各类国土空间规划的前提下，做好产业用地供给，积极推进农村土地制度改革，在村庄规划中预留产业发展空间。</w:t>
      </w:r>
    </w:p>
    <w:p>
      <w:pPr>
        <w:pStyle w:val="5"/>
        <w:numPr>
          <w:ilvl w:val="0"/>
          <w:numId w:val="58"/>
        </w:numPr>
        <w:bidi w:val="0"/>
        <w:ind w:left="0" w:leftChars="0" w:firstLine="400" w:firstLineChars="0"/>
        <w:rPr>
          <w:rFonts w:hint="eastAsia"/>
          <w:lang w:val="en-US" w:eastAsia="zh-CN"/>
        </w:rPr>
      </w:pPr>
      <w:bookmarkStart w:id="702" w:name="_Toc20996"/>
      <w:bookmarkStart w:id="703" w:name="_Toc4206"/>
      <w:bookmarkStart w:id="704" w:name="_Toc12907"/>
      <w:bookmarkStart w:id="705" w:name="_Toc18930233"/>
      <w:r>
        <w:rPr>
          <w:rFonts w:hint="eastAsia"/>
          <w:lang w:val="en-US" w:eastAsia="zh-CN"/>
        </w:rPr>
        <w:t>在村庄规划中统筹做好产业项目用地供给</w:t>
      </w:r>
      <w:bookmarkEnd w:id="702"/>
      <w:bookmarkEnd w:id="703"/>
      <w:bookmarkEnd w:id="704"/>
    </w:p>
    <w:p>
      <w:pPr>
        <w:rPr>
          <w:rFonts w:hint="eastAsia"/>
          <w:lang w:val="en-US" w:eastAsia="zh-CN"/>
        </w:rPr>
      </w:pPr>
      <w:r>
        <w:rPr>
          <w:rFonts w:hint="eastAsia"/>
          <w:lang w:val="en-US" w:eastAsia="zh-CN"/>
        </w:rPr>
        <w:t>在全区村庄规划编制中，根据各村产业发展指引，适当留出产业用地，统筹做好建设用地未来发展留白空间，为服务业、制造业招商引资预留建设用地，全区整体考虑建设用地指标用于单独选址的大型主题乐园、文化旅游、体育旅游、商贸物流等重点项目。初步测算，重点谋划项目初期阶段需新增600亩建设用地和14处点状用地，少量农村集体建设用地及地上建筑设施，农业示范项目利用已有农业用地。</w:t>
      </w:r>
    </w:p>
    <w:p>
      <w:pPr>
        <w:ind w:left="0" w:leftChars="0" w:firstLine="0" w:firstLineChars="0"/>
        <w:jc w:val="center"/>
        <w:rPr>
          <w:rFonts w:hint="default" w:ascii="楷体" w:hAnsi="楷体" w:eastAsia="楷体" w:cs="楷体"/>
          <w:b w:val="0"/>
          <w:bCs w:val="0"/>
          <w:sz w:val="28"/>
          <w:szCs w:val="28"/>
          <w:highlight w:val="none"/>
          <w:lang w:val="en-US" w:eastAsia="zh-CN"/>
        </w:rPr>
      </w:pPr>
      <w:r>
        <w:rPr>
          <w:rFonts w:hint="eastAsia" w:ascii="楷体" w:hAnsi="楷体" w:eastAsia="楷体" w:cs="楷体"/>
          <w:b w:val="0"/>
          <w:bCs w:val="0"/>
          <w:sz w:val="28"/>
          <w:szCs w:val="28"/>
          <w:highlight w:val="none"/>
          <w:lang w:val="en-US" w:eastAsia="zh-CN"/>
        </w:rPr>
        <w:t>表37  重点谋划项目用地需求</w:t>
      </w:r>
    </w:p>
    <w:tbl>
      <w:tblPr>
        <w:tblStyle w:val="18"/>
        <w:tblW w:w="5000" w:type="pct"/>
        <w:jc w:val="center"/>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05"/>
        <w:gridCol w:w="2672"/>
        <w:gridCol w:w="2672"/>
        <w:gridCol w:w="2673"/>
      </w:tblGrid>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 w:hRule="atLeast"/>
          <w:tblHeader/>
          <w:jc w:val="center"/>
        </w:trPr>
        <w:tc>
          <w:tcPr>
            <w:tcW w:w="505"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iCs w:val="0"/>
                <w:color w:val="000000"/>
                <w:kern w:val="2"/>
                <w:sz w:val="24"/>
                <w:szCs w:val="24"/>
                <w:u w:val="none"/>
                <w:lang w:val="en-US" w:eastAsia="zh-CN" w:bidi="ar"/>
              </w:rPr>
            </w:pPr>
          </w:p>
        </w:tc>
        <w:tc>
          <w:tcPr>
            <w:tcW w:w="2672"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十大重点谋划项目</w:t>
            </w:r>
          </w:p>
        </w:tc>
        <w:tc>
          <w:tcPr>
            <w:tcW w:w="2672"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用地需求</w:t>
            </w:r>
          </w:p>
        </w:tc>
        <w:tc>
          <w:tcPr>
            <w:tcW w:w="2673"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楷体" w:hAnsi="楷体" w:eastAsia="楷体" w:cs="楷体"/>
                <w:b/>
                <w:bCs/>
                <w:i w:val="0"/>
                <w:iCs w:val="0"/>
                <w:color w:val="000000"/>
                <w:kern w:val="2"/>
                <w:sz w:val="24"/>
                <w:szCs w:val="24"/>
                <w:u w:val="none"/>
                <w:lang w:val="en-US" w:eastAsia="zh-CN" w:bidi="ar"/>
              </w:rPr>
            </w:pPr>
            <w:r>
              <w:rPr>
                <w:rFonts w:hint="eastAsia" w:ascii="楷体" w:hAnsi="楷体" w:eastAsia="楷体" w:cs="楷体"/>
                <w:b/>
                <w:bCs/>
                <w:i w:val="0"/>
                <w:iCs w:val="0"/>
                <w:color w:val="000000"/>
                <w:kern w:val="2"/>
                <w:sz w:val="24"/>
                <w:szCs w:val="24"/>
                <w:u w:val="none"/>
                <w:lang w:val="en-US" w:eastAsia="zh-CN" w:bidi="ar"/>
              </w:rPr>
              <w:t>备注说明</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 w:hRule="atLeast"/>
          <w:jc w:val="center"/>
        </w:trPr>
        <w:tc>
          <w:tcPr>
            <w:tcW w:w="505" w:type="dxa"/>
            <w:vAlign w:val="top"/>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w:t>
            </w:r>
          </w:p>
        </w:tc>
        <w:tc>
          <w:tcPr>
            <w:tcW w:w="2672" w:type="dxa"/>
            <w:vAlign w:val="top"/>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default" w:ascii="楷体" w:hAnsi="楷体" w:eastAsia="楷体" w:cs="楷体"/>
                <w:b w:val="0"/>
                <w:bCs w:val="0"/>
                <w:i w:val="0"/>
                <w:iCs w:val="0"/>
                <w:color w:val="000000"/>
                <w:kern w:val="2"/>
                <w:sz w:val="24"/>
                <w:szCs w:val="24"/>
                <w:u w:val="none"/>
                <w:lang w:val="en-US" w:eastAsia="zh-CN" w:bidi="ar"/>
              </w:rPr>
              <w:t>万亩冬季瓜菜标准化生产基地项目</w:t>
            </w:r>
          </w:p>
        </w:tc>
        <w:tc>
          <w:tcPr>
            <w:tcW w:w="267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default" w:ascii="楷体" w:hAnsi="楷体" w:eastAsia="楷体" w:cs="楷体"/>
                <w:b w:val="0"/>
                <w:bCs w:val="0"/>
                <w:i w:val="0"/>
                <w:iCs w:val="0"/>
                <w:color w:val="000000"/>
                <w:kern w:val="2"/>
                <w:sz w:val="24"/>
                <w:szCs w:val="24"/>
                <w:u w:val="none"/>
                <w:lang w:val="en-US" w:eastAsia="zh-CN" w:bidi="ar"/>
              </w:rPr>
              <w:t>1万亩相对连片、稳定种植的农业用地</w:t>
            </w:r>
          </w:p>
        </w:tc>
        <w:tc>
          <w:tcPr>
            <w:tcW w:w="2673"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以农业用地为主，配合少量点状用地</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 w:hRule="atLeast"/>
          <w:jc w:val="center"/>
        </w:trPr>
        <w:tc>
          <w:tcPr>
            <w:tcW w:w="505" w:type="dxa"/>
            <w:vAlign w:val="top"/>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2</w:t>
            </w:r>
          </w:p>
        </w:tc>
        <w:tc>
          <w:tcPr>
            <w:tcW w:w="2672" w:type="dxa"/>
            <w:vAlign w:val="top"/>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default" w:ascii="楷体" w:hAnsi="楷体" w:eastAsia="楷体" w:cs="楷体"/>
                <w:b w:val="0"/>
                <w:bCs w:val="0"/>
                <w:i w:val="0"/>
                <w:iCs w:val="0"/>
                <w:color w:val="000000"/>
                <w:kern w:val="2"/>
                <w:sz w:val="24"/>
                <w:szCs w:val="24"/>
                <w:u w:val="none"/>
                <w:lang w:val="en-US" w:eastAsia="zh-CN" w:bidi="ar"/>
              </w:rPr>
              <w:t>千亩常年蔬菜骨干基地项目（“菜篮子”基地）</w:t>
            </w:r>
          </w:p>
        </w:tc>
        <w:tc>
          <w:tcPr>
            <w:tcW w:w="267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10</w:t>
            </w:r>
            <w:r>
              <w:rPr>
                <w:rFonts w:hint="default" w:ascii="楷体" w:hAnsi="楷体" w:eastAsia="楷体" w:cs="楷体"/>
                <w:b w:val="0"/>
                <w:bCs w:val="0"/>
                <w:i w:val="0"/>
                <w:iCs w:val="0"/>
                <w:color w:val="000000"/>
                <w:kern w:val="2"/>
                <w:sz w:val="24"/>
                <w:szCs w:val="24"/>
                <w:u w:val="none"/>
                <w:lang w:val="en-US" w:eastAsia="zh-CN" w:bidi="ar"/>
              </w:rPr>
              <w:t>00亩农业用地</w:t>
            </w:r>
          </w:p>
        </w:tc>
        <w:tc>
          <w:tcPr>
            <w:tcW w:w="2673"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default" w:ascii="楷体" w:hAnsi="楷体" w:eastAsia="楷体" w:cs="楷体"/>
                <w:b w:val="0"/>
                <w:bCs w:val="0"/>
                <w:i w:val="0"/>
                <w:iCs w:val="0"/>
                <w:color w:val="000000"/>
                <w:kern w:val="2"/>
                <w:sz w:val="24"/>
                <w:szCs w:val="24"/>
                <w:u w:val="none"/>
                <w:lang w:val="en-US" w:eastAsia="zh-CN" w:bidi="ar"/>
              </w:rPr>
              <w:t>以农业用地为主，配合少量点状用地</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 w:hRule="atLeast"/>
          <w:jc w:val="center"/>
        </w:trPr>
        <w:tc>
          <w:tcPr>
            <w:tcW w:w="505" w:type="dxa"/>
            <w:vAlign w:val="top"/>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3</w:t>
            </w:r>
          </w:p>
        </w:tc>
        <w:tc>
          <w:tcPr>
            <w:tcW w:w="2672" w:type="dxa"/>
            <w:vAlign w:val="top"/>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default" w:ascii="楷体" w:hAnsi="楷体" w:eastAsia="楷体" w:cs="楷体"/>
                <w:b w:val="0"/>
                <w:bCs w:val="0"/>
                <w:i w:val="0"/>
                <w:iCs w:val="0"/>
                <w:color w:val="000000"/>
                <w:kern w:val="2"/>
                <w:sz w:val="24"/>
                <w:szCs w:val="24"/>
                <w:u w:val="none"/>
                <w:lang w:val="en-US" w:eastAsia="zh-CN" w:bidi="ar"/>
              </w:rPr>
              <w:t>热带水果出口种植示范基地</w:t>
            </w:r>
          </w:p>
        </w:tc>
        <w:tc>
          <w:tcPr>
            <w:tcW w:w="267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default" w:ascii="楷体" w:hAnsi="楷体" w:eastAsia="楷体" w:cs="楷体"/>
                <w:b w:val="0"/>
                <w:bCs w:val="0"/>
                <w:i w:val="0"/>
                <w:iCs w:val="0"/>
                <w:color w:val="000000"/>
                <w:kern w:val="2"/>
                <w:sz w:val="24"/>
                <w:szCs w:val="24"/>
                <w:u w:val="none"/>
                <w:lang w:val="en-US" w:eastAsia="zh-CN" w:bidi="ar"/>
              </w:rPr>
              <w:t>500亩芒果、500亩蜜瓜农业用地</w:t>
            </w:r>
          </w:p>
        </w:tc>
        <w:tc>
          <w:tcPr>
            <w:tcW w:w="2673"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default" w:ascii="楷体" w:hAnsi="楷体" w:eastAsia="楷体" w:cs="楷体"/>
                <w:b w:val="0"/>
                <w:bCs w:val="0"/>
                <w:i w:val="0"/>
                <w:iCs w:val="0"/>
                <w:color w:val="000000"/>
                <w:kern w:val="2"/>
                <w:sz w:val="24"/>
                <w:szCs w:val="24"/>
                <w:u w:val="none"/>
                <w:lang w:val="en-US" w:eastAsia="zh-CN" w:bidi="ar"/>
              </w:rPr>
              <w:t>以农业用地为主，配合少量点状用地</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 w:hRule="atLeast"/>
          <w:jc w:val="center"/>
        </w:trPr>
        <w:tc>
          <w:tcPr>
            <w:tcW w:w="505" w:type="dxa"/>
            <w:vAlign w:val="top"/>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4</w:t>
            </w:r>
          </w:p>
        </w:tc>
        <w:tc>
          <w:tcPr>
            <w:tcW w:w="2672" w:type="dxa"/>
            <w:vAlign w:val="top"/>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default" w:ascii="楷体" w:hAnsi="楷体" w:eastAsia="楷体" w:cs="楷体"/>
                <w:b w:val="0"/>
                <w:bCs w:val="0"/>
                <w:i w:val="0"/>
                <w:iCs w:val="0"/>
                <w:color w:val="000000"/>
                <w:kern w:val="2"/>
                <w:sz w:val="24"/>
                <w:szCs w:val="24"/>
                <w:u w:val="none"/>
                <w:lang w:val="en-US" w:eastAsia="zh-CN" w:bidi="ar"/>
              </w:rPr>
              <w:t>工厂化水产养殖基地项目</w:t>
            </w:r>
          </w:p>
        </w:tc>
        <w:tc>
          <w:tcPr>
            <w:tcW w:w="267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default" w:ascii="楷体" w:hAnsi="楷体" w:eastAsia="楷体" w:cs="楷体"/>
                <w:b w:val="0"/>
                <w:bCs w:val="0"/>
                <w:i w:val="0"/>
                <w:iCs w:val="0"/>
                <w:color w:val="000000"/>
                <w:kern w:val="2"/>
                <w:sz w:val="24"/>
                <w:szCs w:val="24"/>
                <w:u w:val="none"/>
                <w:lang w:val="en-US" w:eastAsia="zh-CN" w:bidi="ar"/>
              </w:rPr>
              <w:t>200亩农业用地</w:t>
            </w:r>
          </w:p>
        </w:tc>
        <w:tc>
          <w:tcPr>
            <w:tcW w:w="2673"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以农业用地为主，配合少量点状用地</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 w:hRule="atLeast"/>
          <w:jc w:val="center"/>
        </w:trPr>
        <w:tc>
          <w:tcPr>
            <w:tcW w:w="505" w:type="dxa"/>
            <w:vAlign w:val="top"/>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5</w:t>
            </w:r>
          </w:p>
        </w:tc>
        <w:tc>
          <w:tcPr>
            <w:tcW w:w="2672" w:type="dxa"/>
            <w:vAlign w:val="top"/>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default" w:ascii="楷体" w:hAnsi="楷体" w:eastAsia="楷体" w:cs="楷体"/>
                <w:b w:val="0"/>
                <w:bCs w:val="0"/>
                <w:i w:val="0"/>
                <w:iCs w:val="0"/>
                <w:color w:val="000000"/>
                <w:kern w:val="2"/>
                <w:sz w:val="24"/>
                <w:szCs w:val="24"/>
                <w:u w:val="none"/>
                <w:lang w:val="en-US" w:eastAsia="zh-CN" w:bidi="ar"/>
              </w:rPr>
              <w:t>大型网箱养殖工船项目</w:t>
            </w:r>
          </w:p>
        </w:tc>
        <w:tc>
          <w:tcPr>
            <w:tcW w:w="267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10亩建设用地（渔港后方已有存量建设用地）</w:t>
            </w:r>
          </w:p>
        </w:tc>
        <w:tc>
          <w:tcPr>
            <w:tcW w:w="2673"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在崖州中心渔港后方设置陆上整备基地</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 w:hRule="atLeast"/>
          <w:jc w:val="center"/>
        </w:trPr>
        <w:tc>
          <w:tcPr>
            <w:tcW w:w="505" w:type="dxa"/>
            <w:vAlign w:val="top"/>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6</w:t>
            </w:r>
          </w:p>
        </w:tc>
        <w:tc>
          <w:tcPr>
            <w:tcW w:w="2672" w:type="dxa"/>
            <w:vAlign w:val="top"/>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农产品加工产业园项目</w:t>
            </w:r>
          </w:p>
        </w:tc>
        <w:tc>
          <w:tcPr>
            <w:tcW w:w="267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100亩建设用地</w:t>
            </w:r>
          </w:p>
        </w:tc>
        <w:tc>
          <w:tcPr>
            <w:tcW w:w="2673"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新果树交易市场以西</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 w:hRule="atLeast"/>
          <w:jc w:val="center"/>
        </w:trPr>
        <w:tc>
          <w:tcPr>
            <w:tcW w:w="505" w:type="dxa"/>
            <w:vAlign w:val="top"/>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7</w:t>
            </w:r>
          </w:p>
        </w:tc>
        <w:tc>
          <w:tcPr>
            <w:tcW w:w="2672" w:type="dxa"/>
            <w:vAlign w:val="top"/>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主题乐园旅游区项目</w:t>
            </w:r>
          </w:p>
        </w:tc>
        <w:tc>
          <w:tcPr>
            <w:tcW w:w="267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500亩建设用地</w:t>
            </w:r>
          </w:p>
        </w:tc>
        <w:tc>
          <w:tcPr>
            <w:tcW w:w="2673"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形成规模后中</w:t>
            </w:r>
            <w:r>
              <w:rPr>
                <w:rFonts w:hint="default" w:ascii="楷体" w:hAnsi="楷体" w:eastAsia="楷体" w:cs="楷体"/>
                <w:b w:val="0"/>
                <w:bCs w:val="0"/>
                <w:i w:val="0"/>
                <w:iCs w:val="0"/>
                <w:color w:val="000000"/>
                <w:kern w:val="2"/>
                <w:sz w:val="24"/>
                <w:szCs w:val="24"/>
                <w:u w:val="none"/>
                <w:lang w:val="en-US" w:eastAsia="zh-CN" w:bidi="ar"/>
              </w:rPr>
              <w:t>远期</w:t>
            </w:r>
            <w:r>
              <w:rPr>
                <w:rFonts w:hint="eastAsia" w:ascii="楷体" w:hAnsi="楷体" w:eastAsia="楷体" w:cs="楷体"/>
                <w:b w:val="0"/>
                <w:bCs w:val="0"/>
                <w:i w:val="0"/>
                <w:iCs w:val="0"/>
                <w:color w:val="000000"/>
                <w:kern w:val="2"/>
                <w:sz w:val="24"/>
                <w:szCs w:val="24"/>
                <w:u w:val="none"/>
                <w:lang w:val="en-US" w:eastAsia="zh-CN" w:bidi="ar"/>
              </w:rPr>
              <w:t>需新增800</w:t>
            </w:r>
            <w:r>
              <w:rPr>
                <w:rFonts w:hint="default" w:ascii="楷体" w:hAnsi="楷体" w:eastAsia="楷体" w:cs="楷体"/>
                <w:b w:val="0"/>
                <w:bCs w:val="0"/>
                <w:i w:val="0"/>
                <w:iCs w:val="0"/>
                <w:color w:val="000000"/>
                <w:kern w:val="2"/>
                <w:sz w:val="24"/>
                <w:szCs w:val="24"/>
                <w:u w:val="none"/>
                <w:lang w:val="en-US" w:eastAsia="zh-CN" w:bidi="ar"/>
              </w:rPr>
              <w:t>亩建设用地</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 w:hRule="atLeast"/>
          <w:jc w:val="center"/>
        </w:trPr>
        <w:tc>
          <w:tcPr>
            <w:tcW w:w="505" w:type="dxa"/>
            <w:vAlign w:val="top"/>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8</w:t>
            </w:r>
          </w:p>
        </w:tc>
        <w:tc>
          <w:tcPr>
            <w:tcW w:w="2672" w:type="dxa"/>
            <w:vAlign w:val="top"/>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“南海之恋”旅拍公园项目</w:t>
            </w:r>
          </w:p>
        </w:tc>
        <w:tc>
          <w:tcPr>
            <w:tcW w:w="267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2处点状用地</w:t>
            </w:r>
          </w:p>
        </w:tc>
        <w:tc>
          <w:tcPr>
            <w:tcW w:w="2673"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利用少量农村集体建设用地及地上建筑设施</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 w:hRule="atLeast"/>
          <w:jc w:val="center"/>
        </w:trPr>
        <w:tc>
          <w:tcPr>
            <w:tcW w:w="505" w:type="dxa"/>
            <w:vAlign w:val="top"/>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9</w:t>
            </w:r>
          </w:p>
        </w:tc>
        <w:tc>
          <w:tcPr>
            <w:tcW w:w="2672" w:type="dxa"/>
            <w:vAlign w:val="top"/>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角头湾沙滩运动公园项目</w:t>
            </w:r>
          </w:p>
        </w:tc>
        <w:tc>
          <w:tcPr>
            <w:tcW w:w="267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2处点状用地</w:t>
            </w:r>
          </w:p>
        </w:tc>
        <w:tc>
          <w:tcPr>
            <w:tcW w:w="2673"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利用少量农村集体建设用地及地上建筑设施</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 w:hRule="atLeast"/>
          <w:jc w:val="center"/>
        </w:trPr>
        <w:tc>
          <w:tcPr>
            <w:tcW w:w="505" w:type="dxa"/>
            <w:vAlign w:val="top"/>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10</w:t>
            </w:r>
          </w:p>
        </w:tc>
        <w:tc>
          <w:tcPr>
            <w:tcW w:w="2672" w:type="dxa"/>
            <w:vAlign w:val="top"/>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“崖州八景”重现项目</w:t>
            </w:r>
          </w:p>
        </w:tc>
        <w:tc>
          <w:tcPr>
            <w:tcW w:w="2672"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10处点状用地</w:t>
            </w:r>
          </w:p>
        </w:tc>
        <w:tc>
          <w:tcPr>
            <w:tcW w:w="2673" w:type="dxa"/>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因地制宜利用</w:t>
            </w:r>
            <w:r>
              <w:rPr>
                <w:rFonts w:hint="default" w:ascii="楷体" w:hAnsi="楷体" w:eastAsia="楷体" w:cs="楷体"/>
                <w:b w:val="0"/>
                <w:bCs w:val="0"/>
                <w:i w:val="0"/>
                <w:iCs w:val="0"/>
                <w:color w:val="000000"/>
                <w:kern w:val="2"/>
                <w:sz w:val="24"/>
                <w:szCs w:val="24"/>
                <w:u w:val="none"/>
                <w:lang w:val="en-US" w:eastAsia="zh-CN" w:bidi="ar"/>
              </w:rPr>
              <w:t>少量点状用地</w:t>
            </w:r>
          </w:p>
        </w:tc>
      </w:tr>
      <w:tr>
        <w:tblPrEx>
          <w:tblBorders>
            <w:top w:val="thinThickSmallGap" w:color="A4A4A4" w:sz="12" w:space="0"/>
            <w:left w:val="single" w:color="auto" w:sz="4" w:space="0"/>
            <w:bottom w:val="thickThinSmallGap" w:color="A4A4A4"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 w:hRule="atLeast"/>
          <w:jc w:val="center"/>
        </w:trPr>
        <w:tc>
          <w:tcPr>
            <w:tcW w:w="3177" w:type="dxa"/>
            <w:gridSpan w:val="2"/>
            <w:vAlign w:val="top"/>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Chars="0"/>
              <w:jc w:val="center"/>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新增用地小计</w:t>
            </w:r>
          </w:p>
        </w:tc>
        <w:tc>
          <w:tcPr>
            <w:tcW w:w="5345" w:type="dxa"/>
            <w:gridSpan w:val="2"/>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楷体" w:hAnsi="楷体" w:eastAsia="楷体" w:cs="楷体"/>
                <w:b w:val="0"/>
                <w:bCs w:val="0"/>
                <w:i w:val="0"/>
                <w:iCs w:val="0"/>
                <w:color w:val="000000"/>
                <w:kern w:val="2"/>
                <w:sz w:val="24"/>
                <w:szCs w:val="24"/>
                <w:u w:val="none"/>
                <w:lang w:val="en-US" w:eastAsia="zh-CN" w:bidi="ar"/>
              </w:rPr>
            </w:pPr>
            <w:r>
              <w:rPr>
                <w:rFonts w:hint="eastAsia" w:ascii="楷体" w:hAnsi="楷体" w:eastAsia="楷体" w:cs="楷体"/>
                <w:b w:val="0"/>
                <w:bCs w:val="0"/>
                <w:i w:val="0"/>
                <w:iCs w:val="0"/>
                <w:color w:val="000000"/>
                <w:kern w:val="2"/>
                <w:sz w:val="24"/>
                <w:szCs w:val="24"/>
                <w:u w:val="none"/>
                <w:lang w:val="en-US" w:eastAsia="zh-CN" w:bidi="ar"/>
              </w:rPr>
              <w:t>600亩建设用地和14处点状用地</w:t>
            </w:r>
          </w:p>
        </w:tc>
      </w:tr>
      <w:bookmarkEnd w:id="705"/>
    </w:tbl>
    <w:p>
      <w:pPr>
        <w:pStyle w:val="5"/>
        <w:numPr>
          <w:ilvl w:val="0"/>
          <w:numId w:val="58"/>
        </w:numPr>
        <w:bidi w:val="0"/>
        <w:ind w:left="0" w:leftChars="0" w:firstLine="400" w:firstLineChars="0"/>
        <w:rPr>
          <w:rFonts w:hint="eastAsia"/>
          <w:lang w:val="en-US" w:eastAsia="zh-CN"/>
        </w:rPr>
      </w:pPr>
      <w:bookmarkStart w:id="706" w:name="_Toc9248"/>
      <w:bookmarkStart w:id="707" w:name="_Toc12928"/>
      <w:bookmarkStart w:id="708" w:name="_Toc22703"/>
      <w:bookmarkStart w:id="709" w:name="_Toc27950"/>
      <w:bookmarkStart w:id="710" w:name="_Toc18930234"/>
      <w:bookmarkStart w:id="711" w:name="_Toc1686"/>
      <w:bookmarkStart w:id="712" w:name="_Toc17547"/>
      <w:r>
        <w:rPr>
          <w:rFonts w:hint="eastAsia"/>
          <w:lang w:val="en-US" w:eastAsia="zh-CN"/>
        </w:rPr>
        <w:t>持续推进农村土地制度改革</w:t>
      </w:r>
      <w:bookmarkEnd w:id="706"/>
      <w:bookmarkEnd w:id="707"/>
      <w:bookmarkEnd w:id="708"/>
    </w:p>
    <w:p>
      <w:pPr>
        <w:rPr>
          <w:rFonts w:hint="eastAsia"/>
          <w:lang w:val="en-US" w:eastAsia="zh-CN"/>
        </w:rPr>
      </w:pPr>
      <w:r>
        <w:rPr>
          <w:rFonts w:hint="eastAsia"/>
          <w:lang w:val="en-US" w:eastAsia="zh-CN"/>
        </w:rPr>
        <w:t>落实集体所有权，稳定农户承包权，放活土地经营权，用好海南“三块地”(农村土地征收、集体经营性建设用地入市、宅基地改革)改革、点状用地改革等政策，释放崖州区农村集体建设用地存量潜力，积极推进集体经营性建设用地入市、方便乡村旅游配套设施用地供应，积极盘活闲置农村宅基地、打造共享农庄，积极挖掘点状用地、灵活乡村旅游用地供地方式，借助农村土地制度改革培育壮大村集体组织经营管理能力。</w:t>
      </w:r>
    </w:p>
    <w:p>
      <w:pPr>
        <w:pStyle w:val="5"/>
        <w:numPr>
          <w:ilvl w:val="0"/>
          <w:numId w:val="58"/>
        </w:numPr>
        <w:bidi w:val="0"/>
        <w:ind w:left="0" w:leftChars="0" w:firstLine="400" w:firstLineChars="0"/>
        <w:rPr>
          <w:rFonts w:hint="eastAsia"/>
          <w:lang w:val="en-US" w:eastAsia="zh-CN"/>
        </w:rPr>
      </w:pPr>
      <w:r>
        <w:rPr>
          <w:rFonts w:hint="eastAsia"/>
          <w:lang w:val="en-US" w:eastAsia="zh-CN"/>
        </w:rPr>
        <w:t>深化农村集体产权制度改革</w:t>
      </w:r>
      <w:bookmarkEnd w:id="709"/>
      <w:bookmarkEnd w:id="710"/>
      <w:bookmarkEnd w:id="711"/>
      <w:bookmarkEnd w:id="712"/>
    </w:p>
    <w:p>
      <w:pPr>
        <w:rPr>
          <w:rFonts w:hint="eastAsia"/>
          <w:lang w:val="en-US" w:eastAsia="zh-CN"/>
        </w:rPr>
      </w:pPr>
      <w:r>
        <w:rPr>
          <w:rFonts w:hint="eastAsia"/>
          <w:lang w:val="en-US" w:eastAsia="zh-CN"/>
        </w:rPr>
        <w:t>开展农村集体产权制度改革工作，引导社会资本与集体经济组织在新的土地制度改革下开展深度合作，打破以往农民单纯以出租土地获取固定收益的单一局面，以土地作价入股的形式参与农村集体经济合作组织的股权治理，落实农民的集体收益分配权和对集体经济活动的民主管理权，实现“资源资产化、资产股权化、农民股东化”。</w:t>
      </w:r>
    </w:p>
    <w:p>
      <w:pPr>
        <w:pStyle w:val="5"/>
        <w:numPr>
          <w:ilvl w:val="0"/>
          <w:numId w:val="58"/>
        </w:numPr>
        <w:bidi w:val="0"/>
        <w:ind w:left="0" w:leftChars="0" w:firstLine="400" w:firstLineChars="0"/>
        <w:rPr>
          <w:rFonts w:hint="eastAsia"/>
          <w:lang w:val="en-US" w:eastAsia="zh-CN"/>
        </w:rPr>
      </w:pPr>
      <w:bookmarkStart w:id="713" w:name="_Toc30393"/>
      <w:bookmarkStart w:id="714" w:name="_Toc26442"/>
      <w:r>
        <w:rPr>
          <w:rFonts w:hint="eastAsia"/>
          <w:lang w:val="en-US" w:eastAsia="zh-CN"/>
        </w:rPr>
        <w:t>稳妥做好征地拆迁和安置问题</w:t>
      </w:r>
      <w:bookmarkEnd w:id="713"/>
      <w:bookmarkEnd w:id="714"/>
    </w:p>
    <w:p>
      <w:pPr>
        <w:rPr>
          <w:rFonts w:hint="default"/>
          <w:lang w:val="en-US" w:eastAsia="zh-CN"/>
        </w:rPr>
      </w:pPr>
      <w:r>
        <w:rPr>
          <w:rFonts w:hint="eastAsia"/>
          <w:lang w:val="en-US" w:eastAsia="zh-CN"/>
        </w:rPr>
        <w:t>依法依规、精心组织、积极稳妥做好产业用地征地拆迁安置工作，根据标准实施征地补偿，继续落实好被征地农民养老保险制度，建立多元化、多途径失地农民安置制度，切实维护被征地农民权益。推进农村“三块地”改革，探索农村集体建设用地流转新模式。在有条件的产业项目中探索农民参与产业发展的新模式、新路径，推动推动资源变资产、资金变股金、农民变股民。</w:t>
      </w:r>
    </w:p>
    <w:p>
      <w:pPr>
        <w:pStyle w:val="3"/>
        <w:bidi w:val="0"/>
        <w:rPr>
          <w:rFonts w:hint="default"/>
          <w:lang w:val="en-US" w:eastAsia="zh-CN"/>
        </w:rPr>
      </w:pPr>
      <w:bookmarkStart w:id="715" w:name="_Toc28962"/>
      <w:bookmarkStart w:id="716" w:name="_Toc19967"/>
      <w:bookmarkStart w:id="717" w:name="_Toc28552"/>
      <w:r>
        <w:rPr>
          <w:rFonts w:hint="eastAsia"/>
          <w:lang w:val="en-US" w:eastAsia="zh-CN"/>
        </w:rPr>
        <w:t xml:space="preserve">第五节  </w:t>
      </w:r>
      <w:bookmarkEnd w:id="715"/>
      <w:bookmarkStart w:id="718" w:name="_Toc26306"/>
      <w:r>
        <w:rPr>
          <w:rFonts w:hint="eastAsia"/>
          <w:lang w:val="en-US" w:eastAsia="zh-CN"/>
        </w:rPr>
        <w:t>建立多元化金融支持</w:t>
      </w:r>
      <w:bookmarkEnd w:id="716"/>
      <w:bookmarkEnd w:id="717"/>
      <w:bookmarkEnd w:id="718"/>
    </w:p>
    <w:p>
      <w:pPr>
        <w:pStyle w:val="5"/>
        <w:numPr>
          <w:ilvl w:val="0"/>
          <w:numId w:val="59"/>
        </w:numPr>
        <w:bidi w:val="0"/>
        <w:rPr>
          <w:rFonts w:hint="eastAsia"/>
          <w:lang w:val="en-US" w:eastAsia="zh-CN"/>
        </w:rPr>
      </w:pPr>
      <w:bookmarkStart w:id="719" w:name="_Toc26887"/>
      <w:bookmarkStart w:id="720" w:name="_Toc23313"/>
      <w:bookmarkStart w:id="721" w:name="_Toc13821"/>
      <w:bookmarkStart w:id="722" w:name="_Toc18930237"/>
      <w:r>
        <w:rPr>
          <w:rFonts w:hint="eastAsia"/>
          <w:lang w:val="en-US" w:eastAsia="zh-CN"/>
        </w:rPr>
        <w:t>市场手段与行政手段并用</w:t>
      </w:r>
      <w:bookmarkEnd w:id="719"/>
      <w:bookmarkEnd w:id="720"/>
      <w:bookmarkEnd w:id="721"/>
      <w:bookmarkEnd w:id="722"/>
    </w:p>
    <w:p>
      <w:pPr>
        <w:rPr>
          <w:rFonts w:hint="eastAsia"/>
          <w:lang w:val="en-US" w:eastAsia="zh-CN"/>
        </w:rPr>
      </w:pPr>
      <w:r>
        <w:rPr>
          <w:rFonts w:hint="eastAsia"/>
          <w:lang w:val="en-US" w:eastAsia="zh-CN"/>
        </w:rPr>
        <w:t>切实利用好海南自贸港开放发展基金，围绕重点产业争取投资。支持符合条件的创业投资企业发行企业债券，强化创新创业资金支持。建立重点项目风险补偿机制，把对崖州区发展带动性强、意义重大的投资项目纳入风险补偿资金池补偿范围，给予贷款贴息补助，提升银行机构提供信贷的积极性，鼓励银行机构扩大对重点项目的信贷支持。</w:t>
      </w:r>
    </w:p>
    <w:p>
      <w:pPr>
        <w:pStyle w:val="5"/>
        <w:numPr>
          <w:ilvl w:val="0"/>
          <w:numId w:val="59"/>
        </w:numPr>
        <w:bidi w:val="0"/>
        <w:rPr>
          <w:rFonts w:hint="eastAsia"/>
          <w:lang w:val="en-US" w:eastAsia="zh-CN"/>
        </w:rPr>
      </w:pPr>
      <w:bookmarkStart w:id="723" w:name="_Toc19100"/>
      <w:bookmarkStart w:id="724" w:name="_Toc6576"/>
      <w:bookmarkStart w:id="725" w:name="_Toc28667"/>
      <w:r>
        <w:rPr>
          <w:rFonts w:hint="eastAsia"/>
          <w:lang w:val="en-US" w:eastAsia="zh-CN"/>
        </w:rPr>
        <w:t>提高金融服务“三农”水平</w:t>
      </w:r>
      <w:bookmarkEnd w:id="723"/>
      <w:bookmarkEnd w:id="724"/>
      <w:bookmarkEnd w:id="725"/>
    </w:p>
    <w:p>
      <w:pPr>
        <w:rPr>
          <w:rFonts w:hint="eastAsia"/>
          <w:lang w:val="en-US" w:eastAsia="zh-CN"/>
        </w:rPr>
      </w:pPr>
      <w:r>
        <w:rPr>
          <w:rFonts w:hint="eastAsia"/>
          <w:lang w:val="en-US" w:eastAsia="zh-CN"/>
        </w:rPr>
        <w:t>发展乡村普惠金融，推动农村金融机构回归本源，把更多金融资源配置到农村经济社会发展的重点领域和薄弱环节。深化与金融机构合作，支持开放“农合贷”“粮农贷”“农机贷”等贷款品种，鼓励低收入农户、欠发达乡村及农业经营主体享受金融惠农政策，鼓励发展创客贷、电商贷、民宿贷等特色信贷产品。发挥农业信贷担保体系作用，通过财政担保费率补助和以奖代补等，加大对家庭农场、农民合作社等新型农业经营主体支持力度。完善农民小额贷款贴息政策。</w:t>
      </w:r>
    </w:p>
    <w:p>
      <w:pPr>
        <w:pStyle w:val="5"/>
        <w:numPr>
          <w:ilvl w:val="0"/>
          <w:numId w:val="59"/>
        </w:numPr>
        <w:bidi w:val="0"/>
        <w:rPr>
          <w:rFonts w:hint="eastAsia"/>
          <w:lang w:val="en-US" w:eastAsia="zh-CN"/>
        </w:rPr>
      </w:pPr>
      <w:bookmarkStart w:id="726" w:name="_Toc18930238"/>
      <w:bookmarkStart w:id="727" w:name="_Toc19525"/>
      <w:bookmarkStart w:id="728" w:name="_Toc26806"/>
      <w:bookmarkStart w:id="729" w:name="_Toc21376"/>
      <w:r>
        <w:rPr>
          <w:rFonts w:hint="eastAsia"/>
          <w:lang w:val="en-US" w:eastAsia="zh-CN"/>
        </w:rPr>
        <w:t>引导社会资本投向农业和农村</w:t>
      </w:r>
      <w:bookmarkEnd w:id="726"/>
      <w:bookmarkEnd w:id="727"/>
      <w:bookmarkEnd w:id="728"/>
      <w:bookmarkEnd w:id="729"/>
    </w:p>
    <w:p>
      <w:pPr>
        <w:rPr>
          <w:rFonts w:hint="eastAsia"/>
          <w:lang w:val="en-US" w:eastAsia="zh-CN"/>
        </w:rPr>
      </w:pPr>
      <w:r>
        <w:rPr>
          <w:rFonts w:hint="eastAsia"/>
          <w:lang w:val="en-US" w:eastAsia="zh-CN"/>
        </w:rPr>
        <w:t>发挥财政资金的引导和激励作用，通过信贷贴息等方式，撬动各类社会资本更多投向农村。引导社会资本发展现代种养业、农业服务业、农产品加工业等“三农”产品，推动崖州区“一村一品一企业”发展模式。鼓励社会资本参与乡村旅游等精品工程建设，打造抱古、雅安、赤草、南滨、镇海、梅联等一批设施完备、功能多样的休闲农业、共享农庄、乡村民宿、康养小镇和旅游度假区。</w:t>
      </w:r>
    </w:p>
    <w:p>
      <w:pPr>
        <w:pStyle w:val="3"/>
        <w:bidi w:val="0"/>
        <w:rPr>
          <w:rFonts w:hint="default"/>
          <w:lang w:val="en-US" w:eastAsia="zh-CN"/>
        </w:rPr>
      </w:pPr>
      <w:bookmarkStart w:id="730" w:name="_Toc21672"/>
      <w:bookmarkStart w:id="731" w:name="_Toc32423"/>
      <w:bookmarkStart w:id="732" w:name="_Toc3974"/>
      <w:r>
        <w:rPr>
          <w:rFonts w:hint="eastAsia"/>
          <w:lang w:val="en-US" w:eastAsia="zh-CN"/>
        </w:rPr>
        <w:t>第六节  做好人力人才保障</w:t>
      </w:r>
      <w:bookmarkEnd w:id="730"/>
      <w:bookmarkEnd w:id="731"/>
      <w:bookmarkEnd w:id="732"/>
    </w:p>
    <w:p>
      <w:pPr>
        <w:pStyle w:val="5"/>
        <w:numPr>
          <w:ilvl w:val="0"/>
          <w:numId w:val="60"/>
        </w:numPr>
        <w:bidi w:val="0"/>
        <w:rPr>
          <w:rFonts w:hint="eastAsia"/>
          <w:lang w:val="en-US" w:eastAsia="zh-CN"/>
        </w:rPr>
      </w:pPr>
      <w:bookmarkStart w:id="733" w:name="_Toc2247"/>
      <w:bookmarkStart w:id="734" w:name="_Toc18930230"/>
      <w:bookmarkStart w:id="735" w:name="_Toc20903"/>
      <w:bookmarkStart w:id="736" w:name="_Toc5759"/>
      <w:r>
        <w:rPr>
          <w:rFonts w:hint="eastAsia"/>
          <w:lang w:val="en-US" w:eastAsia="zh-CN"/>
        </w:rPr>
        <w:t>鼓励各方人士投身崖州经济建设</w:t>
      </w:r>
      <w:bookmarkEnd w:id="733"/>
      <w:bookmarkEnd w:id="734"/>
      <w:bookmarkEnd w:id="735"/>
      <w:bookmarkEnd w:id="736"/>
    </w:p>
    <w:p>
      <w:pPr>
        <w:rPr>
          <w:rFonts w:hint="eastAsia"/>
          <w:lang w:val="en-US" w:eastAsia="zh-CN"/>
        </w:rPr>
      </w:pPr>
      <w:r>
        <w:rPr>
          <w:rFonts w:hint="eastAsia"/>
          <w:b/>
          <w:bCs/>
          <w:lang w:val="en-US" w:eastAsia="zh-CN"/>
        </w:rPr>
        <w:t>一是</w:t>
      </w:r>
      <w:r>
        <w:rPr>
          <w:rFonts w:hint="eastAsia"/>
          <w:lang w:val="en-US" w:eastAsia="zh-CN"/>
        </w:rPr>
        <w:t>贯彻落实《三亚市落实“百万人才进海南行动计划”实施方案(2018-2025年)》政策，瞄准热带高效农业、现代渔业、冷链物流、电子商务、文旅产业、体育旅游、休闲农渔业等产业发展需求，实施更开放的人才引进政策，更大力度引进“高、精、尖、缺”人才。</w:t>
      </w:r>
    </w:p>
    <w:p>
      <w:pPr>
        <w:rPr>
          <w:rFonts w:hint="eastAsia"/>
          <w:lang w:val="en-US" w:eastAsia="zh-CN"/>
        </w:rPr>
      </w:pPr>
      <w:r>
        <w:rPr>
          <w:rFonts w:hint="eastAsia"/>
          <w:b/>
          <w:bCs/>
          <w:lang w:val="en-US" w:eastAsia="zh-CN"/>
        </w:rPr>
        <w:t>二是</w:t>
      </w:r>
      <w:r>
        <w:rPr>
          <w:rFonts w:hint="eastAsia"/>
          <w:lang w:val="en-US" w:eastAsia="zh-CN"/>
        </w:rPr>
        <w:t>本着不求所有、但求所用的原则，与崖州湾科技城农业、渔业等领域科研院所建立机制化合作关系，通过外部顾问、定期指导、短期兼职、退休返聘等方式向崖州区提供产业项目合作、科技成果转化、农业技术辅导、市场营销拓展等方面支持。</w:t>
      </w:r>
    </w:p>
    <w:p>
      <w:pPr>
        <w:rPr>
          <w:rFonts w:hint="eastAsia"/>
          <w:lang w:val="en-US" w:eastAsia="zh-CN"/>
        </w:rPr>
      </w:pPr>
      <w:r>
        <w:rPr>
          <w:rFonts w:hint="eastAsia"/>
          <w:b/>
          <w:bCs/>
          <w:lang w:val="en-US" w:eastAsia="zh-CN"/>
        </w:rPr>
        <w:t>三是</w:t>
      </w:r>
      <w:r>
        <w:rPr>
          <w:rFonts w:hint="eastAsia"/>
          <w:lang w:val="en-US" w:eastAsia="zh-CN"/>
        </w:rPr>
        <w:t>大力实施引才回崖工程，激励和吸引技能人才回崖州服务，按规定将返乡人才、创业人员纳入就业援助、社会保险等社会救助体系。</w:t>
      </w:r>
    </w:p>
    <w:p>
      <w:pPr>
        <w:rPr>
          <w:rFonts w:hint="eastAsia"/>
          <w:lang w:val="en-US" w:eastAsia="zh-CN"/>
        </w:rPr>
      </w:pPr>
      <w:r>
        <w:rPr>
          <w:rFonts w:hint="eastAsia"/>
          <w:b/>
          <w:bCs/>
          <w:lang w:val="en-US" w:eastAsia="zh-CN"/>
        </w:rPr>
        <w:t>四是</w:t>
      </w:r>
      <w:r>
        <w:rPr>
          <w:rFonts w:hint="eastAsia"/>
          <w:lang w:val="en-US" w:eastAsia="zh-CN"/>
        </w:rPr>
        <w:t>建立柔性引才机制，综合运用招商引才、园区引才、企业引才、以才引才等多途径，以重点项目带动人才引进。充分引进季节性、候鸟型人才。</w:t>
      </w:r>
    </w:p>
    <w:p>
      <w:pPr>
        <w:rPr>
          <w:rFonts w:hint="default"/>
          <w:b/>
          <w:bCs/>
          <w:lang w:val="en-US" w:eastAsia="zh-CN"/>
        </w:rPr>
      </w:pPr>
      <w:r>
        <w:rPr>
          <w:rFonts w:hint="eastAsia"/>
          <w:b/>
          <w:bCs/>
          <w:lang w:val="en-US" w:eastAsia="zh-CN"/>
        </w:rPr>
        <w:t>五是</w:t>
      </w:r>
      <w:r>
        <w:rPr>
          <w:rFonts w:hint="eastAsia"/>
          <w:b w:val="0"/>
          <w:bCs w:val="0"/>
          <w:lang w:val="en-US" w:eastAsia="zh-CN"/>
        </w:rPr>
        <w:t>进一步优化人才服务，在工作环境、工资福利、持续教育、住房保障、配偶就业、子女入学等方面给予更大力度政策优惠。</w:t>
      </w:r>
    </w:p>
    <w:p>
      <w:pPr>
        <w:pStyle w:val="5"/>
        <w:numPr>
          <w:ilvl w:val="0"/>
          <w:numId w:val="60"/>
        </w:numPr>
        <w:bidi w:val="0"/>
        <w:rPr>
          <w:rFonts w:hint="eastAsia"/>
          <w:lang w:val="en-US" w:eastAsia="zh-CN"/>
        </w:rPr>
      </w:pPr>
      <w:bookmarkStart w:id="737" w:name="_Toc28801"/>
      <w:bookmarkStart w:id="738" w:name="_Toc10789"/>
      <w:bookmarkStart w:id="739" w:name="_Toc3683"/>
      <w:r>
        <w:rPr>
          <w:rFonts w:hint="eastAsia"/>
          <w:lang w:val="en-US" w:eastAsia="zh-CN"/>
        </w:rPr>
        <w:t>做好各级各类人员培训培育工作</w:t>
      </w:r>
      <w:bookmarkEnd w:id="737"/>
      <w:bookmarkEnd w:id="738"/>
      <w:bookmarkEnd w:id="739"/>
    </w:p>
    <w:p>
      <w:pPr>
        <w:rPr>
          <w:rFonts w:hint="eastAsia"/>
          <w:lang w:val="en-US" w:eastAsia="zh-CN"/>
        </w:rPr>
      </w:pPr>
      <w:bookmarkStart w:id="740" w:name="_Toc18930229"/>
      <w:r>
        <w:rPr>
          <w:rFonts w:hint="eastAsia" w:ascii="仿宋_GB2312" w:eastAsia="仿宋_GB2312"/>
          <w:b/>
          <w:bCs/>
          <w:lang w:val="en-US" w:eastAsia="zh-CN"/>
        </w:rPr>
        <w:t>一是</w:t>
      </w:r>
      <w:r>
        <w:rPr>
          <w:rFonts w:hint="eastAsia" w:ascii="仿宋_GB2312" w:eastAsia="仿宋_GB2312"/>
          <w:lang w:val="en-US" w:eastAsia="zh-CN"/>
        </w:rPr>
        <w:t>大力培</w:t>
      </w:r>
      <w:bookmarkEnd w:id="740"/>
      <w:r>
        <w:rPr>
          <w:rFonts w:hint="eastAsia" w:ascii="仿宋_GB2312" w:eastAsia="仿宋_GB2312"/>
          <w:lang w:val="en-US" w:eastAsia="zh-CN"/>
        </w:rPr>
        <w:t>育新型职业农民和职业技工。围绕热带农业、现代渔业、乡村旅游、农产品加工、农村物流等领域，培育一批“爱农业、懂技术、善经营”的新型职业农民队伍及农创客人才。将初中毕业后未接受高中阶段教育的城乡青年、新生代农民工等纳入定向职业培训范围，开展物流商贸、电子商务、文旅服务、体育旅游服务、水产养殖、畜禽养殖等培训，创新教学与培养模式，提升培训质量。</w:t>
      </w:r>
    </w:p>
    <w:p>
      <w:pPr>
        <w:rPr>
          <w:rFonts w:hint="eastAsia"/>
          <w:lang w:val="en-US" w:eastAsia="zh-CN"/>
        </w:rPr>
      </w:pPr>
      <w:r>
        <w:rPr>
          <w:rFonts w:hint="eastAsia" w:ascii="仿宋_GB2312" w:eastAsia="仿宋_GB2312"/>
          <w:b/>
          <w:bCs/>
          <w:lang w:val="en-US" w:eastAsia="zh-CN"/>
        </w:rPr>
        <w:t>二是</w:t>
      </w:r>
      <w:r>
        <w:rPr>
          <w:rFonts w:hint="eastAsia" w:ascii="仿宋_GB2312" w:eastAsia="仿宋_GB2312"/>
          <w:lang w:val="en-US" w:eastAsia="zh-CN"/>
        </w:rPr>
        <w:t>加强实用人才带头人培育。建立全区服务企业带头人、农业龙头企业负责人、新型农业经营主体负责人、农旅项目负责人等企业家人才库，定期开展企业家素质与能力提升培训。</w:t>
      </w:r>
    </w:p>
    <w:p>
      <w:pPr>
        <w:rPr>
          <w:rFonts w:hint="eastAsia"/>
          <w:lang w:val="en-US" w:eastAsia="zh-CN"/>
        </w:rPr>
      </w:pPr>
      <w:r>
        <w:rPr>
          <w:rFonts w:hint="eastAsia" w:ascii="仿宋_GB2312" w:eastAsia="仿宋_GB2312"/>
          <w:b/>
          <w:bCs/>
          <w:lang w:val="en-US" w:eastAsia="zh-CN"/>
        </w:rPr>
        <w:t>三是</w:t>
      </w:r>
      <w:r>
        <w:rPr>
          <w:rFonts w:hint="eastAsia" w:ascii="仿宋_GB2312" w:eastAsia="仿宋_GB2312"/>
          <w:lang w:val="en-US" w:eastAsia="zh-CN"/>
        </w:rPr>
        <w:t>实施全区干部队伍轮训计划，加强对区政府职能部门、村“两委”班子成员的培养，提高他们发展产业经济的理论水平和认识实践。</w:t>
      </w:r>
      <w:r>
        <w:rPr>
          <w:rFonts w:hint="eastAsia"/>
          <w:lang w:val="en-US" w:eastAsia="zh-CN"/>
        </w:rPr>
        <w:br w:type="page"/>
      </w: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pStyle w:val="2"/>
        <w:bidi w:val="0"/>
        <w:rPr>
          <w:rFonts w:hint="default"/>
          <w:lang w:val="en-US" w:eastAsia="zh-CN"/>
        </w:rPr>
      </w:pPr>
      <w:bookmarkStart w:id="741" w:name="_Toc10354"/>
      <w:bookmarkStart w:id="742" w:name="_Toc6774"/>
      <w:bookmarkStart w:id="743" w:name="_Toc10547"/>
      <w:r>
        <w:rPr>
          <w:rFonts w:hint="eastAsia"/>
          <w:lang w:val="en-US" w:eastAsia="zh-CN"/>
        </w:rPr>
        <w:t>第八章  附件</w:t>
      </w:r>
      <w:bookmarkEnd w:id="741"/>
      <w:bookmarkEnd w:id="742"/>
      <w:bookmarkEnd w:id="743"/>
    </w:p>
    <w:p>
      <w:pPr>
        <w:rPr>
          <w:rFonts w:hint="eastAsia"/>
          <w:lang w:val="en-US" w:eastAsia="zh-CN"/>
        </w:rPr>
        <w:sectPr>
          <w:pgSz w:w="11906" w:h="16838"/>
          <w:pgMar w:top="1440" w:right="1800" w:bottom="1440" w:left="1800" w:header="851" w:footer="992" w:gutter="0"/>
          <w:cols w:space="425" w:num="1"/>
          <w:docGrid w:type="lines" w:linePitch="312" w:charSpace="0"/>
        </w:sectPr>
      </w:pPr>
    </w:p>
    <w:p>
      <w:pPr>
        <w:pStyle w:val="3"/>
        <w:bidi w:val="0"/>
        <w:rPr>
          <w:rFonts w:hint="default"/>
          <w:lang w:val="en-US" w:eastAsia="zh-CN"/>
        </w:rPr>
      </w:pPr>
      <w:bookmarkStart w:id="744" w:name="_Toc22298"/>
      <w:bookmarkStart w:id="745" w:name="_Toc26862"/>
      <w:bookmarkStart w:id="746" w:name="_Toc10491"/>
      <w:r>
        <w:rPr>
          <w:rFonts w:hint="eastAsia"/>
          <w:lang w:val="en-US" w:eastAsia="zh-CN"/>
        </w:rPr>
        <w:t>附件1  上级指示解读</w:t>
      </w:r>
      <w:bookmarkEnd w:id="744"/>
      <w:bookmarkEnd w:id="745"/>
      <w:bookmarkEnd w:id="746"/>
    </w:p>
    <w:p>
      <w:pPr>
        <w:pStyle w:val="5"/>
        <w:numPr>
          <w:ilvl w:val="0"/>
          <w:numId w:val="61"/>
        </w:numPr>
        <w:bidi w:val="0"/>
        <w:rPr>
          <w:rFonts w:hint="eastAsia"/>
          <w:lang w:val="en-US" w:eastAsia="zh-CN"/>
        </w:rPr>
      </w:pPr>
      <w:bookmarkStart w:id="747" w:name="_Toc32641"/>
      <w:bookmarkStart w:id="748" w:name="_Toc18310"/>
      <w:bookmarkStart w:id="749" w:name="_Toc32761"/>
      <w:r>
        <w:rPr>
          <w:rFonts w:hint="eastAsia"/>
          <w:lang w:val="en-US" w:eastAsia="zh-CN"/>
        </w:rPr>
        <w:t>鼓励科技成果优先就地就近转化</w:t>
      </w:r>
      <w:bookmarkEnd w:id="747"/>
      <w:bookmarkEnd w:id="748"/>
      <w:bookmarkEnd w:id="749"/>
    </w:p>
    <w:p>
      <w:pPr>
        <w:rPr>
          <w:rFonts w:hint="default"/>
          <w:lang w:val="en-US" w:eastAsia="zh-CN"/>
        </w:rPr>
      </w:pPr>
      <w:r>
        <w:rPr>
          <w:rFonts w:hint="default"/>
          <w:lang w:val="en-US" w:eastAsia="zh-CN"/>
        </w:rPr>
        <w:t>韩正</w:t>
      </w:r>
      <w:r>
        <w:rPr>
          <w:rFonts w:hint="eastAsia" w:ascii="仿宋_GB2312" w:eastAsia="仿宋_GB2312"/>
          <w:lang w:val="en-US" w:eastAsia="zh-CN"/>
        </w:rPr>
        <w:t>指出崖州湾科技城要</w:t>
      </w:r>
      <w:r>
        <w:rPr>
          <w:rFonts w:hint="default"/>
          <w:lang w:val="en-US" w:eastAsia="zh-CN"/>
        </w:rPr>
        <w:t>发挥</w:t>
      </w:r>
      <w:r>
        <w:rPr>
          <w:rFonts w:hint="default"/>
          <w:b/>
          <w:bCs/>
          <w:lang w:val="en-US" w:eastAsia="zh-CN"/>
        </w:rPr>
        <w:t>市场主体</w:t>
      </w:r>
      <w:r>
        <w:rPr>
          <w:rFonts w:hint="default"/>
          <w:lang w:val="en-US" w:eastAsia="zh-CN"/>
        </w:rPr>
        <w:t>在</w:t>
      </w:r>
      <w:r>
        <w:rPr>
          <w:rFonts w:hint="default"/>
          <w:b/>
          <w:bCs/>
          <w:lang w:val="en-US" w:eastAsia="zh-CN"/>
        </w:rPr>
        <w:t>科研成果转化</w:t>
      </w:r>
      <w:r>
        <w:rPr>
          <w:rFonts w:hint="default"/>
          <w:lang w:val="en-US" w:eastAsia="zh-CN"/>
        </w:rPr>
        <w:t>中的主导作用</w:t>
      </w:r>
      <w:r>
        <w:rPr>
          <w:rFonts w:hint="eastAsia" w:ascii="仿宋_GB2312" w:eastAsia="仿宋_GB2312"/>
          <w:lang w:val="en-US" w:eastAsia="zh-CN"/>
        </w:rPr>
        <w:t>。刘赐贵要求加大</w:t>
      </w:r>
      <w:r>
        <w:rPr>
          <w:rFonts w:hint="eastAsia" w:ascii="仿宋_GB2312" w:eastAsia="仿宋_GB2312"/>
          <w:b/>
          <w:bCs/>
          <w:lang w:val="en-US" w:eastAsia="zh-CN"/>
        </w:rPr>
        <w:t>育种就地转化</w:t>
      </w:r>
      <w:r>
        <w:rPr>
          <w:rFonts w:hint="eastAsia" w:ascii="仿宋_GB2312" w:eastAsia="仿宋_GB2312"/>
          <w:lang w:val="en-US" w:eastAsia="zh-CN"/>
        </w:rPr>
        <w:t>力度。</w:t>
      </w:r>
    </w:p>
    <w:p>
      <w:pPr>
        <w:pStyle w:val="5"/>
        <w:numPr>
          <w:ilvl w:val="0"/>
          <w:numId w:val="61"/>
        </w:numPr>
        <w:bidi w:val="0"/>
        <w:rPr>
          <w:rFonts w:hint="default"/>
          <w:lang w:val="en-US" w:eastAsia="zh-CN"/>
        </w:rPr>
      </w:pPr>
      <w:bookmarkStart w:id="750" w:name="_Toc21566"/>
      <w:bookmarkStart w:id="751" w:name="_Toc15634"/>
      <w:bookmarkStart w:id="752" w:name="_Toc26730"/>
      <w:r>
        <w:rPr>
          <w:rFonts w:hint="eastAsia"/>
          <w:lang w:val="en-US" w:eastAsia="zh-CN"/>
        </w:rPr>
        <w:t>提升农业产业化发展水平，实现一二三产业融合发展</w:t>
      </w:r>
      <w:bookmarkEnd w:id="750"/>
      <w:bookmarkEnd w:id="751"/>
      <w:bookmarkEnd w:id="752"/>
    </w:p>
    <w:p>
      <w:pPr>
        <w:rPr>
          <w:rFonts w:hint="default"/>
          <w:lang w:val="en-US" w:eastAsia="zh-CN"/>
        </w:rPr>
      </w:pPr>
      <w:r>
        <w:rPr>
          <w:rFonts w:hint="eastAsia" w:ascii="仿宋_GB2312" w:eastAsia="仿宋_GB2312"/>
          <w:lang w:val="en-US" w:eastAsia="zh-CN"/>
        </w:rPr>
        <w:t>沈晓明指出三亚要推动</w:t>
      </w:r>
      <w:r>
        <w:rPr>
          <w:rFonts w:hint="eastAsia" w:ascii="仿宋_GB2312" w:eastAsia="仿宋_GB2312"/>
          <w:b/>
          <w:bCs/>
          <w:lang w:val="en-US" w:eastAsia="zh-CN"/>
        </w:rPr>
        <w:t>旅游和体育融合发展</w:t>
      </w:r>
      <w:r>
        <w:rPr>
          <w:rFonts w:hint="eastAsia" w:ascii="仿宋_GB2312" w:eastAsia="仿宋_GB2312"/>
          <w:lang w:val="en-US" w:eastAsia="zh-CN"/>
        </w:rPr>
        <w:t>、推动农业产业化、规模化发展。李军强调海垦集团要大力发展南繁育制种、南繁用地管理等产业；差异化发展</w:t>
      </w:r>
      <w:r>
        <w:rPr>
          <w:rFonts w:hint="eastAsia" w:ascii="仿宋_GB2312" w:eastAsia="仿宋_GB2312"/>
          <w:b/>
          <w:bCs/>
          <w:lang w:val="en-US" w:eastAsia="zh-CN"/>
        </w:rPr>
        <w:t>共享农庄</w:t>
      </w:r>
      <w:r>
        <w:rPr>
          <w:rFonts w:hint="eastAsia" w:ascii="仿宋_GB2312" w:eastAsia="仿宋_GB2312"/>
          <w:lang w:val="en-US" w:eastAsia="zh-CN"/>
        </w:rPr>
        <w:t>，实现农村</w:t>
      </w:r>
      <w:r>
        <w:rPr>
          <w:rFonts w:hint="eastAsia" w:ascii="仿宋_GB2312" w:eastAsia="仿宋_GB2312"/>
          <w:b/>
          <w:bCs/>
          <w:lang w:val="en-US" w:eastAsia="zh-CN"/>
        </w:rPr>
        <w:t>一二三产业融合发展</w:t>
      </w:r>
      <w:r>
        <w:rPr>
          <w:rFonts w:hint="eastAsia" w:ascii="仿宋_GB2312" w:eastAsia="仿宋_GB2312"/>
          <w:lang w:val="en-US" w:eastAsia="zh-CN"/>
        </w:rPr>
        <w:t>。毛万春强调打造</w:t>
      </w:r>
      <w:r>
        <w:rPr>
          <w:rFonts w:hint="eastAsia" w:ascii="仿宋_GB2312" w:eastAsia="仿宋_GB2312"/>
          <w:b/>
          <w:bCs/>
          <w:lang w:val="en-US" w:eastAsia="zh-CN"/>
        </w:rPr>
        <w:t>民宿精品</w:t>
      </w:r>
      <w:r>
        <w:rPr>
          <w:rFonts w:hint="eastAsia" w:ascii="仿宋_GB2312" w:eastAsia="仿宋_GB2312"/>
          <w:lang w:val="en-US" w:eastAsia="zh-CN"/>
        </w:rPr>
        <w:t>，走特色</w:t>
      </w:r>
      <w:r>
        <w:rPr>
          <w:rFonts w:hint="eastAsia" w:ascii="仿宋_GB2312" w:eastAsia="仿宋_GB2312"/>
          <w:b/>
          <w:bCs/>
          <w:lang w:val="en-US" w:eastAsia="zh-CN"/>
        </w:rPr>
        <w:t>精品旅游路线</w:t>
      </w:r>
      <w:r>
        <w:rPr>
          <w:rFonts w:hint="eastAsia" w:ascii="仿宋_GB2312" w:eastAsia="仿宋_GB2312"/>
          <w:lang w:val="en-US" w:eastAsia="zh-CN"/>
        </w:rPr>
        <w:t>。</w:t>
      </w:r>
    </w:p>
    <w:p>
      <w:pPr>
        <w:pStyle w:val="5"/>
        <w:numPr>
          <w:ilvl w:val="0"/>
          <w:numId w:val="61"/>
        </w:numPr>
        <w:bidi w:val="0"/>
        <w:rPr>
          <w:rFonts w:hint="default"/>
          <w:lang w:val="en-US" w:eastAsia="zh-CN"/>
        </w:rPr>
      </w:pPr>
      <w:bookmarkStart w:id="753" w:name="_Toc12361"/>
      <w:bookmarkStart w:id="754" w:name="_Toc16306"/>
      <w:bookmarkStart w:id="755" w:name="_Toc27403"/>
      <w:r>
        <w:rPr>
          <w:rFonts w:hint="eastAsia"/>
          <w:lang w:val="en-US" w:eastAsia="zh-CN"/>
        </w:rPr>
        <w:t>打好渔村文化牌、崖州古城历史文化牌</w:t>
      </w:r>
      <w:bookmarkEnd w:id="753"/>
      <w:bookmarkEnd w:id="754"/>
      <w:bookmarkEnd w:id="755"/>
    </w:p>
    <w:p>
      <w:pPr>
        <w:rPr>
          <w:rFonts w:hint="default" w:ascii="仿宋_GB2312" w:eastAsia="仿宋_GB2312"/>
          <w:lang w:val="en-US" w:eastAsia="zh-CN"/>
        </w:rPr>
      </w:pPr>
      <w:r>
        <w:rPr>
          <w:rFonts w:hint="eastAsia" w:ascii="仿宋_GB2312" w:eastAsia="仿宋_GB2312"/>
          <w:lang w:val="en-US" w:eastAsia="zh-CN"/>
        </w:rPr>
        <w:t>中宣部王晓晖副部长指出发展</w:t>
      </w:r>
      <w:r>
        <w:rPr>
          <w:rFonts w:hint="eastAsia" w:ascii="仿宋_GB2312" w:eastAsia="仿宋_GB2312"/>
          <w:b/>
          <w:bCs/>
          <w:lang w:val="en-US" w:eastAsia="zh-CN"/>
        </w:rPr>
        <w:t>渔村文化</w:t>
      </w:r>
      <w:r>
        <w:rPr>
          <w:rFonts w:hint="eastAsia" w:ascii="仿宋_GB2312" w:eastAsia="仿宋_GB2312"/>
          <w:lang w:val="en-US" w:eastAsia="zh-CN"/>
        </w:rPr>
        <w:t>、与海洋生态相结合。毛万春指出崖州湾科技城可按照“</w:t>
      </w:r>
      <w:r>
        <w:rPr>
          <w:rFonts w:hint="eastAsia" w:ascii="仿宋_GB2312" w:eastAsia="仿宋_GB2312"/>
          <w:b/>
          <w:bCs/>
          <w:lang w:val="en-US" w:eastAsia="zh-CN"/>
        </w:rPr>
        <w:t>文化为魂</w:t>
      </w:r>
      <w:r>
        <w:rPr>
          <w:rFonts w:hint="eastAsia" w:ascii="仿宋_GB2312" w:eastAsia="仿宋_GB2312"/>
          <w:lang w:val="en-US" w:eastAsia="zh-CN"/>
        </w:rPr>
        <w:t>”等思路挖掘亮点。</w:t>
      </w:r>
    </w:p>
    <w:tbl>
      <w:tblPr>
        <w:tblStyle w:val="18"/>
        <w:tblW w:w="5000" w:type="pct"/>
        <w:jc w:val="center"/>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Layout w:type="fixed"/>
        <w:tblCellMar>
          <w:top w:w="0" w:type="dxa"/>
          <w:left w:w="108" w:type="dxa"/>
          <w:bottom w:w="0" w:type="dxa"/>
          <w:right w:w="108" w:type="dxa"/>
        </w:tblCellMar>
      </w:tblPr>
      <w:tblGrid>
        <w:gridCol w:w="1651"/>
        <w:gridCol w:w="6871"/>
      </w:tblGrid>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397" w:hRule="atLeast"/>
          <w:jc w:val="center"/>
        </w:trPr>
        <w:tc>
          <w:tcPr>
            <w:tcW w:w="8522" w:type="dxa"/>
            <w:gridSpan w:val="2"/>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楷体" w:hAnsi="楷体" w:eastAsia="楷体" w:cs="楷体"/>
                <w:b/>
                <w:bCs/>
                <w:sz w:val="24"/>
                <w:szCs w:val="24"/>
                <w:vertAlign w:val="baseline"/>
                <w:lang w:val="en-US"/>
              </w:rPr>
            </w:pPr>
            <w:r>
              <w:rPr>
                <w:rFonts w:hint="eastAsia" w:ascii="楷体" w:hAnsi="楷体" w:eastAsia="楷体" w:cs="楷体"/>
                <w:b/>
                <w:bCs/>
                <w:sz w:val="24"/>
                <w:szCs w:val="24"/>
                <w:lang w:val="en-US" w:eastAsia="zh-CN"/>
              </w:rPr>
              <w:t>专栏29  “4·13”以来主要领导在三亚市（崖州区）开展自贸区（港）建设调研活动时提出的要求</w:t>
            </w:r>
          </w:p>
        </w:tc>
      </w:tr>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397" w:hRule="atLeast"/>
          <w:jc w:val="center"/>
        </w:trPr>
        <w:tc>
          <w:tcPr>
            <w:tcW w:w="1651" w:type="dxa"/>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楷体" w:hAnsi="楷体" w:eastAsia="楷体" w:cs="楷体"/>
                <w:b w:val="0"/>
                <w:bCs w:val="0"/>
                <w:kern w:val="2"/>
                <w:sz w:val="24"/>
                <w:szCs w:val="24"/>
                <w:highlight w:val="none"/>
                <w:vertAlign w:val="baseline"/>
                <w:lang w:val="en-US" w:eastAsia="zh-CN" w:bidi="ar-SA"/>
              </w:rPr>
            </w:pPr>
            <w:r>
              <w:rPr>
                <w:rFonts w:hint="eastAsia" w:ascii="楷体" w:hAnsi="楷体" w:eastAsia="楷体" w:cs="楷体"/>
                <w:b w:val="0"/>
                <w:bCs w:val="0"/>
                <w:kern w:val="2"/>
                <w:sz w:val="24"/>
                <w:szCs w:val="24"/>
                <w:highlight w:val="none"/>
                <w:vertAlign w:val="baseline"/>
                <w:lang w:val="en-US" w:eastAsia="zh-CN" w:bidi="ar-SA"/>
              </w:rPr>
              <w:t>日期</w:t>
            </w:r>
          </w:p>
        </w:tc>
        <w:tc>
          <w:tcPr>
            <w:tcW w:w="687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楷体" w:hAnsi="楷体" w:eastAsia="楷体" w:cs="楷体"/>
                <w:i w:val="0"/>
                <w:color w:val="000000"/>
                <w:kern w:val="2"/>
                <w:sz w:val="24"/>
                <w:szCs w:val="24"/>
                <w:highlight w:val="none"/>
                <w:u w:val="none"/>
                <w:lang w:val="en-US" w:eastAsia="zh-CN" w:bidi="ar"/>
              </w:rPr>
            </w:pPr>
            <w:r>
              <w:rPr>
                <w:rFonts w:hint="eastAsia" w:ascii="楷体" w:hAnsi="楷体" w:eastAsia="楷体" w:cs="楷体"/>
                <w:i w:val="0"/>
                <w:color w:val="auto"/>
                <w:kern w:val="2"/>
                <w:sz w:val="24"/>
                <w:szCs w:val="24"/>
                <w:highlight w:val="none"/>
                <w:u w:val="none"/>
                <w:lang w:val="en-US" w:eastAsia="zh-CN" w:bidi="ar"/>
              </w:rPr>
              <w:t>指示要求</w:t>
            </w:r>
          </w:p>
        </w:tc>
      </w:tr>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397" w:hRule="atLeast"/>
          <w:jc w:val="center"/>
        </w:trPr>
        <w:tc>
          <w:tcPr>
            <w:tcW w:w="1651" w:type="dxa"/>
            <w:vAlign w:val="top"/>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楷体" w:hAnsi="楷体" w:eastAsia="楷体" w:cs="楷体"/>
                <w:b w:val="0"/>
                <w:bCs w:val="0"/>
                <w:kern w:val="2"/>
                <w:sz w:val="24"/>
                <w:szCs w:val="24"/>
                <w:vertAlign w:val="baseline"/>
                <w:lang w:val="en-US" w:eastAsia="zh-CN" w:bidi="ar-SA"/>
              </w:rPr>
            </w:pPr>
            <w:r>
              <w:rPr>
                <w:rFonts w:hint="eastAsia" w:ascii="楷体" w:hAnsi="楷体" w:eastAsia="楷体" w:cs="楷体"/>
                <w:b w:val="0"/>
                <w:bCs w:val="0"/>
                <w:kern w:val="2"/>
                <w:sz w:val="24"/>
                <w:szCs w:val="24"/>
                <w:vertAlign w:val="baseline"/>
                <w:lang w:val="en-US" w:eastAsia="zh-CN" w:bidi="ar-SA"/>
              </w:rPr>
              <w:t>2020.03.18</w:t>
            </w:r>
          </w:p>
        </w:tc>
        <w:tc>
          <w:tcPr>
            <w:tcW w:w="687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480" w:firstLineChars="200"/>
              <w:jc w:val="both"/>
              <w:textAlignment w:val="auto"/>
              <w:rPr>
                <w:rFonts w:hint="eastAsia" w:ascii="楷体" w:hAnsi="楷体" w:eastAsia="楷体" w:cs="楷体"/>
                <w:i w:val="0"/>
                <w:color w:val="auto"/>
                <w:kern w:val="2"/>
                <w:sz w:val="24"/>
                <w:szCs w:val="24"/>
                <w:u w:val="none"/>
                <w:lang w:val="en-US" w:eastAsia="zh-CN" w:bidi="ar"/>
              </w:rPr>
            </w:pPr>
            <w:r>
              <w:rPr>
                <w:rFonts w:hint="eastAsia" w:ascii="楷体" w:hAnsi="楷体" w:eastAsia="楷体" w:cs="楷体"/>
                <w:i w:val="0"/>
                <w:color w:val="auto"/>
                <w:kern w:val="2"/>
                <w:sz w:val="24"/>
                <w:szCs w:val="24"/>
                <w:u w:val="none"/>
                <w:lang w:val="en-US" w:eastAsia="zh-CN" w:bidi="ar"/>
              </w:rPr>
              <w:t>沈晓明在三亚调研重点项目复工复产情况，指出把亚沙会作为旅游业疫后重振升级的契机，推动</w:t>
            </w:r>
            <w:r>
              <w:rPr>
                <w:rFonts w:hint="eastAsia" w:ascii="楷体" w:hAnsi="楷体" w:eastAsia="楷体" w:cs="楷体"/>
                <w:i w:val="0"/>
                <w:color w:val="auto"/>
                <w:kern w:val="2"/>
                <w:sz w:val="24"/>
                <w:szCs w:val="24"/>
                <w:u w:val="single"/>
                <w:lang w:val="en-US" w:eastAsia="zh-CN" w:bidi="ar"/>
              </w:rPr>
              <w:t>旅游和体育融合发展</w:t>
            </w:r>
            <w:r>
              <w:rPr>
                <w:rFonts w:hint="eastAsia" w:ascii="楷体" w:hAnsi="楷体" w:eastAsia="楷体" w:cs="楷体"/>
                <w:i w:val="0"/>
                <w:color w:val="auto"/>
                <w:kern w:val="2"/>
                <w:sz w:val="24"/>
                <w:szCs w:val="24"/>
                <w:u w:val="none"/>
                <w:lang w:val="en-US" w:eastAsia="zh-CN" w:bidi="ar"/>
              </w:rPr>
              <w:t>；积极引导农业企业带动</w:t>
            </w:r>
            <w:r>
              <w:rPr>
                <w:rFonts w:hint="eastAsia" w:ascii="楷体" w:hAnsi="楷体" w:eastAsia="楷体" w:cs="楷体"/>
                <w:i w:val="0"/>
                <w:color w:val="auto"/>
                <w:kern w:val="2"/>
                <w:sz w:val="24"/>
                <w:szCs w:val="24"/>
                <w:u w:val="single"/>
                <w:lang w:val="en-US" w:eastAsia="zh-CN" w:bidi="ar"/>
              </w:rPr>
              <w:t>农民专业合作社</w:t>
            </w:r>
            <w:r>
              <w:rPr>
                <w:rFonts w:hint="eastAsia" w:ascii="楷体" w:hAnsi="楷体" w:eastAsia="楷体" w:cs="楷体"/>
                <w:i w:val="0"/>
                <w:color w:val="auto"/>
                <w:kern w:val="2"/>
                <w:sz w:val="24"/>
                <w:szCs w:val="24"/>
                <w:u w:val="none"/>
                <w:lang w:val="en-US" w:eastAsia="zh-CN" w:bidi="ar"/>
              </w:rPr>
              <w:t>发展，推动</w:t>
            </w:r>
            <w:r>
              <w:rPr>
                <w:rFonts w:hint="eastAsia" w:ascii="楷体" w:hAnsi="楷体" w:eastAsia="楷体" w:cs="楷体"/>
                <w:i w:val="0"/>
                <w:color w:val="auto"/>
                <w:kern w:val="2"/>
                <w:sz w:val="24"/>
                <w:szCs w:val="24"/>
                <w:u w:val="single"/>
                <w:lang w:val="en-US" w:eastAsia="zh-CN" w:bidi="ar"/>
              </w:rPr>
              <w:t>农业实现产业化、规模化</w:t>
            </w:r>
            <w:r>
              <w:rPr>
                <w:rFonts w:hint="eastAsia" w:ascii="楷体" w:hAnsi="楷体" w:eastAsia="楷体" w:cs="楷体"/>
                <w:i w:val="0"/>
                <w:color w:val="auto"/>
                <w:kern w:val="2"/>
                <w:sz w:val="24"/>
                <w:szCs w:val="24"/>
                <w:u w:val="none"/>
                <w:lang w:val="en-US" w:eastAsia="zh-CN" w:bidi="ar"/>
              </w:rPr>
              <w:t>发展，促进农民增收。</w:t>
            </w:r>
          </w:p>
        </w:tc>
      </w:tr>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397" w:hRule="atLeast"/>
          <w:jc w:val="center"/>
        </w:trPr>
        <w:tc>
          <w:tcPr>
            <w:tcW w:w="1651" w:type="dxa"/>
            <w:vAlign w:val="top"/>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楷体" w:hAnsi="楷体" w:eastAsia="楷体" w:cs="楷体"/>
                <w:b w:val="0"/>
                <w:bCs w:val="0"/>
                <w:kern w:val="2"/>
                <w:sz w:val="24"/>
                <w:szCs w:val="24"/>
                <w:vertAlign w:val="baseline"/>
                <w:lang w:val="en-US" w:eastAsia="zh-CN" w:bidi="ar-SA"/>
              </w:rPr>
            </w:pPr>
            <w:r>
              <w:rPr>
                <w:rFonts w:hint="eastAsia" w:ascii="楷体" w:hAnsi="楷体" w:eastAsia="楷体" w:cs="楷体"/>
                <w:b w:val="0"/>
                <w:bCs w:val="0"/>
                <w:kern w:val="2"/>
                <w:sz w:val="24"/>
                <w:szCs w:val="24"/>
                <w:vertAlign w:val="baseline"/>
                <w:lang w:val="en-US" w:eastAsia="zh-CN" w:bidi="ar-SA"/>
              </w:rPr>
              <w:t>2020.02.06</w:t>
            </w:r>
          </w:p>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楷体" w:hAnsi="楷体" w:eastAsia="楷体" w:cs="楷体"/>
                <w:b w:val="0"/>
                <w:bCs w:val="0"/>
                <w:kern w:val="2"/>
                <w:sz w:val="24"/>
                <w:szCs w:val="24"/>
                <w:vertAlign w:val="baseline"/>
                <w:lang w:val="en-US" w:eastAsia="zh-CN" w:bidi="ar-SA"/>
              </w:rPr>
            </w:pPr>
            <w:r>
              <w:rPr>
                <w:rFonts w:hint="eastAsia" w:ascii="楷体" w:hAnsi="楷体" w:eastAsia="楷体" w:cs="楷体"/>
                <w:b w:val="0"/>
                <w:bCs w:val="0"/>
                <w:kern w:val="2"/>
                <w:sz w:val="24"/>
                <w:szCs w:val="24"/>
                <w:vertAlign w:val="baseline"/>
                <w:lang w:val="en-US" w:eastAsia="zh-CN" w:bidi="ar-SA"/>
              </w:rPr>
              <w:t>-07</w:t>
            </w:r>
          </w:p>
        </w:tc>
        <w:tc>
          <w:tcPr>
            <w:tcW w:w="687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480" w:firstLineChars="200"/>
              <w:jc w:val="both"/>
              <w:textAlignment w:val="auto"/>
              <w:rPr>
                <w:rFonts w:hint="eastAsia" w:ascii="楷体" w:hAnsi="楷体" w:eastAsia="楷体" w:cs="楷体"/>
                <w:i w:val="0"/>
                <w:color w:val="auto"/>
                <w:kern w:val="2"/>
                <w:sz w:val="24"/>
                <w:szCs w:val="24"/>
                <w:u w:val="none"/>
                <w:lang w:val="en-US" w:eastAsia="zh-CN" w:bidi="ar"/>
              </w:rPr>
            </w:pPr>
            <w:r>
              <w:rPr>
                <w:rFonts w:hint="eastAsia" w:ascii="楷体" w:hAnsi="楷体" w:eastAsia="楷体" w:cs="楷体"/>
                <w:i w:val="0"/>
                <w:color w:val="auto"/>
                <w:kern w:val="2"/>
                <w:sz w:val="24"/>
                <w:szCs w:val="24"/>
                <w:u w:val="none"/>
                <w:lang w:val="en-US" w:eastAsia="zh-CN" w:bidi="ar"/>
              </w:rPr>
              <w:t>毛超峰到三亚市实地察看了三亚西水中调项目一期、</w:t>
            </w:r>
            <w:r>
              <w:rPr>
                <w:rFonts w:hint="eastAsia" w:ascii="楷体" w:hAnsi="楷体" w:eastAsia="楷体" w:cs="楷体"/>
                <w:i w:val="0"/>
                <w:color w:val="auto"/>
                <w:kern w:val="2"/>
                <w:sz w:val="24"/>
                <w:szCs w:val="24"/>
                <w:u w:val="single"/>
                <w:lang w:val="en-US" w:eastAsia="zh-CN" w:bidi="ar"/>
              </w:rPr>
              <w:t>三亚国际体育产业园</w:t>
            </w:r>
            <w:r>
              <w:rPr>
                <w:rFonts w:hint="eastAsia" w:ascii="楷体" w:hAnsi="楷体" w:eastAsia="楷体" w:cs="楷体"/>
                <w:i w:val="0"/>
                <w:color w:val="auto"/>
                <w:kern w:val="2"/>
                <w:sz w:val="24"/>
                <w:szCs w:val="24"/>
                <w:u w:val="none"/>
                <w:lang w:val="en-US" w:eastAsia="zh-CN" w:bidi="ar"/>
              </w:rPr>
              <w:t>项目、大悦环球中心项目等3个在建项目施工现场，提出在做好疫情防控前提下有计划组织复工。</w:t>
            </w:r>
          </w:p>
        </w:tc>
      </w:tr>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397" w:hRule="atLeast"/>
          <w:jc w:val="center"/>
        </w:trPr>
        <w:tc>
          <w:tcPr>
            <w:tcW w:w="1651" w:type="dxa"/>
            <w:vAlign w:val="top"/>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楷体" w:hAnsi="楷体" w:eastAsia="楷体" w:cs="楷体"/>
                <w:b w:val="0"/>
                <w:bCs w:val="0"/>
                <w:kern w:val="2"/>
                <w:sz w:val="24"/>
                <w:szCs w:val="24"/>
                <w:vertAlign w:val="baseline"/>
                <w:lang w:val="en-US" w:eastAsia="zh-CN" w:bidi="ar-SA"/>
              </w:rPr>
            </w:pPr>
            <w:r>
              <w:rPr>
                <w:rFonts w:hint="eastAsia" w:ascii="楷体" w:hAnsi="楷体" w:eastAsia="楷体" w:cs="楷体"/>
                <w:b w:val="0"/>
                <w:bCs w:val="0"/>
                <w:kern w:val="2"/>
                <w:sz w:val="24"/>
                <w:szCs w:val="24"/>
                <w:vertAlign w:val="baseline"/>
                <w:lang w:val="en-US" w:eastAsia="zh-CN" w:bidi="ar-SA"/>
              </w:rPr>
              <w:t>2020.01.03</w:t>
            </w:r>
          </w:p>
        </w:tc>
        <w:tc>
          <w:tcPr>
            <w:tcW w:w="687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480" w:firstLineChars="200"/>
              <w:jc w:val="both"/>
              <w:textAlignment w:val="auto"/>
              <w:rPr>
                <w:rFonts w:hint="eastAsia" w:ascii="楷体" w:hAnsi="楷体" w:eastAsia="楷体" w:cs="楷体"/>
                <w:i w:val="0"/>
                <w:color w:val="000000"/>
                <w:kern w:val="2"/>
                <w:sz w:val="24"/>
                <w:szCs w:val="24"/>
                <w:u w:val="none"/>
                <w:lang w:val="en-US" w:eastAsia="zh-CN" w:bidi="ar"/>
              </w:rPr>
            </w:pPr>
            <w:r>
              <w:rPr>
                <w:rFonts w:hint="eastAsia" w:ascii="楷体" w:hAnsi="楷体" w:eastAsia="楷体" w:cs="楷体"/>
                <w:i w:val="0"/>
                <w:color w:val="000000"/>
                <w:kern w:val="2"/>
                <w:sz w:val="24"/>
                <w:szCs w:val="24"/>
                <w:u w:val="none"/>
                <w:lang w:val="en-US" w:eastAsia="zh-CN" w:bidi="ar"/>
              </w:rPr>
              <w:t>李军在三亚崖州湾科技城了解实施“特别极简审批”、人才引进落户服务及项目落地等情况，提出要着眼自贸港建设大局，竭力服务好入驻企业和引进人才，为人才提供良好的发展平台和机遇。</w:t>
            </w:r>
          </w:p>
        </w:tc>
      </w:tr>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397" w:hRule="atLeast"/>
          <w:jc w:val="center"/>
        </w:trPr>
        <w:tc>
          <w:tcPr>
            <w:tcW w:w="1651" w:type="dxa"/>
            <w:vAlign w:val="top"/>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楷体" w:hAnsi="楷体" w:eastAsia="楷体" w:cs="楷体"/>
                <w:b w:val="0"/>
                <w:bCs w:val="0"/>
                <w:kern w:val="2"/>
                <w:sz w:val="24"/>
                <w:szCs w:val="24"/>
                <w:vertAlign w:val="baseline"/>
                <w:lang w:val="en-US" w:eastAsia="zh-CN" w:bidi="ar-SA"/>
              </w:rPr>
            </w:pPr>
            <w:r>
              <w:rPr>
                <w:rFonts w:hint="eastAsia" w:ascii="楷体" w:hAnsi="楷体" w:eastAsia="楷体" w:cs="楷体"/>
                <w:b w:val="0"/>
                <w:bCs w:val="0"/>
                <w:kern w:val="2"/>
                <w:sz w:val="24"/>
                <w:szCs w:val="24"/>
                <w:vertAlign w:val="baseline"/>
                <w:lang w:val="en-US" w:eastAsia="zh-CN" w:bidi="ar-SA"/>
              </w:rPr>
              <w:t>2019.12.09</w:t>
            </w:r>
          </w:p>
        </w:tc>
        <w:tc>
          <w:tcPr>
            <w:tcW w:w="687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480" w:firstLineChars="200"/>
              <w:jc w:val="both"/>
              <w:textAlignment w:val="auto"/>
              <w:rPr>
                <w:rFonts w:hint="eastAsia" w:ascii="楷体" w:hAnsi="楷体" w:eastAsia="楷体" w:cs="楷体"/>
                <w:i w:val="0"/>
                <w:color w:val="000000"/>
                <w:kern w:val="2"/>
                <w:sz w:val="24"/>
                <w:szCs w:val="24"/>
                <w:u w:val="none"/>
                <w:lang w:val="en-US" w:eastAsia="zh-CN" w:bidi="ar"/>
              </w:rPr>
            </w:pPr>
            <w:r>
              <w:rPr>
                <w:rFonts w:hint="eastAsia" w:ascii="楷体" w:hAnsi="楷体" w:eastAsia="楷体" w:cs="楷体"/>
                <w:i w:val="0"/>
                <w:color w:val="000000"/>
                <w:kern w:val="2"/>
                <w:sz w:val="24"/>
                <w:szCs w:val="24"/>
                <w:u w:val="none"/>
                <w:lang w:val="en-US" w:eastAsia="zh-CN" w:bidi="ar"/>
              </w:rPr>
              <w:t>王晓晖（中央宣传部常务副部长）一行在三亚就</w:t>
            </w:r>
            <w:r>
              <w:rPr>
                <w:rFonts w:hint="eastAsia" w:ascii="楷体" w:hAnsi="楷体" w:eastAsia="楷体" w:cs="楷体"/>
                <w:i w:val="0"/>
                <w:color w:val="000000"/>
                <w:kern w:val="2"/>
                <w:sz w:val="24"/>
                <w:szCs w:val="24"/>
                <w:u w:val="single"/>
                <w:lang w:val="en-US" w:eastAsia="zh-CN" w:bidi="ar"/>
              </w:rPr>
              <w:t>美丽渔村文化建设</w:t>
            </w:r>
            <w:r>
              <w:rPr>
                <w:rFonts w:hint="eastAsia" w:ascii="楷体" w:hAnsi="楷体" w:eastAsia="楷体" w:cs="楷体"/>
                <w:i w:val="0"/>
                <w:color w:val="000000"/>
                <w:kern w:val="2"/>
                <w:sz w:val="24"/>
                <w:szCs w:val="24"/>
                <w:u w:val="none"/>
                <w:lang w:val="en-US" w:eastAsia="zh-CN" w:bidi="ar"/>
              </w:rPr>
              <w:t>情况开展调研，提出西岛社区要积极发展</w:t>
            </w:r>
            <w:r>
              <w:rPr>
                <w:rFonts w:hint="eastAsia" w:ascii="楷体" w:hAnsi="楷体" w:eastAsia="楷体" w:cs="楷体"/>
                <w:i w:val="0"/>
                <w:color w:val="000000"/>
                <w:kern w:val="2"/>
                <w:sz w:val="24"/>
                <w:szCs w:val="24"/>
                <w:u w:val="single"/>
                <w:lang w:val="en-US" w:eastAsia="zh-CN" w:bidi="ar"/>
              </w:rPr>
              <w:t>渔村文化</w:t>
            </w:r>
            <w:r>
              <w:rPr>
                <w:rFonts w:hint="eastAsia" w:ascii="楷体" w:hAnsi="楷体" w:eastAsia="楷体" w:cs="楷体"/>
                <w:i w:val="0"/>
                <w:color w:val="000000"/>
                <w:kern w:val="2"/>
                <w:sz w:val="24"/>
                <w:szCs w:val="24"/>
                <w:u w:val="none"/>
                <w:lang w:val="en-US" w:eastAsia="zh-CN" w:bidi="ar"/>
              </w:rPr>
              <w:t>，将其</w:t>
            </w:r>
            <w:r>
              <w:rPr>
                <w:rFonts w:hint="eastAsia" w:ascii="楷体" w:hAnsi="楷体" w:eastAsia="楷体" w:cs="楷体"/>
                <w:i w:val="0"/>
                <w:color w:val="000000"/>
                <w:kern w:val="2"/>
                <w:sz w:val="24"/>
                <w:szCs w:val="24"/>
                <w:u w:val="single"/>
                <w:lang w:val="en-US" w:eastAsia="zh-CN" w:bidi="ar"/>
              </w:rPr>
              <w:t>与海洋生态相结合</w:t>
            </w:r>
            <w:r>
              <w:rPr>
                <w:rFonts w:hint="eastAsia" w:ascii="楷体" w:hAnsi="楷体" w:eastAsia="楷体" w:cs="楷体"/>
                <w:i w:val="0"/>
                <w:color w:val="000000"/>
                <w:kern w:val="2"/>
                <w:sz w:val="24"/>
                <w:szCs w:val="24"/>
                <w:u w:val="none"/>
                <w:lang w:val="en-US" w:eastAsia="zh-CN" w:bidi="ar"/>
              </w:rPr>
              <w:t>，努力形成</w:t>
            </w:r>
            <w:r>
              <w:rPr>
                <w:rFonts w:hint="eastAsia" w:ascii="楷体" w:hAnsi="楷体" w:eastAsia="楷体" w:cs="楷体"/>
                <w:i w:val="0"/>
                <w:color w:val="000000"/>
                <w:kern w:val="2"/>
                <w:sz w:val="24"/>
                <w:szCs w:val="24"/>
                <w:u w:val="single"/>
                <w:lang w:val="en-US" w:eastAsia="zh-CN" w:bidi="ar"/>
              </w:rPr>
              <w:t>具有渔村特色的旅租文化和餐饮文化</w:t>
            </w:r>
            <w:r>
              <w:rPr>
                <w:rFonts w:hint="eastAsia" w:ascii="楷体" w:hAnsi="楷体" w:eastAsia="楷体" w:cs="楷体"/>
                <w:i w:val="0"/>
                <w:color w:val="000000"/>
                <w:kern w:val="2"/>
                <w:sz w:val="24"/>
                <w:szCs w:val="24"/>
                <w:u w:val="none"/>
                <w:lang w:val="en-US" w:eastAsia="zh-CN" w:bidi="ar"/>
              </w:rPr>
              <w:t>，</w:t>
            </w:r>
            <w:r>
              <w:rPr>
                <w:rFonts w:hint="eastAsia" w:ascii="楷体" w:hAnsi="楷体" w:eastAsia="楷体" w:cs="楷体"/>
                <w:i w:val="0"/>
                <w:color w:val="000000"/>
                <w:kern w:val="2"/>
                <w:sz w:val="24"/>
                <w:szCs w:val="24"/>
                <w:u w:val="single"/>
                <w:lang w:val="en-US" w:eastAsia="zh-CN" w:bidi="ar"/>
              </w:rPr>
              <w:t>打造具有特色韵味的美丽渔村</w:t>
            </w:r>
            <w:r>
              <w:rPr>
                <w:rFonts w:hint="eastAsia" w:ascii="楷体" w:hAnsi="楷体" w:eastAsia="楷体" w:cs="楷体"/>
                <w:i w:val="0"/>
                <w:color w:val="000000"/>
                <w:kern w:val="2"/>
                <w:sz w:val="24"/>
                <w:szCs w:val="24"/>
                <w:u w:val="none"/>
                <w:lang w:val="en-US" w:eastAsia="zh-CN" w:bidi="ar"/>
              </w:rPr>
              <w:t>，擦亮西岛这张历史招牌。</w:t>
            </w:r>
          </w:p>
        </w:tc>
      </w:tr>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397" w:hRule="atLeast"/>
          <w:jc w:val="center"/>
        </w:trPr>
        <w:tc>
          <w:tcPr>
            <w:tcW w:w="1651" w:type="dxa"/>
            <w:vAlign w:val="top"/>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楷体" w:hAnsi="楷体" w:eastAsia="楷体" w:cs="楷体"/>
                <w:b w:val="0"/>
                <w:bCs w:val="0"/>
                <w:kern w:val="2"/>
                <w:sz w:val="24"/>
                <w:szCs w:val="24"/>
                <w:vertAlign w:val="baseline"/>
                <w:lang w:val="en-US" w:eastAsia="zh-CN" w:bidi="ar-SA"/>
              </w:rPr>
            </w:pPr>
            <w:r>
              <w:rPr>
                <w:rFonts w:hint="eastAsia" w:ascii="楷体" w:hAnsi="楷体" w:eastAsia="楷体" w:cs="楷体"/>
                <w:b w:val="0"/>
                <w:bCs w:val="0"/>
                <w:kern w:val="2"/>
                <w:sz w:val="24"/>
                <w:szCs w:val="24"/>
                <w:vertAlign w:val="baseline"/>
                <w:lang w:val="en-US" w:eastAsia="zh-CN" w:bidi="ar-SA"/>
              </w:rPr>
              <w:t>2019.11.09</w:t>
            </w:r>
          </w:p>
        </w:tc>
        <w:tc>
          <w:tcPr>
            <w:tcW w:w="687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480" w:firstLineChars="200"/>
              <w:jc w:val="both"/>
              <w:textAlignment w:val="auto"/>
              <w:rPr>
                <w:rFonts w:hint="eastAsia" w:ascii="楷体" w:hAnsi="楷体" w:eastAsia="楷体" w:cs="楷体"/>
                <w:i w:val="0"/>
                <w:color w:val="000000"/>
                <w:kern w:val="2"/>
                <w:sz w:val="24"/>
                <w:szCs w:val="24"/>
                <w:u w:val="none"/>
                <w:lang w:val="en-US" w:eastAsia="zh-CN" w:bidi="ar"/>
              </w:rPr>
            </w:pPr>
            <w:r>
              <w:rPr>
                <w:rFonts w:hint="eastAsia" w:ascii="楷体" w:hAnsi="楷体" w:eastAsia="楷体" w:cs="楷体"/>
                <w:i w:val="0"/>
                <w:color w:val="000000"/>
                <w:kern w:val="2"/>
                <w:sz w:val="24"/>
                <w:szCs w:val="24"/>
                <w:u w:val="none"/>
                <w:lang w:val="en-US" w:eastAsia="zh-CN" w:bidi="ar"/>
              </w:rPr>
              <w:t>韩正在三亚崖州湾科技城强调，海南要打造科技创新共享平台，聚焦深海科技产业和南繁科技产业，强化市场导向，充分发挥市场主体在</w:t>
            </w:r>
            <w:r>
              <w:rPr>
                <w:rFonts w:hint="eastAsia" w:ascii="楷体" w:hAnsi="楷体" w:eastAsia="楷体" w:cs="楷体"/>
                <w:i w:val="0"/>
                <w:color w:val="000000"/>
                <w:kern w:val="2"/>
                <w:sz w:val="24"/>
                <w:szCs w:val="24"/>
                <w:u w:val="single"/>
                <w:lang w:val="en-US" w:eastAsia="zh-CN" w:bidi="ar"/>
              </w:rPr>
              <w:t>科研成果转化</w:t>
            </w:r>
            <w:r>
              <w:rPr>
                <w:rFonts w:hint="eastAsia" w:ascii="楷体" w:hAnsi="楷体" w:eastAsia="楷体" w:cs="楷体"/>
                <w:i w:val="0"/>
                <w:color w:val="000000"/>
                <w:kern w:val="2"/>
                <w:sz w:val="24"/>
                <w:szCs w:val="24"/>
                <w:u w:val="none"/>
                <w:lang w:val="en-US" w:eastAsia="zh-CN" w:bidi="ar"/>
              </w:rPr>
              <w:t>中的主导作用。发挥海洋科研“国家队”作用，推动海洋科技全面发展，为加快建设海洋强国作出更大贡献。</w:t>
            </w:r>
          </w:p>
        </w:tc>
      </w:tr>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397" w:hRule="atLeast"/>
          <w:jc w:val="center"/>
        </w:trPr>
        <w:tc>
          <w:tcPr>
            <w:tcW w:w="1651" w:type="dxa"/>
            <w:vAlign w:val="top"/>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楷体" w:hAnsi="楷体" w:eastAsia="楷体" w:cs="楷体"/>
                <w:b w:val="0"/>
                <w:bCs w:val="0"/>
                <w:kern w:val="2"/>
                <w:sz w:val="24"/>
                <w:szCs w:val="24"/>
                <w:vertAlign w:val="baseline"/>
                <w:lang w:val="en-US" w:eastAsia="zh-CN" w:bidi="ar-SA"/>
              </w:rPr>
            </w:pPr>
            <w:r>
              <w:rPr>
                <w:rFonts w:hint="eastAsia" w:ascii="楷体" w:hAnsi="楷体" w:eastAsia="楷体" w:cs="楷体"/>
                <w:b w:val="0"/>
                <w:bCs w:val="0"/>
                <w:kern w:val="2"/>
                <w:sz w:val="24"/>
                <w:szCs w:val="24"/>
                <w:vertAlign w:val="baseline"/>
                <w:lang w:val="en-US" w:eastAsia="zh-CN" w:bidi="ar-SA"/>
              </w:rPr>
              <w:t>2019.11.03</w:t>
            </w:r>
          </w:p>
        </w:tc>
        <w:tc>
          <w:tcPr>
            <w:tcW w:w="687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480" w:firstLineChars="200"/>
              <w:jc w:val="both"/>
              <w:textAlignment w:val="auto"/>
              <w:rPr>
                <w:rFonts w:hint="eastAsia" w:ascii="楷体" w:hAnsi="楷体" w:eastAsia="楷体" w:cs="楷体"/>
                <w:i w:val="0"/>
                <w:color w:val="000000"/>
                <w:kern w:val="2"/>
                <w:sz w:val="24"/>
                <w:szCs w:val="24"/>
                <w:u w:val="none"/>
                <w:lang w:val="en-US" w:eastAsia="zh-CN" w:bidi="ar"/>
              </w:rPr>
            </w:pPr>
            <w:r>
              <w:rPr>
                <w:rFonts w:hint="eastAsia" w:ascii="楷体" w:hAnsi="楷体" w:eastAsia="楷体" w:cs="楷体"/>
                <w:i w:val="0"/>
                <w:color w:val="000000"/>
                <w:kern w:val="2"/>
                <w:sz w:val="24"/>
                <w:szCs w:val="24"/>
                <w:u w:val="none"/>
                <w:lang w:val="en-US" w:eastAsia="zh-CN" w:bidi="ar"/>
              </w:rPr>
              <w:t>李军在三亚调研海南农垦南繁产业集团发展情况，强调农垦南繁产业集团要立足自身优势，突出主责主业，聚焦种业，大力发展</w:t>
            </w:r>
            <w:r>
              <w:rPr>
                <w:rFonts w:hint="eastAsia" w:ascii="楷体" w:hAnsi="楷体" w:eastAsia="楷体" w:cs="楷体"/>
                <w:i w:val="0"/>
                <w:color w:val="000000"/>
                <w:kern w:val="2"/>
                <w:sz w:val="24"/>
                <w:szCs w:val="24"/>
                <w:u w:val="single"/>
                <w:lang w:val="en-US" w:eastAsia="zh-CN" w:bidi="ar"/>
              </w:rPr>
              <w:t>南繁育制种</w:t>
            </w:r>
            <w:r>
              <w:rPr>
                <w:rFonts w:hint="eastAsia" w:ascii="楷体" w:hAnsi="楷体" w:eastAsia="楷体" w:cs="楷体"/>
                <w:i w:val="0"/>
                <w:color w:val="000000"/>
                <w:kern w:val="2"/>
                <w:sz w:val="24"/>
                <w:szCs w:val="24"/>
                <w:u w:val="none"/>
                <w:lang w:val="en-US" w:eastAsia="zh-CN" w:bidi="ar"/>
              </w:rPr>
              <w:t>、</w:t>
            </w:r>
            <w:r>
              <w:rPr>
                <w:rFonts w:hint="eastAsia" w:ascii="楷体" w:hAnsi="楷体" w:eastAsia="楷体" w:cs="楷体"/>
                <w:i w:val="0"/>
                <w:color w:val="000000"/>
                <w:kern w:val="2"/>
                <w:sz w:val="24"/>
                <w:szCs w:val="24"/>
                <w:u w:val="single"/>
                <w:lang w:val="en-US" w:eastAsia="zh-CN" w:bidi="ar"/>
              </w:rPr>
              <w:t>南繁用地管理等产业</w:t>
            </w:r>
            <w:r>
              <w:rPr>
                <w:rFonts w:hint="eastAsia" w:ascii="楷体" w:hAnsi="楷体" w:eastAsia="楷体" w:cs="楷体"/>
                <w:i w:val="0"/>
                <w:color w:val="000000"/>
                <w:kern w:val="2"/>
                <w:sz w:val="24"/>
                <w:szCs w:val="24"/>
                <w:u w:val="none"/>
                <w:lang w:val="en-US" w:eastAsia="zh-CN" w:bidi="ar"/>
              </w:rPr>
              <w:t>，为省内外专业育制种企业和全国垦区企业等提供优质服务。</w:t>
            </w:r>
          </w:p>
        </w:tc>
      </w:tr>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397" w:hRule="atLeast"/>
          <w:jc w:val="center"/>
        </w:trPr>
        <w:tc>
          <w:tcPr>
            <w:tcW w:w="1651" w:type="dxa"/>
            <w:vAlign w:val="top"/>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楷体" w:hAnsi="楷体" w:eastAsia="楷体" w:cs="楷体"/>
                <w:b w:val="0"/>
                <w:bCs w:val="0"/>
                <w:kern w:val="2"/>
                <w:sz w:val="24"/>
                <w:szCs w:val="24"/>
                <w:vertAlign w:val="baseline"/>
                <w:lang w:val="en-US" w:eastAsia="zh-CN" w:bidi="ar-SA"/>
              </w:rPr>
            </w:pPr>
            <w:r>
              <w:rPr>
                <w:rFonts w:hint="eastAsia" w:ascii="楷体" w:hAnsi="楷体" w:eastAsia="楷体" w:cs="楷体"/>
                <w:b w:val="0"/>
                <w:bCs w:val="0"/>
                <w:kern w:val="2"/>
                <w:sz w:val="24"/>
                <w:szCs w:val="24"/>
                <w:vertAlign w:val="baseline"/>
                <w:lang w:val="en-US" w:eastAsia="zh-CN" w:bidi="ar-SA"/>
              </w:rPr>
              <w:t>2019.06.21</w:t>
            </w:r>
          </w:p>
        </w:tc>
        <w:tc>
          <w:tcPr>
            <w:tcW w:w="687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480" w:firstLineChars="200"/>
              <w:jc w:val="both"/>
              <w:textAlignment w:val="auto"/>
              <w:rPr>
                <w:rFonts w:hint="eastAsia" w:ascii="楷体" w:hAnsi="楷体" w:eastAsia="楷体" w:cs="楷体"/>
                <w:i w:val="0"/>
                <w:color w:val="auto"/>
                <w:kern w:val="2"/>
                <w:sz w:val="24"/>
                <w:szCs w:val="24"/>
                <w:u w:val="none"/>
                <w:lang w:val="en-US" w:eastAsia="zh-CN" w:bidi="ar"/>
              </w:rPr>
            </w:pPr>
            <w:r>
              <w:rPr>
                <w:rFonts w:hint="eastAsia" w:ascii="楷体" w:hAnsi="楷体" w:eastAsia="楷体" w:cs="楷体"/>
                <w:i w:val="0"/>
                <w:color w:val="000000"/>
                <w:kern w:val="2"/>
                <w:sz w:val="24"/>
                <w:szCs w:val="24"/>
                <w:u w:val="none"/>
                <w:lang w:val="en-US" w:eastAsia="zh-CN" w:bidi="ar"/>
              </w:rPr>
              <w:t>沈晓明在三亚调研，一是肯定三亚市中医院发展对外</w:t>
            </w:r>
            <w:r>
              <w:rPr>
                <w:rFonts w:hint="eastAsia" w:ascii="楷体" w:hAnsi="楷体" w:eastAsia="楷体" w:cs="楷体"/>
                <w:i w:val="0"/>
                <w:color w:val="000000"/>
                <w:kern w:val="2"/>
                <w:sz w:val="24"/>
                <w:szCs w:val="24"/>
                <w:u w:val="single"/>
                <w:lang w:val="en-US" w:eastAsia="zh-CN" w:bidi="ar"/>
              </w:rPr>
              <w:t>中医疗养游</w:t>
            </w:r>
            <w:r>
              <w:rPr>
                <w:rFonts w:hint="eastAsia" w:ascii="楷体" w:hAnsi="楷体" w:eastAsia="楷体" w:cs="楷体"/>
                <w:i w:val="0"/>
                <w:color w:val="000000"/>
                <w:kern w:val="2"/>
                <w:sz w:val="24"/>
                <w:szCs w:val="24"/>
                <w:u w:val="none"/>
                <w:lang w:val="en-US" w:eastAsia="zh-CN" w:bidi="ar"/>
              </w:rPr>
              <w:t>；二是指出三亚要加入投入力度，集中力量建设好崖州湾科技城；三是明确三亚要与其他市县实现</w:t>
            </w:r>
            <w:r>
              <w:rPr>
                <w:rFonts w:hint="eastAsia" w:ascii="楷体" w:hAnsi="楷体" w:eastAsia="楷体" w:cs="楷体"/>
                <w:i w:val="0"/>
                <w:color w:val="000000"/>
                <w:kern w:val="2"/>
                <w:sz w:val="24"/>
                <w:szCs w:val="24"/>
                <w:u w:val="single"/>
                <w:lang w:val="en-US" w:eastAsia="zh-CN" w:bidi="ar"/>
              </w:rPr>
              <w:t>差异化发展</w:t>
            </w:r>
            <w:r>
              <w:rPr>
                <w:rFonts w:hint="eastAsia" w:ascii="楷体" w:hAnsi="楷体" w:eastAsia="楷体" w:cs="楷体"/>
                <w:i w:val="0"/>
                <w:color w:val="000000"/>
                <w:kern w:val="2"/>
                <w:sz w:val="24"/>
                <w:szCs w:val="24"/>
                <w:u w:val="none"/>
                <w:lang w:val="en-US" w:eastAsia="zh-CN" w:bidi="ar"/>
              </w:rPr>
              <w:t>，形成优势明显、</w:t>
            </w:r>
            <w:r>
              <w:rPr>
                <w:rFonts w:hint="eastAsia" w:ascii="楷体" w:hAnsi="楷体" w:eastAsia="楷体" w:cs="楷体"/>
                <w:i w:val="0"/>
                <w:color w:val="000000"/>
                <w:kern w:val="2"/>
                <w:sz w:val="24"/>
                <w:szCs w:val="24"/>
                <w:u w:val="single"/>
                <w:lang w:val="en-US" w:eastAsia="zh-CN" w:bidi="ar"/>
              </w:rPr>
              <w:t>特色鲜明的产业体系</w:t>
            </w:r>
            <w:r>
              <w:rPr>
                <w:rFonts w:hint="eastAsia" w:ascii="楷体" w:hAnsi="楷体" w:eastAsia="楷体" w:cs="楷体"/>
                <w:i w:val="0"/>
                <w:color w:val="000000"/>
                <w:kern w:val="2"/>
                <w:sz w:val="24"/>
                <w:szCs w:val="24"/>
                <w:u w:val="none"/>
                <w:lang w:val="en-US" w:eastAsia="zh-CN" w:bidi="ar"/>
              </w:rPr>
              <w:t>，加快新旧动能转换，打造海南经济发展第二增长极。</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480" w:firstLineChars="200"/>
              <w:jc w:val="both"/>
              <w:textAlignment w:val="auto"/>
              <w:rPr>
                <w:rFonts w:hint="eastAsia" w:ascii="楷体" w:hAnsi="楷体" w:eastAsia="楷体" w:cs="楷体"/>
                <w:i w:val="0"/>
                <w:color w:val="000000"/>
                <w:kern w:val="2"/>
                <w:sz w:val="24"/>
                <w:szCs w:val="24"/>
                <w:u w:val="none"/>
                <w:lang w:val="en-US" w:eastAsia="zh-CN" w:bidi="ar"/>
              </w:rPr>
            </w:pPr>
            <w:r>
              <w:rPr>
                <w:rFonts w:hint="eastAsia" w:ascii="楷体" w:hAnsi="楷体" w:eastAsia="楷体" w:cs="楷体"/>
                <w:i w:val="0"/>
                <w:color w:val="000000"/>
                <w:kern w:val="2"/>
                <w:sz w:val="24"/>
                <w:szCs w:val="24"/>
                <w:u w:val="none"/>
                <w:lang w:val="en-US" w:eastAsia="zh-CN" w:bidi="ar"/>
              </w:rPr>
              <w:t>沈省长强调，三亚要下大力气推进崖州湾科技城建设；要</w:t>
            </w:r>
            <w:r>
              <w:rPr>
                <w:rFonts w:hint="eastAsia" w:ascii="楷体" w:hAnsi="楷体" w:eastAsia="楷体" w:cs="楷体"/>
                <w:i w:val="0"/>
                <w:color w:val="000000"/>
                <w:kern w:val="2"/>
                <w:sz w:val="24"/>
                <w:szCs w:val="24"/>
                <w:u w:val="single"/>
                <w:lang w:val="en-US" w:eastAsia="zh-CN" w:bidi="ar"/>
              </w:rPr>
              <w:t>加强旅游吸引物建设</w:t>
            </w:r>
            <w:r>
              <w:rPr>
                <w:rFonts w:hint="eastAsia" w:ascii="楷体" w:hAnsi="楷体" w:eastAsia="楷体" w:cs="楷体"/>
                <w:i w:val="0"/>
                <w:color w:val="000000"/>
                <w:kern w:val="2"/>
                <w:sz w:val="24"/>
                <w:szCs w:val="24"/>
                <w:u w:val="none"/>
                <w:lang w:val="en-US" w:eastAsia="zh-CN" w:bidi="ar"/>
              </w:rPr>
              <w:t>，打造邮轮游艇、会展、</w:t>
            </w:r>
            <w:r>
              <w:rPr>
                <w:rFonts w:hint="eastAsia" w:ascii="楷体" w:hAnsi="楷体" w:eastAsia="楷体" w:cs="楷体"/>
                <w:i w:val="0"/>
                <w:color w:val="000000"/>
                <w:kern w:val="2"/>
                <w:sz w:val="24"/>
                <w:szCs w:val="24"/>
                <w:u w:val="single"/>
                <w:lang w:val="en-US" w:eastAsia="zh-CN" w:bidi="ar"/>
              </w:rPr>
              <w:t>节庆活动</w:t>
            </w:r>
            <w:r>
              <w:rPr>
                <w:rFonts w:hint="eastAsia" w:ascii="楷体" w:hAnsi="楷体" w:eastAsia="楷体" w:cs="楷体"/>
                <w:i w:val="0"/>
                <w:color w:val="000000"/>
                <w:kern w:val="2"/>
                <w:sz w:val="24"/>
                <w:szCs w:val="24"/>
                <w:u w:val="none"/>
                <w:lang w:val="en-US" w:eastAsia="zh-CN" w:bidi="ar"/>
              </w:rPr>
              <w:t>、</w:t>
            </w:r>
            <w:r>
              <w:rPr>
                <w:rFonts w:hint="eastAsia" w:ascii="楷体" w:hAnsi="楷体" w:eastAsia="楷体" w:cs="楷体"/>
                <w:i w:val="0"/>
                <w:color w:val="000000"/>
                <w:kern w:val="2"/>
                <w:sz w:val="24"/>
                <w:szCs w:val="24"/>
                <w:u w:val="single"/>
                <w:lang w:val="en-US" w:eastAsia="zh-CN" w:bidi="ar"/>
              </w:rPr>
              <w:t>夜市</w:t>
            </w:r>
            <w:r>
              <w:rPr>
                <w:rFonts w:hint="eastAsia" w:ascii="楷体" w:hAnsi="楷体" w:eastAsia="楷体" w:cs="楷体"/>
                <w:i w:val="0"/>
                <w:color w:val="000000"/>
                <w:kern w:val="2"/>
                <w:sz w:val="24"/>
                <w:szCs w:val="24"/>
                <w:u w:val="none"/>
                <w:lang w:val="en-US" w:eastAsia="zh-CN" w:bidi="ar"/>
              </w:rPr>
              <w:t>等旅游产品，在国际旅游消费中心建设中当好主力军。</w:t>
            </w:r>
          </w:p>
        </w:tc>
      </w:tr>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397" w:hRule="atLeast"/>
          <w:jc w:val="center"/>
        </w:trPr>
        <w:tc>
          <w:tcPr>
            <w:tcW w:w="1651" w:type="dxa"/>
            <w:vAlign w:val="top"/>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楷体" w:hAnsi="楷体" w:eastAsia="楷体" w:cs="楷体"/>
                <w:b w:val="0"/>
                <w:bCs w:val="0"/>
                <w:kern w:val="2"/>
                <w:sz w:val="24"/>
                <w:szCs w:val="24"/>
                <w:vertAlign w:val="baseline"/>
                <w:lang w:val="en-US" w:eastAsia="zh-CN" w:bidi="ar-SA"/>
              </w:rPr>
            </w:pPr>
            <w:r>
              <w:rPr>
                <w:rFonts w:hint="eastAsia" w:ascii="楷体" w:hAnsi="楷体" w:eastAsia="楷体" w:cs="楷体"/>
                <w:b w:val="0"/>
                <w:bCs w:val="0"/>
                <w:kern w:val="2"/>
                <w:sz w:val="24"/>
                <w:szCs w:val="24"/>
                <w:vertAlign w:val="baseline"/>
                <w:lang w:val="en-US" w:eastAsia="zh-CN" w:bidi="ar-SA"/>
              </w:rPr>
              <w:t>2019.05.25</w:t>
            </w:r>
          </w:p>
        </w:tc>
        <w:tc>
          <w:tcPr>
            <w:tcW w:w="687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480" w:firstLineChars="200"/>
              <w:jc w:val="both"/>
              <w:textAlignment w:val="auto"/>
              <w:rPr>
                <w:rFonts w:hint="eastAsia" w:ascii="楷体" w:hAnsi="楷体" w:eastAsia="楷体" w:cs="楷体"/>
                <w:i w:val="0"/>
                <w:color w:val="000000"/>
                <w:kern w:val="2"/>
                <w:sz w:val="24"/>
                <w:szCs w:val="24"/>
                <w:u w:val="none"/>
                <w:lang w:val="en-US" w:eastAsia="zh-CN" w:bidi="ar"/>
              </w:rPr>
            </w:pPr>
            <w:r>
              <w:rPr>
                <w:rFonts w:hint="eastAsia" w:ascii="楷体" w:hAnsi="楷体" w:eastAsia="楷体" w:cs="楷体"/>
                <w:i w:val="0"/>
                <w:color w:val="000000"/>
                <w:kern w:val="2"/>
                <w:sz w:val="24"/>
                <w:szCs w:val="24"/>
                <w:u w:val="none"/>
                <w:lang w:val="en-US" w:eastAsia="zh-CN" w:bidi="ar"/>
              </w:rPr>
              <w:t>毛万春在三亚崖州湾科技城开展园区管理体制创新调研，指出高水平规划建设园区是三亚发展以旅游业、现代服务业和高新技术产业为主导产业的重要一环。崖州湾科技城区位优势明显，可按照“</w:t>
            </w:r>
            <w:r>
              <w:rPr>
                <w:rFonts w:hint="eastAsia" w:ascii="楷体" w:hAnsi="楷体" w:eastAsia="楷体" w:cs="楷体"/>
                <w:i w:val="0"/>
                <w:color w:val="000000"/>
                <w:kern w:val="2"/>
                <w:sz w:val="24"/>
                <w:szCs w:val="24"/>
                <w:u w:val="single"/>
                <w:lang w:val="en-US" w:eastAsia="zh-CN" w:bidi="ar"/>
              </w:rPr>
              <w:t>文化为魂</w:t>
            </w:r>
            <w:r>
              <w:rPr>
                <w:rFonts w:hint="eastAsia" w:ascii="楷体" w:hAnsi="楷体" w:eastAsia="楷体" w:cs="楷体"/>
                <w:i w:val="0"/>
                <w:color w:val="000000"/>
                <w:kern w:val="2"/>
                <w:sz w:val="24"/>
                <w:szCs w:val="24"/>
                <w:u w:val="none"/>
                <w:lang w:val="en-US" w:eastAsia="zh-CN" w:bidi="ar"/>
              </w:rPr>
              <w:t>、</w:t>
            </w:r>
            <w:r>
              <w:rPr>
                <w:rFonts w:hint="eastAsia" w:ascii="楷体" w:hAnsi="楷体" w:eastAsia="楷体" w:cs="楷体"/>
                <w:i w:val="0"/>
                <w:color w:val="000000"/>
                <w:kern w:val="2"/>
                <w:sz w:val="24"/>
                <w:szCs w:val="24"/>
                <w:u w:val="single"/>
                <w:lang w:val="en-US" w:eastAsia="zh-CN" w:bidi="ar"/>
              </w:rPr>
              <w:t>水系为韵</w:t>
            </w:r>
            <w:r>
              <w:rPr>
                <w:rFonts w:hint="eastAsia" w:ascii="楷体" w:hAnsi="楷体" w:eastAsia="楷体" w:cs="楷体"/>
                <w:i w:val="0"/>
                <w:color w:val="000000"/>
                <w:kern w:val="2"/>
                <w:sz w:val="24"/>
                <w:szCs w:val="24"/>
                <w:u w:val="none"/>
                <w:lang w:val="en-US" w:eastAsia="zh-CN" w:bidi="ar"/>
              </w:rPr>
              <w:t>、</w:t>
            </w:r>
            <w:r>
              <w:rPr>
                <w:rFonts w:hint="eastAsia" w:ascii="楷体" w:hAnsi="楷体" w:eastAsia="楷体" w:cs="楷体"/>
                <w:i w:val="0"/>
                <w:color w:val="000000"/>
                <w:kern w:val="2"/>
                <w:sz w:val="24"/>
                <w:szCs w:val="24"/>
                <w:u w:val="single"/>
                <w:lang w:val="en-US" w:eastAsia="zh-CN" w:bidi="ar"/>
              </w:rPr>
              <w:t>生态为媒</w:t>
            </w:r>
            <w:r>
              <w:rPr>
                <w:rFonts w:hint="eastAsia" w:ascii="楷体" w:hAnsi="楷体" w:eastAsia="楷体" w:cs="楷体"/>
                <w:i w:val="0"/>
                <w:color w:val="000000"/>
                <w:kern w:val="2"/>
                <w:sz w:val="24"/>
                <w:szCs w:val="24"/>
                <w:u w:val="none"/>
                <w:lang w:val="en-US" w:eastAsia="zh-CN" w:bidi="ar"/>
              </w:rPr>
              <w:t>、</w:t>
            </w:r>
            <w:r>
              <w:rPr>
                <w:rFonts w:hint="eastAsia" w:ascii="楷体" w:hAnsi="楷体" w:eastAsia="楷体" w:cs="楷体"/>
                <w:i w:val="0"/>
                <w:color w:val="000000"/>
                <w:kern w:val="2"/>
                <w:sz w:val="24"/>
                <w:szCs w:val="24"/>
                <w:u w:val="single"/>
                <w:lang w:val="en-US" w:eastAsia="zh-CN" w:bidi="ar"/>
              </w:rPr>
              <w:t>产城融合</w:t>
            </w:r>
            <w:r>
              <w:rPr>
                <w:rFonts w:hint="eastAsia" w:ascii="楷体" w:hAnsi="楷体" w:eastAsia="楷体" w:cs="楷体"/>
                <w:i w:val="0"/>
                <w:color w:val="000000"/>
                <w:kern w:val="2"/>
                <w:sz w:val="24"/>
                <w:szCs w:val="24"/>
                <w:u w:val="none"/>
                <w:lang w:val="en-US" w:eastAsia="zh-CN" w:bidi="ar"/>
              </w:rPr>
              <w:t>、人才为本、共享为特、创新为最、拥湾发展”的思路挖掘亮点。</w:t>
            </w:r>
          </w:p>
        </w:tc>
      </w:tr>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397" w:hRule="atLeast"/>
          <w:jc w:val="center"/>
        </w:trPr>
        <w:tc>
          <w:tcPr>
            <w:tcW w:w="1651" w:type="dxa"/>
            <w:vAlign w:val="top"/>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楷体" w:hAnsi="楷体" w:eastAsia="楷体" w:cs="楷体"/>
                <w:b w:val="0"/>
                <w:bCs w:val="0"/>
                <w:kern w:val="2"/>
                <w:sz w:val="24"/>
                <w:szCs w:val="24"/>
                <w:vertAlign w:val="baseline"/>
                <w:lang w:val="en-US" w:eastAsia="zh-CN" w:bidi="ar-SA"/>
              </w:rPr>
            </w:pPr>
            <w:r>
              <w:rPr>
                <w:rFonts w:hint="eastAsia" w:ascii="楷体" w:hAnsi="楷体" w:eastAsia="楷体" w:cs="楷体"/>
                <w:b w:val="0"/>
                <w:bCs w:val="0"/>
                <w:kern w:val="2"/>
                <w:sz w:val="24"/>
                <w:szCs w:val="24"/>
                <w:vertAlign w:val="baseline"/>
                <w:lang w:val="en-US" w:eastAsia="zh-CN" w:bidi="ar-SA"/>
              </w:rPr>
              <w:t>2018.12.05-08</w:t>
            </w:r>
          </w:p>
        </w:tc>
        <w:tc>
          <w:tcPr>
            <w:tcW w:w="687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480" w:firstLineChars="200"/>
              <w:jc w:val="both"/>
              <w:textAlignment w:val="auto"/>
              <w:rPr>
                <w:rFonts w:hint="eastAsia" w:ascii="楷体" w:hAnsi="楷体" w:eastAsia="楷体" w:cs="楷体"/>
                <w:i w:val="0"/>
                <w:color w:val="000000"/>
                <w:kern w:val="2"/>
                <w:sz w:val="24"/>
                <w:szCs w:val="24"/>
                <w:u w:val="none"/>
                <w:lang w:val="en-US" w:eastAsia="zh-CN" w:bidi="ar"/>
              </w:rPr>
            </w:pPr>
            <w:r>
              <w:rPr>
                <w:rFonts w:hint="eastAsia" w:ascii="楷体" w:hAnsi="楷体" w:eastAsia="楷体" w:cs="楷体"/>
                <w:i w:val="0"/>
                <w:color w:val="000000"/>
                <w:kern w:val="2"/>
                <w:sz w:val="24"/>
                <w:szCs w:val="24"/>
                <w:u w:val="none"/>
                <w:lang w:val="en-US" w:eastAsia="zh-CN" w:bidi="ar"/>
              </w:rPr>
              <w:t>刘赐贵在三亚、陵水、乐东、保亭调研，要求紧紧围绕旅游业、现代服务业、高新技术产业等主导产业，前瞻统筹规划、优化产业布局，推动</w:t>
            </w:r>
            <w:r>
              <w:rPr>
                <w:rFonts w:hint="eastAsia" w:ascii="楷体" w:hAnsi="楷体" w:eastAsia="楷体" w:cs="楷体"/>
                <w:i w:val="0"/>
                <w:color w:val="000000"/>
                <w:kern w:val="2"/>
                <w:sz w:val="24"/>
                <w:szCs w:val="24"/>
                <w:u w:val="single"/>
                <w:lang w:val="en-US" w:eastAsia="zh-CN" w:bidi="ar"/>
              </w:rPr>
              <w:t>与热带特色高效农业融合发展</w:t>
            </w:r>
            <w:r>
              <w:rPr>
                <w:rFonts w:hint="eastAsia" w:ascii="楷体" w:hAnsi="楷体" w:eastAsia="楷体" w:cs="楷体"/>
                <w:i w:val="0"/>
                <w:color w:val="000000"/>
                <w:kern w:val="2"/>
                <w:sz w:val="24"/>
                <w:szCs w:val="24"/>
                <w:u w:val="none"/>
                <w:lang w:val="en-US" w:eastAsia="zh-CN" w:bidi="ar"/>
              </w:rPr>
              <w:t>，</w:t>
            </w:r>
            <w:r>
              <w:rPr>
                <w:rFonts w:hint="eastAsia" w:ascii="楷体" w:hAnsi="楷体" w:eastAsia="楷体" w:cs="楷体"/>
                <w:i w:val="0"/>
                <w:color w:val="000000"/>
                <w:kern w:val="2"/>
                <w:sz w:val="24"/>
                <w:szCs w:val="24"/>
                <w:u w:val="single"/>
                <w:lang w:val="en-US" w:eastAsia="zh-CN" w:bidi="ar"/>
              </w:rPr>
              <w:t>整合全国南繁育种资源</w:t>
            </w:r>
            <w:r>
              <w:rPr>
                <w:rFonts w:hint="eastAsia" w:ascii="楷体" w:hAnsi="楷体" w:eastAsia="楷体" w:cs="楷体"/>
                <w:i w:val="0"/>
                <w:color w:val="000000"/>
                <w:kern w:val="2"/>
                <w:sz w:val="24"/>
                <w:szCs w:val="24"/>
                <w:u w:val="none"/>
                <w:lang w:val="en-US" w:eastAsia="zh-CN" w:bidi="ar"/>
              </w:rPr>
              <w:t>，</w:t>
            </w:r>
            <w:r>
              <w:rPr>
                <w:rFonts w:hint="eastAsia" w:ascii="楷体" w:hAnsi="楷体" w:eastAsia="楷体" w:cs="楷体"/>
                <w:i w:val="0"/>
                <w:color w:val="000000"/>
                <w:kern w:val="2"/>
                <w:sz w:val="24"/>
                <w:szCs w:val="24"/>
                <w:u w:val="single"/>
                <w:lang w:val="en-US" w:eastAsia="zh-CN" w:bidi="ar"/>
              </w:rPr>
              <w:t>加快完善公共设施平台</w:t>
            </w:r>
            <w:r>
              <w:rPr>
                <w:rFonts w:hint="eastAsia" w:ascii="楷体" w:hAnsi="楷体" w:eastAsia="楷体" w:cs="楷体"/>
                <w:i w:val="0"/>
                <w:color w:val="000000"/>
                <w:kern w:val="2"/>
                <w:sz w:val="24"/>
                <w:szCs w:val="24"/>
                <w:u w:val="none"/>
                <w:lang w:val="en-US" w:eastAsia="zh-CN" w:bidi="ar"/>
              </w:rPr>
              <w:t>，</w:t>
            </w:r>
            <w:r>
              <w:rPr>
                <w:rFonts w:hint="eastAsia" w:ascii="楷体" w:hAnsi="楷体" w:eastAsia="楷体" w:cs="楷体"/>
                <w:i w:val="0"/>
                <w:color w:val="000000"/>
                <w:kern w:val="2"/>
                <w:sz w:val="24"/>
                <w:szCs w:val="24"/>
                <w:u w:val="single"/>
                <w:lang w:val="en-US" w:eastAsia="zh-CN" w:bidi="ar"/>
              </w:rPr>
              <w:t>加大育种就地转化力度</w:t>
            </w:r>
            <w:r>
              <w:rPr>
                <w:rFonts w:hint="eastAsia" w:ascii="楷体" w:hAnsi="楷体" w:eastAsia="楷体" w:cs="楷体"/>
                <w:i w:val="0"/>
                <w:color w:val="000000"/>
                <w:kern w:val="2"/>
                <w:sz w:val="24"/>
                <w:szCs w:val="24"/>
                <w:u w:val="none"/>
                <w:lang w:val="en-US" w:eastAsia="zh-CN" w:bidi="ar"/>
              </w:rPr>
              <w:t>，打造“大三亚”产业“王牌”。</w:t>
            </w:r>
          </w:p>
        </w:tc>
      </w:tr>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397" w:hRule="atLeast"/>
          <w:jc w:val="center"/>
        </w:trPr>
        <w:tc>
          <w:tcPr>
            <w:tcW w:w="1651" w:type="dxa"/>
            <w:vAlign w:val="top"/>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楷体" w:hAnsi="楷体" w:eastAsia="楷体" w:cs="楷体"/>
                <w:b w:val="0"/>
                <w:bCs w:val="0"/>
                <w:kern w:val="2"/>
                <w:sz w:val="24"/>
                <w:szCs w:val="24"/>
                <w:vertAlign w:val="baseline"/>
                <w:lang w:val="en-US" w:eastAsia="zh-CN" w:bidi="ar-SA"/>
              </w:rPr>
            </w:pPr>
            <w:r>
              <w:rPr>
                <w:rFonts w:hint="eastAsia" w:ascii="楷体" w:hAnsi="楷体" w:eastAsia="楷体" w:cs="楷体"/>
                <w:b w:val="0"/>
                <w:bCs w:val="0"/>
                <w:kern w:val="2"/>
                <w:sz w:val="24"/>
                <w:szCs w:val="24"/>
                <w:vertAlign w:val="baseline"/>
                <w:lang w:val="en-US" w:eastAsia="zh-CN" w:bidi="ar-SA"/>
              </w:rPr>
              <w:t>2018.11.29</w:t>
            </w:r>
          </w:p>
        </w:tc>
        <w:tc>
          <w:tcPr>
            <w:tcW w:w="687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480" w:firstLineChars="200"/>
              <w:jc w:val="both"/>
              <w:textAlignment w:val="auto"/>
              <w:rPr>
                <w:rFonts w:hint="eastAsia" w:ascii="楷体" w:hAnsi="楷体" w:eastAsia="楷体" w:cs="楷体"/>
                <w:i w:val="0"/>
                <w:color w:val="000000"/>
                <w:kern w:val="2"/>
                <w:sz w:val="24"/>
                <w:szCs w:val="24"/>
                <w:u w:val="none"/>
                <w:lang w:val="en-US" w:eastAsia="zh-CN" w:bidi="ar"/>
              </w:rPr>
            </w:pPr>
            <w:r>
              <w:rPr>
                <w:rFonts w:hint="eastAsia" w:ascii="楷体" w:hAnsi="楷体" w:eastAsia="楷体" w:cs="楷体"/>
                <w:i w:val="0"/>
                <w:color w:val="auto"/>
                <w:kern w:val="2"/>
                <w:sz w:val="24"/>
                <w:szCs w:val="24"/>
                <w:u w:val="none"/>
                <w:lang w:val="en-US" w:eastAsia="zh-CN" w:bidi="ar"/>
              </w:rPr>
              <w:t>中国</w:t>
            </w:r>
            <w:r>
              <w:rPr>
                <w:rFonts w:hint="eastAsia" w:ascii="楷体" w:hAnsi="楷体" w:eastAsia="楷体" w:cs="楷体"/>
                <w:i w:val="0"/>
                <w:color w:val="000000"/>
                <w:kern w:val="2"/>
                <w:sz w:val="24"/>
                <w:szCs w:val="24"/>
                <w:u w:val="none"/>
                <w:lang w:val="en-US" w:eastAsia="zh-CN" w:bidi="ar"/>
              </w:rPr>
              <w:t>致公党中央到海南调研海洋科技创新情况，提出要进一步加强区域合作，积极对接粤港澳大湾区建设，主动作为；要做好人才引进工作，打造创新创业平台；要聚焦优势领域，重点攻关</w:t>
            </w:r>
            <w:r>
              <w:rPr>
                <w:rFonts w:hint="eastAsia" w:ascii="楷体" w:hAnsi="楷体" w:eastAsia="楷体" w:cs="楷体"/>
                <w:i w:val="0"/>
                <w:color w:val="000000"/>
                <w:kern w:val="2"/>
                <w:sz w:val="24"/>
                <w:szCs w:val="24"/>
                <w:u w:val="single"/>
                <w:lang w:val="en-US" w:eastAsia="zh-CN" w:bidi="ar"/>
              </w:rPr>
              <w:t>海洋医药</w:t>
            </w:r>
            <w:r>
              <w:rPr>
                <w:rFonts w:hint="eastAsia" w:ascii="楷体" w:hAnsi="楷体" w:eastAsia="楷体" w:cs="楷体"/>
                <w:i w:val="0"/>
                <w:color w:val="000000"/>
                <w:kern w:val="2"/>
                <w:sz w:val="24"/>
                <w:szCs w:val="24"/>
                <w:u w:val="none"/>
                <w:lang w:val="en-US" w:eastAsia="zh-CN" w:bidi="ar"/>
              </w:rPr>
              <w:t>、</w:t>
            </w:r>
            <w:r>
              <w:rPr>
                <w:rFonts w:hint="eastAsia" w:ascii="楷体" w:hAnsi="楷体" w:eastAsia="楷体" w:cs="楷体"/>
                <w:i w:val="0"/>
                <w:color w:val="000000"/>
                <w:kern w:val="2"/>
                <w:sz w:val="24"/>
                <w:szCs w:val="24"/>
                <w:u w:val="single"/>
                <w:lang w:val="en-US" w:eastAsia="zh-CN" w:bidi="ar"/>
              </w:rPr>
              <w:t>海洋生物</w:t>
            </w:r>
            <w:r>
              <w:rPr>
                <w:rFonts w:hint="eastAsia" w:ascii="楷体" w:hAnsi="楷体" w:eastAsia="楷体" w:cs="楷体"/>
                <w:i w:val="0"/>
                <w:color w:val="000000"/>
                <w:kern w:val="2"/>
                <w:sz w:val="24"/>
                <w:szCs w:val="24"/>
                <w:u w:val="none"/>
                <w:lang w:val="en-US" w:eastAsia="zh-CN" w:bidi="ar"/>
              </w:rPr>
              <w:t>、</w:t>
            </w:r>
            <w:r>
              <w:rPr>
                <w:rFonts w:hint="eastAsia" w:ascii="楷体" w:hAnsi="楷体" w:eastAsia="楷体" w:cs="楷体"/>
                <w:i w:val="0"/>
                <w:color w:val="000000"/>
                <w:kern w:val="2"/>
                <w:sz w:val="24"/>
                <w:szCs w:val="24"/>
                <w:u w:val="single"/>
                <w:lang w:val="en-US" w:eastAsia="zh-CN" w:bidi="ar"/>
              </w:rPr>
              <w:t>海洋牧场</w:t>
            </w:r>
            <w:r>
              <w:rPr>
                <w:rFonts w:hint="eastAsia" w:ascii="楷体" w:hAnsi="楷体" w:eastAsia="楷体" w:cs="楷体"/>
                <w:i w:val="0"/>
                <w:color w:val="000000"/>
                <w:kern w:val="2"/>
                <w:sz w:val="24"/>
                <w:szCs w:val="24"/>
                <w:u w:val="none"/>
                <w:lang w:val="en-US" w:eastAsia="zh-CN" w:bidi="ar"/>
              </w:rPr>
              <w:t>、</w:t>
            </w:r>
            <w:r>
              <w:rPr>
                <w:rFonts w:hint="eastAsia" w:ascii="楷体" w:hAnsi="楷体" w:eastAsia="楷体" w:cs="楷体"/>
                <w:i w:val="0"/>
                <w:color w:val="000000"/>
                <w:kern w:val="2"/>
                <w:sz w:val="24"/>
                <w:szCs w:val="24"/>
                <w:u w:val="single"/>
                <w:lang w:val="en-US" w:eastAsia="zh-CN" w:bidi="ar"/>
              </w:rPr>
              <w:t>海洋能源</w:t>
            </w:r>
            <w:r>
              <w:rPr>
                <w:rFonts w:hint="eastAsia" w:ascii="楷体" w:hAnsi="楷体" w:eastAsia="楷体" w:cs="楷体"/>
                <w:i w:val="0"/>
                <w:color w:val="000000"/>
                <w:kern w:val="2"/>
                <w:sz w:val="24"/>
                <w:szCs w:val="24"/>
                <w:u w:val="none"/>
                <w:lang w:val="en-US" w:eastAsia="zh-CN" w:bidi="ar"/>
              </w:rPr>
              <w:t>等方面研究，进而形成特色产业。</w:t>
            </w:r>
          </w:p>
        </w:tc>
      </w:tr>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397" w:hRule="atLeast"/>
          <w:jc w:val="center"/>
        </w:trPr>
        <w:tc>
          <w:tcPr>
            <w:tcW w:w="1651" w:type="dxa"/>
            <w:vAlign w:val="top"/>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楷体" w:hAnsi="楷体" w:eastAsia="楷体" w:cs="楷体"/>
                <w:b w:val="0"/>
                <w:bCs w:val="0"/>
                <w:kern w:val="2"/>
                <w:sz w:val="24"/>
                <w:szCs w:val="24"/>
                <w:vertAlign w:val="baseline"/>
                <w:lang w:val="en-US" w:eastAsia="zh-CN" w:bidi="ar-SA"/>
              </w:rPr>
            </w:pPr>
            <w:r>
              <w:rPr>
                <w:rFonts w:hint="eastAsia" w:ascii="楷体" w:hAnsi="楷体" w:eastAsia="楷体" w:cs="楷体"/>
                <w:b w:val="0"/>
                <w:bCs w:val="0"/>
                <w:kern w:val="2"/>
                <w:sz w:val="24"/>
                <w:szCs w:val="24"/>
                <w:vertAlign w:val="baseline"/>
                <w:lang w:val="en-US" w:eastAsia="zh-CN" w:bidi="ar-SA"/>
              </w:rPr>
              <w:t>2018.11.03</w:t>
            </w:r>
          </w:p>
        </w:tc>
        <w:tc>
          <w:tcPr>
            <w:tcW w:w="687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480" w:firstLineChars="200"/>
              <w:jc w:val="both"/>
              <w:textAlignment w:val="auto"/>
              <w:rPr>
                <w:rFonts w:hint="eastAsia" w:ascii="楷体" w:hAnsi="楷体" w:eastAsia="楷体" w:cs="楷体"/>
                <w:i w:val="0"/>
                <w:color w:val="000000"/>
                <w:kern w:val="2"/>
                <w:sz w:val="24"/>
                <w:szCs w:val="24"/>
                <w:u w:val="none"/>
                <w:lang w:val="en-US" w:eastAsia="zh-CN" w:bidi="ar"/>
              </w:rPr>
            </w:pPr>
            <w:r>
              <w:rPr>
                <w:rFonts w:hint="eastAsia" w:ascii="楷体" w:hAnsi="楷体" w:eastAsia="楷体" w:cs="楷体"/>
                <w:i w:val="0"/>
                <w:color w:val="000000"/>
                <w:kern w:val="2"/>
                <w:sz w:val="24"/>
                <w:szCs w:val="24"/>
                <w:u w:val="none"/>
                <w:lang w:val="en-US" w:eastAsia="zh-CN" w:bidi="ar"/>
              </w:rPr>
              <w:t>李军到三亚调研</w:t>
            </w:r>
            <w:r>
              <w:rPr>
                <w:rFonts w:hint="eastAsia" w:ascii="楷体" w:hAnsi="楷体" w:eastAsia="楷体" w:cs="楷体"/>
                <w:i w:val="0"/>
                <w:color w:val="000000"/>
                <w:kern w:val="2"/>
                <w:sz w:val="24"/>
                <w:szCs w:val="24"/>
                <w:u w:val="single"/>
                <w:lang w:val="en-US" w:eastAsia="zh-CN" w:bidi="ar"/>
              </w:rPr>
              <w:t>共享农庄</w:t>
            </w:r>
            <w:r>
              <w:rPr>
                <w:rFonts w:hint="eastAsia" w:ascii="楷体" w:hAnsi="楷体" w:eastAsia="楷体" w:cs="楷体"/>
                <w:i w:val="0"/>
                <w:color w:val="000000"/>
                <w:kern w:val="2"/>
                <w:sz w:val="24"/>
                <w:szCs w:val="24"/>
                <w:u w:val="none"/>
                <w:lang w:val="en-US" w:eastAsia="zh-CN" w:bidi="ar"/>
              </w:rPr>
              <w:t>，强调要把发展共享农庄作为振兴乡村、建设美丽乡村、实现绿水青山变为金山银山的具体路径，加快推进共享农庄建设；因地制宜完善规划设计、功能布局，打造特色鲜明、差异化发展的各类共享农庄，实现</w:t>
            </w:r>
            <w:r>
              <w:rPr>
                <w:rFonts w:hint="eastAsia" w:ascii="楷体" w:hAnsi="楷体" w:eastAsia="楷体" w:cs="楷体"/>
                <w:i w:val="0"/>
                <w:color w:val="000000"/>
                <w:kern w:val="2"/>
                <w:sz w:val="24"/>
                <w:szCs w:val="24"/>
                <w:u w:val="single"/>
                <w:lang w:val="en-US" w:eastAsia="zh-CN" w:bidi="ar"/>
              </w:rPr>
              <w:t>农村一二三产业融合发展</w:t>
            </w:r>
            <w:r>
              <w:rPr>
                <w:rFonts w:hint="eastAsia" w:ascii="楷体" w:hAnsi="楷体" w:eastAsia="楷体" w:cs="楷体"/>
                <w:i w:val="0"/>
                <w:color w:val="000000"/>
                <w:kern w:val="2"/>
                <w:sz w:val="24"/>
                <w:szCs w:val="24"/>
                <w:u w:val="none"/>
                <w:lang w:val="en-US" w:eastAsia="zh-CN" w:bidi="ar"/>
              </w:rPr>
              <w:t>，开发</w:t>
            </w:r>
            <w:r>
              <w:rPr>
                <w:rFonts w:hint="eastAsia" w:ascii="楷体" w:hAnsi="楷体" w:eastAsia="楷体" w:cs="楷体"/>
                <w:i w:val="0"/>
                <w:color w:val="000000"/>
                <w:kern w:val="2"/>
                <w:sz w:val="24"/>
                <w:szCs w:val="24"/>
                <w:u w:val="single"/>
                <w:lang w:val="en-US" w:eastAsia="zh-CN" w:bidi="ar"/>
              </w:rPr>
              <w:t>多元化的农庄业态</w:t>
            </w:r>
            <w:r>
              <w:rPr>
                <w:rFonts w:hint="eastAsia" w:ascii="楷体" w:hAnsi="楷体" w:eastAsia="楷体" w:cs="楷体"/>
                <w:i w:val="0"/>
                <w:color w:val="000000"/>
                <w:kern w:val="2"/>
                <w:sz w:val="24"/>
                <w:szCs w:val="24"/>
                <w:u w:val="none"/>
                <w:lang w:val="en-US" w:eastAsia="zh-CN" w:bidi="ar"/>
              </w:rPr>
              <w:t>，满足不同消费群体的需求。</w:t>
            </w:r>
          </w:p>
        </w:tc>
      </w:tr>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397" w:hRule="atLeast"/>
          <w:jc w:val="center"/>
        </w:trPr>
        <w:tc>
          <w:tcPr>
            <w:tcW w:w="1651" w:type="dxa"/>
            <w:vAlign w:val="top"/>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楷体" w:hAnsi="楷体" w:eastAsia="楷体" w:cs="楷体"/>
                <w:b w:val="0"/>
                <w:bCs w:val="0"/>
                <w:kern w:val="2"/>
                <w:sz w:val="24"/>
                <w:szCs w:val="24"/>
                <w:vertAlign w:val="baseline"/>
                <w:lang w:val="en-US" w:eastAsia="zh-CN" w:bidi="ar-SA"/>
              </w:rPr>
            </w:pPr>
            <w:r>
              <w:rPr>
                <w:rFonts w:hint="eastAsia" w:ascii="楷体" w:hAnsi="楷体" w:eastAsia="楷体" w:cs="楷体"/>
                <w:b w:val="0"/>
                <w:bCs w:val="0"/>
                <w:kern w:val="2"/>
                <w:sz w:val="24"/>
                <w:szCs w:val="24"/>
                <w:vertAlign w:val="baseline"/>
                <w:lang w:val="en-US" w:eastAsia="zh-CN" w:bidi="ar-SA"/>
              </w:rPr>
              <w:t>2018.10.15</w:t>
            </w:r>
          </w:p>
        </w:tc>
        <w:tc>
          <w:tcPr>
            <w:tcW w:w="687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480" w:firstLineChars="200"/>
              <w:jc w:val="both"/>
              <w:textAlignment w:val="auto"/>
              <w:rPr>
                <w:rFonts w:hint="eastAsia" w:ascii="楷体" w:hAnsi="楷体" w:eastAsia="楷体" w:cs="楷体"/>
                <w:i w:val="0"/>
                <w:color w:val="000000"/>
                <w:kern w:val="2"/>
                <w:sz w:val="24"/>
                <w:szCs w:val="24"/>
                <w:u w:val="none"/>
                <w:lang w:val="en-US" w:eastAsia="zh-CN" w:bidi="ar"/>
              </w:rPr>
            </w:pPr>
            <w:r>
              <w:rPr>
                <w:rFonts w:hint="eastAsia" w:ascii="楷体" w:hAnsi="楷体" w:eastAsia="楷体" w:cs="楷体"/>
                <w:i w:val="0"/>
                <w:color w:val="000000"/>
                <w:kern w:val="2"/>
                <w:sz w:val="24"/>
                <w:szCs w:val="24"/>
                <w:u w:val="none"/>
                <w:lang w:val="en-US" w:eastAsia="zh-CN" w:bidi="ar"/>
              </w:rPr>
              <w:t>毛万春到三亚，就三亚产业发展、文化教育及乡村振兴等方面展开深入调研，指出，三亚作为旅游城市，要</w:t>
            </w:r>
            <w:r>
              <w:rPr>
                <w:rFonts w:hint="eastAsia" w:ascii="楷体" w:hAnsi="楷体" w:eastAsia="楷体" w:cs="楷体"/>
                <w:i w:val="0"/>
                <w:color w:val="000000"/>
                <w:kern w:val="2"/>
                <w:sz w:val="24"/>
                <w:szCs w:val="24"/>
                <w:u w:val="single"/>
                <w:lang w:val="en-US" w:eastAsia="zh-CN" w:bidi="ar"/>
              </w:rPr>
              <w:t>依托红色资源发展红色旅游</w:t>
            </w:r>
            <w:r>
              <w:rPr>
                <w:rFonts w:hint="eastAsia" w:ascii="楷体" w:hAnsi="楷体" w:eastAsia="楷体" w:cs="楷体"/>
                <w:i w:val="0"/>
                <w:color w:val="000000"/>
                <w:kern w:val="2"/>
                <w:sz w:val="24"/>
                <w:szCs w:val="24"/>
                <w:u w:val="none"/>
                <w:lang w:val="en-US" w:eastAsia="zh-CN" w:bidi="ar"/>
              </w:rPr>
              <w:t>，管理、利用好红色设施，挖掘红色文化丰富内涵，发挥教育作用。要实施乡村振兴战略，要</w:t>
            </w:r>
            <w:r>
              <w:rPr>
                <w:rFonts w:hint="eastAsia" w:ascii="楷体" w:hAnsi="楷体" w:eastAsia="楷体" w:cs="楷体"/>
                <w:i w:val="0"/>
                <w:color w:val="000000"/>
                <w:kern w:val="2"/>
                <w:sz w:val="24"/>
                <w:szCs w:val="24"/>
                <w:u w:val="single"/>
                <w:lang w:val="en-US" w:eastAsia="zh-CN" w:bidi="ar"/>
              </w:rPr>
              <w:t>高标准规划民宿产业</w:t>
            </w:r>
            <w:r>
              <w:rPr>
                <w:rFonts w:hint="eastAsia" w:ascii="楷体" w:hAnsi="楷体" w:eastAsia="楷体" w:cs="楷体"/>
                <w:i w:val="0"/>
                <w:color w:val="000000"/>
                <w:kern w:val="2"/>
                <w:sz w:val="24"/>
                <w:szCs w:val="24"/>
                <w:u w:val="none"/>
                <w:lang w:val="en-US" w:eastAsia="zh-CN" w:bidi="ar"/>
              </w:rPr>
              <w:t>，引入一流企业按照高标准设计，打造出</w:t>
            </w:r>
            <w:r>
              <w:rPr>
                <w:rFonts w:hint="eastAsia" w:ascii="楷体" w:hAnsi="楷体" w:eastAsia="楷体" w:cs="楷体"/>
                <w:i w:val="0"/>
                <w:color w:val="000000"/>
                <w:kern w:val="2"/>
                <w:sz w:val="24"/>
                <w:szCs w:val="24"/>
                <w:u w:val="single"/>
                <w:lang w:val="en-US" w:eastAsia="zh-CN" w:bidi="ar"/>
              </w:rPr>
              <w:t>民宿精品</w:t>
            </w:r>
            <w:r>
              <w:rPr>
                <w:rFonts w:hint="eastAsia" w:ascii="楷体" w:hAnsi="楷体" w:eastAsia="楷体" w:cs="楷体"/>
                <w:i w:val="0"/>
                <w:color w:val="000000"/>
                <w:kern w:val="2"/>
                <w:sz w:val="24"/>
                <w:szCs w:val="24"/>
                <w:u w:val="none"/>
                <w:lang w:val="en-US" w:eastAsia="zh-CN" w:bidi="ar"/>
              </w:rPr>
              <w:t>。</w:t>
            </w:r>
          </w:p>
        </w:tc>
      </w:tr>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397" w:hRule="atLeast"/>
          <w:jc w:val="center"/>
        </w:trPr>
        <w:tc>
          <w:tcPr>
            <w:tcW w:w="1651" w:type="dxa"/>
            <w:vAlign w:val="top"/>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楷体" w:hAnsi="楷体" w:eastAsia="楷体" w:cs="楷体"/>
                <w:b w:val="0"/>
                <w:bCs w:val="0"/>
                <w:kern w:val="2"/>
                <w:sz w:val="24"/>
                <w:szCs w:val="24"/>
                <w:vertAlign w:val="baseline"/>
                <w:lang w:val="en-US" w:eastAsia="zh-CN" w:bidi="ar-SA"/>
              </w:rPr>
            </w:pPr>
            <w:r>
              <w:rPr>
                <w:rFonts w:hint="eastAsia" w:ascii="楷体" w:hAnsi="楷体" w:eastAsia="楷体" w:cs="楷体"/>
                <w:b w:val="0"/>
                <w:bCs w:val="0"/>
                <w:kern w:val="2"/>
                <w:sz w:val="24"/>
                <w:szCs w:val="24"/>
                <w:vertAlign w:val="baseline"/>
                <w:lang w:val="en-US" w:eastAsia="zh-CN" w:bidi="ar-SA"/>
              </w:rPr>
              <w:t>2018.10.08</w:t>
            </w:r>
          </w:p>
        </w:tc>
        <w:tc>
          <w:tcPr>
            <w:tcW w:w="687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480" w:firstLineChars="200"/>
              <w:jc w:val="both"/>
              <w:textAlignment w:val="auto"/>
              <w:rPr>
                <w:rFonts w:hint="eastAsia" w:ascii="楷体" w:hAnsi="楷体" w:eastAsia="楷体" w:cs="楷体"/>
                <w:i w:val="0"/>
                <w:color w:val="000000"/>
                <w:kern w:val="2"/>
                <w:sz w:val="24"/>
                <w:szCs w:val="24"/>
                <w:u w:val="none"/>
                <w:lang w:val="en-US" w:eastAsia="zh-CN" w:bidi="ar"/>
              </w:rPr>
            </w:pPr>
            <w:r>
              <w:rPr>
                <w:rFonts w:hint="eastAsia" w:ascii="楷体" w:hAnsi="楷体" w:eastAsia="楷体" w:cs="楷体"/>
                <w:i w:val="0"/>
                <w:color w:val="000000"/>
                <w:kern w:val="2"/>
                <w:sz w:val="24"/>
                <w:szCs w:val="24"/>
                <w:u w:val="none"/>
                <w:lang w:val="en-US" w:eastAsia="zh-CN" w:bidi="ar"/>
              </w:rPr>
              <w:t>毛万春就三亚经济社会发展、总部经济发展及乡村振兴等方面展开深入调研，强调三亚要紧紧围绕海南“三区一中心”定位，以“多规合一”为蓝图，以世界眼光、国际标准做好顶层设计，以“</w:t>
            </w:r>
            <w:r>
              <w:rPr>
                <w:rFonts w:hint="eastAsia" w:ascii="楷体" w:hAnsi="楷体" w:eastAsia="楷体" w:cs="楷体"/>
                <w:i w:val="0"/>
                <w:color w:val="000000"/>
                <w:kern w:val="2"/>
                <w:sz w:val="24"/>
                <w:szCs w:val="24"/>
                <w:u w:val="single"/>
                <w:lang w:val="en-US" w:eastAsia="zh-CN" w:bidi="ar"/>
              </w:rPr>
              <w:t>全域旅游</w:t>
            </w:r>
            <w:r>
              <w:rPr>
                <w:rFonts w:hint="eastAsia" w:ascii="楷体" w:hAnsi="楷体" w:eastAsia="楷体" w:cs="楷体"/>
                <w:i w:val="0"/>
                <w:color w:val="000000"/>
                <w:kern w:val="2"/>
                <w:sz w:val="24"/>
                <w:szCs w:val="24"/>
                <w:u w:val="none"/>
                <w:lang w:val="en-US" w:eastAsia="zh-CN" w:bidi="ar"/>
              </w:rPr>
              <w:t>”统领各领域工作；要发挥生态优势，守好生态底线，将生态文明建设与实施乡村振兴战略有机结合；要坚定不移地走</w:t>
            </w:r>
            <w:r>
              <w:rPr>
                <w:rFonts w:hint="eastAsia" w:ascii="楷体" w:hAnsi="楷体" w:eastAsia="楷体" w:cs="楷体"/>
                <w:i w:val="0"/>
                <w:color w:val="000000"/>
                <w:kern w:val="2"/>
                <w:sz w:val="24"/>
                <w:szCs w:val="24"/>
                <w:u w:val="single"/>
                <w:lang w:val="en-US" w:eastAsia="zh-CN" w:bidi="ar"/>
              </w:rPr>
              <w:t>特色精品旅游路线</w:t>
            </w:r>
            <w:r>
              <w:rPr>
                <w:rFonts w:hint="eastAsia" w:ascii="楷体" w:hAnsi="楷体" w:eastAsia="楷体" w:cs="楷体"/>
                <w:i w:val="0"/>
                <w:color w:val="auto"/>
                <w:kern w:val="2"/>
                <w:sz w:val="24"/>
                <w:szCs w:val="24"/>
                <w:u w:val="none"/>
                <w:lang w:val="en-US" w:eastAsia="zh-CN" w:bidi="ar"/>
              </w:rPr>
              <w:t>。</w:t>
            </w:r>
          </w:p>
        </w:tc>
      </w:tr>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397" w:hRule="atLeast"/>
          <w:jc w:val="center"/>
        </w:trPr>
        <w:tc>
          <w:tcPr>
            <w:tcW w:w="1651" w:type="dxa"/>
            <w:vAlign w:val="top"/>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楷体" w:hAnsi="楷体" w:eastAsia="楷体" w:cs="楷体"/>
                <w:b w:val="0"/>
                <w:bCs w:val="0"/>
                <w:kern w:val="2"/>
                <w:sz w:val="24"/>
                <w:szCs w:val="24"/>
                <w:vertAlign w:val="baseline"/>
                <w:lang w:val="en-US" w:eastAsia="zh-CN" w:bidi="ar-SA"/>
              </w:rPr>
            </w:pPr>
            <w:r>
              <w:rPr>
                <w:rFonts w:hint="eastAsia" w:ascii="楷体" w:hAnsi="楷体" w:eastAsia="楷体" w:cs="楷体"/>
                <w:b w:val="0"/>
                <w:bCs w:val="0"/>
                <w:kern w:val="2"/>
                <w:sz w:val="24"/>
                <w:szCs w:val="24"/>
                <w:vertAlign w:val="baseline"/>
                <w:lang w:val="en-US" w:eastAsia="zh-CN" w:bidi="ar-SA"/>
              </w:rPr>
              <w:t>2018.08.18</w:t>
            </w:r>
          </w:p>
        </w:tc>
        <w:tc>
          <w:tcPr>
            <w:tcW w:w="687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480" w:firstLineChars="200"/>
              <w:jc w:val="both"/>
              <w:textAlignment w:val="auto"/>
              <w:rPr>
                <w:rFonts w:hint="eastAsia" w:ascii="楷体" w:hAnsi="楷体" w:eastAsia="楷体" w:cs="楷体"/>
                <w:i w:val="0"/>
                <w:color w:val="000000"/>
                <w:kern w:val="2"/>
                <w:sz w:val="24"/>
                <w:szCs w:val="24"/>
                <w:u w:val="none"/>
                <w:lang w:val="en-US" w:eastAsia="zh-CN" w:bidi="ar"/>
              </w:rPr>
            </w:pPr>
            <w:r>
              <w:rPr>
                <w:rFonts w:hint="eastAsia" w:ascii="楷体" w:hAnsi="楷体" w:eastAsia="楷体" w:cs="楷体"/>
                <w:i w:val="0"/>
                <w:color w:val="000000"/>
                <w:kern w:val="2"/>
                <w:sz w:val="24"/>
                <w:szCs w:val="24"/>
                <w:u w:val="none"/>
                <w:lang w:val="en-US" w:eastAsia="zh-CN" w:bidi="ar"/>
              </w:rPr>
              <w:t>沈晓明率队赴三亚，调研全球动植物种质资源引进中转基地选址工作，指出基地选址要科学合理，建设面积要能够满足动植物种源中转隔离、检验检疫、品种交易等功能需求。</w:t>
            </w:r>
          </w:p>
        </w:tc>
      </w:tr>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397" w:hRule="atLeast"/>
          <w:jc w:val="center"/>
        </w:trPr>
        <w:tc>
          <w:tcPr>
            <w:tcW w:w="1651" w:type="dxa"/>
            <w:tcBorders>
              <w:bottom w:val="thickThinSmallGap" w:color="A4A4A4" w:sz="12" w:space="0"/>
            </w:tcBorders>
            <w:vAlign w:val="top"/>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楷体" w:hAnsi="楷体" w:eastAsia="楷体" w:cs="楷体"/>
                <w:b w:val="0"/>
                <w:bCs w:val="0"/>
                <w:kern w:val="2"/>
                <w:sz w:val="24"/>
                <w:szCs w:val="24"/>
                <w:vertAlign w:val="baseline"/>
                <w:lang w:val="en-US" w:eastAsia="zh-CN" w:bidi="ar-SA"/>
              </w:rPr>
            </w:pPr>
            <w:r>
              <w:rPr>
                <w:rFonts w:hint="eastAsia" w:ascii="楷体" w:hAnsi="楷体" w:eastAsia="楷体" w:cs="楷体"/>
                <w:b w:val="0"/>
                <w:bCs w:val="0"/>
                <w:kern w:val="2"/>
                <w:sz w:val="24"/>
                <w:szCs w:val="24"/>
                <w:vertAlign w:val="baseline"/>
                <w:lang w:val="en-US" w:eastAsia="zh-CN" w:bidi="ar-SA"/>
              </w:rPr>
              <w:t>2018.05.23</w:t>
            </w:r>
          </w:p>
        </w:tc>
        <w:tc>
          <w:tcPr>
            <w:tcW w:w="6871" w:type="dxa"/>
            <w:tcBorders>
              <w:bottom w:val="thickThinSmallGap" w:color="A4A4A4" w:sz="12"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480" w:firstLineChars="200"/>
              <w:jc w:val="both"/>
              <w:textAlignment w:val="auto"/>
              <w:rPr>
                <w:rFonts w:hint="eastAsia" w:ascii="楷体" w:hAnsi="楷体" w:eastAsia="楷体" w:cs="楷体"/>
                <w:i w:val="0"/>
                <w:color w:val="000000"/>
                <w:kern w:val="2"/>
                <w:sz w:val="24"/>
                <w:szCs w:val="24"/>
                <w:u w:val="none"/>
                <w:lang w:val="en-US" w:eastAsia="zh-CN" w:bidi="ar"/>
              </w:rPr>
            </w:pPr>
            <w:r>
              <w:rPr>
                <w:rFonts w:hint="eastAsia" w:ascii="楷体" w:hAnsi="楷体" w:eastAsia="楷体" w:cs="楷体"/>
                <w:i w:val="0"/>
                <w:color w:val="000000"/>
                <w:kern w:val="2"/>
                <w:sz w:val="24"/>
                <w:szCs w:val="24"/>
                <w:u w:val="none"/>
                <w:lang w:val="en-US" w:eastAsia="zh-CN" w:bidi="ar"/>
              </w:rPr>
              <w:t>中央军民融合办调研组座谈，提出打造国家军民融合创新示范区，加强航空、航天、深海等领域国际交流合作；以旅游业、现代服务业、高新技术产业为主导，推进军地共商、科技共兴、设施共建、后勤共保；统筹海洋保护开发和维权维稳，推进</w:t>
            </w:r>
            <w:r>
              <w:rPr>
                <w:rFonts w:hint="eastAsia" w:ascii="楷体" w:hAnsi="楷体" w:eastAsia="楷体" w:cs="楷体"/>
                <w:i w:val="0"/>
                <w:color w:val="000000"/>
                <w:kern w:val="2"/>
                <w:sz w:val="24"/>
                <w:szCs w:val="24"/>
                <w:u w:val="single"/>
                <w:lang w:val="en-US" w:eastAsia="zh-CN" w:bidi="ar"/>
              </w:rPr>
              <w:t>南海资源开发服务保障基地</w:t>
            </w:r>
            <w:r>
              <w:rPr>
                <w:rFonts w:hint="eastAsia" w:ascii="楷体" w:hAnsi="楷体" w:eastAsia="楷体" w:cs="楷体"/>
                <w:i w:val="0"/>
                <w:color w:val="000000"/>
                <w:kern w:val="2"/>
                <w:sz w:val="24"/>
                <w:szCs w:val="24"/>
                <w:u w:val="none"/>
                <w:lang w:val="en-US" w:eastAsia="zh-CN" w:bidi="ar"/>
              </w:rPr>
              <w:t>和海上救援基地建设。</w:t>
            </w:r>
          </w:p>
        </w:tc>
      </w:tr>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397" w:hRule="atLeast"/>
          <w:jc w:val="center"/>
        </w:trPr>
        <w:tc>
          <w:tcPr>
            <w:tcW w:w="8522" w:type="dxa"/>
            <w:gridSpan w:val="2"/>
            <w:tcBorders>
              <w:top w:val="thickThinSmallGap" w:color="A4A4A4" w:sz="12" w:space="0"/>
              <w:bottom w:val="nil"/>
            </w:tcBorders>
            <w:vAlign w:val="top"/>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eastAsia" w:ascii="楷体" w:hAnsi="楷体" w:eastAsia="楷体" w:cs="楷体"/>
                <w:i w:val="0"/>
                <w:color w:val="auto"/>
                <w:kern w:val="2"/>
                <w:sz w:val="24"/>
                <w:szCs w:val="24"/>
                <w:u w:val="none"/>
                <w:lang w:val="en-US" w:eastAsia="zh-CN" w:bidi="ar"/>
              </w:rPr>
            </w:pPr>
            <w:r>
              <w:rPr>
                <w:rFonts w:hint="eastAsia" w:ascii="楷体" w:hAnsi="楷体" w:eastAsia="楷体" w:cs="楷体"/>
                <w:i w:val="0"/>
                <w:iCs w:val="0"/>
                <w:color w:val="auto"/>
                <w:kern w:val="2"/>
                <w:sz w:val="24"/>
                <w:szCs w:val="24"/>
                <w:u w:val="none"/>
                <w:lang w:val="en-US" w:eastAsia="zh-CN" w:bidi="ar"/>
              </w:rPr>
              <w:t>注：按照调研考察的时间倒序排序。下划线文字为符合崖州产业发展优势和方向定位、可以“对号入座”的内容。</w:t>
            </w:r>
          </w:p>
        </w:tc>
      </w:tr>
    </w:tbl>
    <w:p>
      <w:pPr>
        <w:pStyle w:val="3"/>
        <w:bidi w:val="0"/>
        <w:rPr>
          <w:rFonts w:hint="default"/>
          <w:lang w:val="en-US" w:eastAsia="zh-CN"/>
        </w:rPr>
      </w:pPr>
      <w:bookmarkStart w:id="756" w:name="_Toc19913"/>
      <w:bookmarkStart w:id="757" w:name="_Toc6832"/>
      <w:bookmarkStart w:id="758" w:name="_Toc915"/>
      <w:r>
        <w:rPr>
          <w:rFonts w:hint="eastAsia"/>
          <w:lang w:val="en-US" w:eastAsia="zh-CN"/>
        </w:rPr>
        <w:t>附件2  海南及大三亚区域战略定位、产业定位梳理</w:t>
      </w:r>
      <w:bookmarkEnd w:id="756"/>
      <w:bookmarkEnd w:id="757"/>
      <w:bookmarkEnd w:id="758"/>
    </w:p>
    <w:tbl>
      <w:tblPr>
        <w:tblStyle w:val="18"/>
        <w:tblW w:w="5000" w:type="pct"/>
        <w:jc w:val="center"/>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Layout w:type="autofit"/>
        <w:tblCellMar>
          <w:top w:w="0" w:type="dxa"/>
          <w:left w:w="108" w:type="dxa"/>
          <w:bottom w:w="0" w:type="dxa"/>
          <w:right w:w="108" w:type="dxa"/>
        </w:tblCellMar>
      </w:tblPr>
      <w:tblGrid>
        <w:gridCol w:w="979"/>
        <w:gridCol w:w="1686"/>
        <w:gridCol w:w="579"/>
        <w:gridCol w:w="399"/>
        <w:gridCol w:w="422"/>
        <w:gridCol w:w="685"/>
        <w:gridCol w:w="3772"/>
      </w:tblGrid>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397" w:hRule="atLeast"/>
          <w:jc w:val="center"/>
        </w:trPr>
        <w:tc>
          <w:tcPr>
            <w:tcW w:w="8522" w:type="dxa"/>
            <w:gridSpan w:val="7"/>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楷体" w:hAnsi="楷体" w:eastAsia="楷体" w:cs="楷体"/>
                <w:b w:val="0"/>
                <w:bCs w:val="0"/>
                <w:sz w:val="28"/>
                <w:szCs w:val="28"/>
                <w:vertAlign w:val="baseline"/>
                <w:lang w:val="en-US"/>
              </w:rPr>
            </w:pPr>
            <w:r>
              <w:rPr>
                <w:rFonts w:hint="eastAsia" w:ascii="楷体" w:hAnsi="楷体" w:eastAsia="楷体" w:cstheme="minorBidi"/>
                <w:b/>
                <w:bCs/>
                <w:kern w:val="2"/>
                <w:sz w:val="24"/>
                <w:szCs w:val="24"/>
                <w:lang w:val="en-US" w:eastAsia="zh-CN" w:bidi="ar-SA"/>
              </w:rPr>
              <w:t>专栏30  海南及大三亚区域战略定位、产业定位梳理</w:t>
            </w:r>
          </w:p>
        </w:tc>
      </w:tr>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397" w:hRule="atLeast"/>
          <w:jc w:val="center"/>
        </w:trPr>
        <w:tc>
          <w:tcPr>
            <w:tcW w:w="979"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楷体" w:hAnsi="楷体" w:eastAsia="楷体" w:cs="楷体"/>
                <w:b w:val="0"/>
                <w:bCs w:val="0"/>
                <w:kern w:val="2"/>
                <w:sz w:val="24"/>
                <w:szCs w:val="24"/>
                <w:vertAlign w:val="baseline"/>
                <w:lang w:val="en-US" w:eastAsia="zh-CN" w:bidi="ar-SA"/>
              </w:rPr>
            </w:pPr>
            <w:r>
              <w:rPr>
                <w:rFonts w:hint="eastAsia" w:ascii="楷体" w:hAnsi="楷体" w:eastAsia="楷体" w:cs="楷体"/>
                <w:b w:val="0"/>
                <w:bCs w:val="0"/>
                <w:sz w:val="24"/>
                <w:szCs w:val="24"/>
                <w:vertAlign w:val="baseline"/>
                <w:lang w:val="en-US" w:eastAsia="zh-CN"/>
              </w:rPr>
              <w:t>主体</w:t>
            </w:r>
          </w:p>
        </w:tc>
        <w:tc>
          <w:tcPr>
            <w:tcW w:w="2265" w:type="dxa"/>
            <w:gridSpan w:val="2"/>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楷体" w:hAnsi="楷体" w:eastAsia="楷体" w:cs="楷体"/>
                <w:b w:val="0"/>
                <w:bCs w:val="0"/>
                <w:kern w:val="2"/>
                <w:sz w:val="24"/>
                <w:szCs w:val="24"/>
                <w:vertAlign w:val="baseline"/>
                <w:lang w:val="en-US" w:eastAsia="zh-CN" w:bidi="ar-SA"/>
              </w:rPr>
            </w:pPr>
            <w:r>
              <w:rPr>
                <w:rFonts w:hint="eastAsia" w:ascii="楷体" w:hAnsi="楷体" w:eastAsia="楷体" w:cs="楷体"/>
                <w:b w:val="0"/>
                <w:bCs w:val="0"/>
                <w:sz w:val="24"/>
                <w:szCs w:val="24"/>
                <w:vertAlign w:val="baseline"/>
                <w:lang w:val="en-US" w:eastAsia="zh-CN"/>
              </w:rPr>
              <w:t>战略定位/产业定位</w:t>
            </w:r>
          </w:p>
        </w:tc>
        <w:tc>
          <w:tcPr>
            <w:tcW w:w="5278" w:type="dxa"/>
            <w:gridSpan w:val="4"/>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楷体" w:hAnsi="楷体" w:eastAsia="楷体" w:cs="楷体"/>
                <w:b w:val="0"/>
                <w:bCs w:val="0"/>
                <w:kern w:val="2"/>
                <w:sz w:val="24"/>
                <w:szCs w:val="24"/>
                <w:vertAlign w:val="baseline"/>
                <w:lang w:val="en-US" w:eastAsia="zh-CN" w:bidi="ar-SA"/>
              </w:rPr>
            </w:pPr>
            <w:r>
              <w:rPr>
                <w:rFonts w:hint="eastAsia" w:ascii="楷体" w:hAnsi="楷体" w:eastAsia="楷体" w:cs="楷体"/>
                <w:b w:val="0"/>
                <w:bCs w:val="0"/>
                <w:sz w:val="24"/>
                <w:szCs w:val="24"/>
                <w:vertAlign w:val="baseline"/>
                <w:lang w:val="en-US" w:eastAsia="zh-CN"/>
              </w:rPr>
              <w:t>细分定位/细分目标</w:t>
            </w:r>
          </w:p>
        </w:tc>
      </w:tr>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397" w:hRule="atLeast"/>
          <w:jc w:val="center"/>
        </w:trPr>
        <w:tc>
          <w:tcPr>
            <w:tcW w:w="979"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楷体" w:hAnsi="楷体" w:eastAsia="楷体" w:cs="楷体"/>
                <w:b w:val="0"/>
                <w:bCs w:val="0"/>
                <w:sz w:val="24"/>
                <w:szCs w:val="24"/>
                <w:vertAlign w:val="baseline"/>
                <w:lang w:val="en-US" w:eastAsia="zh-CN"/>
              </w:rPr>
            </w:pPr>
            <w:r>
              <w:rPr>
                <w:rFonts w:hint="eastAsia" w:ascii="楷体" w:hAnsi="楷体" w:eastAsia="楷体" w:cs="楷体"/>
                <w:b w:val="0"/>
                <w:bCs w:val="0"/>
                <w:sz w:val="24"/>
                <w:szCs w:val="24"/>
                <w:vertAlign w:val="baseline"/>
                <w:lang w:val="en-US" w:eastAsia="zh-CN"/>
              </w:rPr>
              <w:t>海南</w:t>
            </w:r>
          </w:p>
        </w:tc>
        <w:tc>
          <w:tcPr>
            <w:tcW w:w="2265" w:type="dxa"/>
            <w:gridSpan w:val="2"/>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楷体" w:hAnsi="楷体" w:eastAsia="楷体" w:cs="楷体"/>
                <w:b w:val="0"/>
                <w:bCs w:val="0"/>
                <w:sz w:val="24"/>
                <w:szCs w:val="24"/>
                <w:vertAlign w:val="baseline"/>
                <w:lang w:val="en-US" w:eastAsia="zh-CN"/>
              </w:rPr>
            </w:pPr>
            <w:r>
              <w:rPr>
                <w:rFonts w:hint="eastAsia" w:ascii="楷体" w:hAnsi="楷体" w:eastAsia="楷体" w:cs="楷体"/>
                <w:b w:val="0"/>
                <w:bCs w:val="0"/>
                <w:sz w:val="24"/>
                <w:szCs w:val="24"/>
                <w:vertAlign w:val="baseline"/>
                <w:lang w:val="en-US" w:eastAsia="zh-CN"/>
              </w:rPr>
              <w:t>“三区一中心”</w:t>
            </w:r>
          </w:p>
        </w:tc>
        <w:tc>
          <w:tcPr>
            <w:tcW w:w="5278" w:type="dxa"/>
            <w:gridSpan w:val="4"/>
            <w:vAlign w:val="top"/>
          </w:tcPr>
          <w:p>
            <w:pPr>
              <w:keepNext w:val="0"/>
              <w:keepLines w:val="0"/>
              <w:pageBreakBefore w:val="0"/>
              <w:widowControl w:val="0"/>
              <w:numPr>
                <w:ilvl w:val="0"/>
                <w:numId w:val="62"/>
              </w:numPr>
              <w:kinsoku/>
              <w:wordWrap/>
              <w:overflowPunct/>
              <w:topLinePunct w:val="0"/>
              <w:autoSpaceDE/>
              <w:autoSpaceDN/>
              <w:bidi w:val="0"/>
              <w:adjustRightInd/>
              <w:snapToGrid/>
              <w:spacing w:line="240" w:lineRule="auto"/>
              <w:ind w:left="425" w:leftChars="0" w:hanging="425" w:firstLineChars="0"/>
              <w:textAlignment w:val="auto"/>
              <w:rPr>
                <w:rFonts w:hint="eastAsia" w:ascii="楷体" w:hAnsi="楷体" w:eastAsia="楷体" w:cs="楷体"/>
                <w:b w:val="0"/>
                <w:bCs w:val="0"/>
                <w:sz w:val="24"/>
                <w:szCs w:val="24"/>
                <w:vertAlign w:val="baseline"/>
              </w:rPr>
            </w:pPr>
            <w:r>
              <w:rPr>
                <w:rFonts w:hint="eastAsia" w:ascii="楷体" w:hAnsi="楷体" w:eastAsia="楷体" w:cs="楷体"/>
                <w:b w:val="0"/>
                <w:bCs w:val="0"/>
                <w:sz w:val="24"/>
                <w:szCs w:val="24"/>
                <w:vertAlign w:val="baseline"/>
              </w:rPr>
              <w:t>全面深化改革开放试验区</w:t>
            </w:r>
          </w:p>
          <w:p>
            <w:pPr>
              <w:keepNext w:val="0"/>
              <w:keepLines w:val="0"/>
              <w:pageBreakBefore w:val="0"/>
              <w:widowControl w:val="0"/>
              <w:numPr>
                <w:ilvl w:val="0"/>
                <w:numId w:val="62"/>
              </w:numPr>
              <w:kinsoku/>
              <w:wordWrap/>
              <w:overflowPunct/>
              <w:topLinePunct w:val="0"/>
              <w:autoSpaceDE/>
              <w:autoSpaceDN/>
              <w:bidi w:val="0"/>
              <w:adjustRightInd/>
              <w:snapToGrid/>
              <w:spacing w:line="240" w:lineRule="auto"/>
              <w:ind w:left="425" w:leftChars="0" w:hanging="425" w:firstLineChars="0"/>
              <w:textAlignment w:val="auto"/>
              <w:rPr>
                <w:rFonts w:hint="eastAsia" w:ascii="楷体" w:hAnsi="楷体" w:eastAsia="楷体" w:cs="楷体"/>
                <w:b w:val="0"/>
                <w:bCs w:val="0"/>
                <w:sz w:val="24"/>
                <w:szCs w:val="24"/>
                <w:vertAlign w:val="baseline"/>
              </w:rPr>
            </w:pPr>
            <w:r>
              <w:rPr>
                <w:rFonts w:hint="eastAsia" w:ascii="楷体" w:hAnsi="楷体" w:eastAsia="楷体" w:cs="楷体"/>
                <w:b w:val="0"/>
                <w:bCs w:val="0"/>
                <w:sz w:val="24"/>
                <w:szCs w:val="24"/>
                <w:vertAlign w:val="baseline"/>
              </w:rPr>
              <w:t>国家生态文明试验区</w:t>
            </w:r>
          </w:p>
          <w:p>
            <w:pPr>
              <w:keepNext w:val="0"/>
              <w:keepLines w:val="0"/>
              <w:pageBreakBefore w:val="0"/>
              <w:widowControl w:val="0"/>
              <w:numPr>
                <w:ilvl w:val="0"/>
                <w:numId w:val="62"/>
              </w:numPr>
              <w:kinsoku/>
              <w:wordWrap/>
              <w:overflowPunct/>
              <w:topLinePunct w:val="0"/>
              <w:autoSpaceDE/>
              <w:autoSpaceDN/>
              <w:bidi w:val="0"/>
              <w:adjustRightInd/>
              <w:snapToGrid/>
              <w:spacing w:line="240" w:lineRule="auto"/>
              <w:ind w:left="425" w:leftChars="0" w:hanging="425" w:firstLineChars="0"/>
              <w:textAlignment w:val="auto"/>
              <w:rPr>
                <w:rFonts w:hint="eastAsia" w:ascii="楷体" w:hAnsi="楷体" w:eastAsia="楷体" w:cs="楷体"/>
                <w:b w:val="0"/>
                <w:bCs w:val="0"/>
                <w:sz w:val="24"/>
                <w:szCs w:val="24"/>
                <w:vertAlign w:val="baseline"/>
              </w:rPr>
            </w:pPr>
            <w:r>
              <w:rPr>
                <w:rFonts w:hint="eastAsia" w:ascii="楷体" w:hAnsi="楷体" w:eastAsia="楷体" w:cs="楷体"/>
                <w:b w:val="0"/>
                <w:bCs w:val="0"/>
                <w:sz w:val="24"/>
                <w:szCs w:val="24"/>
                <w:vertAlign w:val="baseline"/>
              </w:rPr>
              <w:t>国际旅游消费中心</w:t>
            </w:r>
          </w:p>
          <w:p>
            <w:pPr>
              <w:keepNext w:val="0"/>
              <w:keepLines w:val="0"/>
              <w:pageBreakBefore w:val="0"/>
              <w:widowControl w:val="0"/>
              <w:numPr>
                <w:ilvl w:val="0"/>
                <w:numId w:val="62"/>
              </w:numPr>
              <w:kinsoku/>
              <w:wordWrap/>
              <w:overflowPunct/>
              <w:topLinePunct w:val="0"/>
              <w:autoSpaceDE/>
              <w:autoSpaceDN/>
              <w:bidi w:val="0"/>
              <w:adjustRightInd/>
              <w:snapToGrid/>
              <w:spacing w:line="240" w:lineRule="auto"/>
              <w:ind w:left="425" w:leftChars="0" w:hanging="425" w:firstLineChars="0"/>
              <w:textAlignment w:val="auto"/>
              <w:rPr>
                <w:rFonts w:hint="eastAsia" w:ascii="楷体" w:hAnsi="楷体" w:eastAsia="楷体" w:cs="楷体"/>
                <w:b w:val="0"/>
                <w:bCs w:val="0"/>
                <w:sz w:val="24"/>
                <w:szCs w:val="24"/>
                <w:vertAlign w:val="baseline"/>
              </w:rPr>
            </w:pPr>
            <w:r>
              <w:rPr>
                <w:rFonts w:hint="eastAsia" w:ascii="楷体" w:hAnsi="楷体" w:eastAsia="楷体" w:cs="楷体"/>
                <w:b w:val="0"/>
                <w:bCs w:val="0"/>
                <w:sz w:val="24"/>
                <w:szCs w:val="24"/>
                <w:vertAlign w:val="baseline"/>
              </w:rPr>
              <w:t>国家重大战略服务保障区</w:t>
            </w:r>
          </w:p>
        </w:tc>
      </w:tr>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397" w:hRule="atLeast"/>
          <w:jc w:val="center"/>
        </w:trPr>
        <w:tc>
          <w:tcPr>
            <w:tcW w:w="979"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楷体" w:hAnsi="楷体" w:eastAsia="楷体" w:cs="楷体"/>
                <w:b w:val="0"/>
                <w:bCs w:val="0"/>
                <w:kern w:val="2"/>
                <w:sz w:val="24"/>
                <w:szCs w:val="24"/>
                <w:vertAlign w:val="baseline"/>
                <w:lang w:val="en-US" w:eastAsia="zh-CN" w:bidi="ar-SA"/>
              </w:rPr>
            </w:pPr>
            <w:r>
              <w:rPr>
                <w:rFonts w:hint="eastAsia" w:ascii="楷体" w:hAnsi="楷体" w:eastAsia="楷体" w:cs="楷体"/>
                <w:b w:val="0"/>
                <w:bCs w:val="0"/>
                <w:sz w:val="24"/>
                <w:szCs w:val="24"/>
                <w:vertAlign w:val="baseline"/>
                <w:lang w:val="en-US" w:eastAsia="zh-CN"/>
              </w:rPr>
              <w:t>大三亚</w:t>
            </w:r>
          </w:p>
        </w:tc>
        <w:tc>
          <w:tcPr>
            <w:tcW w:w="1686" w:type="dxa"/>
            <w:vAlign w:val="top"/>
          </w:tcPr>
          <w:p>
            <w:pPr>
              <w:keepNext w:val="0"/>
              <w:keepLines w:val="0"/>
              <w:pageBreakBefore w:val="0"/>
              <w:widowControl w:val="0"/>
              <w:numPr>
                <w:ilvl w:val="0"/>
                <w:numId w:val="63"/>
              </w:numPr>
              <w:kinsoku/>
              <w:wordWrap/>
              <w:overflowPunct/>
              <w:topLinePunct w:val="0"/>
              <w:autoSpaceDE/>
              <w:autoSpaceDN/>
              <w:bidi w:val="0"/>
              <w:adjustRightInd/>
              <w:snapToGrid/>
              <w:spacing w:line="240" w:lineRule="auto"/>
              <w:ind w:left="425" w:leftChars="0" w:hanging="425" w:firstLineChars="0"/>
              <w:textAlignment w:val="auto"/>
              <w:rPr>
                <w:rFonts w:hint="eastAsia" w:ascii="楷体" w:hAnsi="楷体" w:eastAsia="楷体" w:cs="楷体"/>
                <w:b w:val="0"/>
                <w:bCs w:val="0"/>
                <w:sz w:val="24"/>
                <w:szCs w:val="24"/>
                <w:vertAlign w:val="baseline"/>
              </w:rPr>
            </w:pPr>
            <w:r>
              <w:rPr>
                <w:rFonts w:hint="eastAsia" w:ascii="楷体" w:hAnsi="楷体" w:eastAsia="楷体" w:cs="楷体"/>
                <w:b w:val="0"/>
                <w:bCs w:val="0"/>
                <w:sz w:val="24"/>
                <w:szCs w:val="24"/>
                <w:vertAlign w:val="baseline"/>
              </w:rPr>
              <w:t>国际旅游消费中心核心功能区</w:t>
            </w:r>
          </w:p>
          <w:p>
            <w:pPr>
              <w:keepNext w:val="0"/>
              <w:keepLines w:val="0"/>
              <w:pageBreakBefore w:val="0"/>
              <w:widowControl w:val="0"/>
              <w:numPr>
                <w:ilvl w:val="0"/>
                <w:numId w:val="63"/>
              </w:numPr>
              <w:kinsoku/>
              <w:wordWrap/>
              <w:overflowPunct/>
              <w:topLinePunct w:val="0"/>
              <w:autoSpaceDE/>
              <w:autoSpaceDN/>
              <w:bidi w:val="0"/>
              <w:adjustRightInd/>
              <w:snapToGrid/>
              <w:spacing w:line="240" w:lineRule="auto"/>
              <w:ind w:left="425" w:leftChars="0" w:hanging="425" w:firstLineChars="0"/>
              <w:textAlignment w:val="auto"/>
              <w:rPr>
                <w:rFonts w:hint="eastAsia" w:ascii="楷体" w:hAnsi="楷体" w:eastAsia="楷体" w:cs="楷体"/>
                <w:b w:val="0"/>
                <w:bCs w:val="0"/>
                <w:sz w:val="24"/>
                <w:szCs w:val="24"/>
                <w:vertAlign w:val="baseline"/>
              </w:rPr>
            </w:pPr>
            <w:r>
              <w:rPr>
                <w:rFonts w:hint="eastAsia" w:ascii="楷体" w:hAnsi="楷体" w:eastAsia="楷体" w:cs="楷体"/>
                <w:b w:val="0"/>
                <w:bCs w:val="0"/>
                <w:sz w:val="24"/>
                <w:szCs w:val="24"/>
                <w:vertAlign w:val="baseline"/>
              </w:rPr>
              <w:t>具有国际影响的深海和种业产业技术高地</w:t>
            </w:r>
          </w:p>
          <w:p>
            <w:pPr>
              <w:keepNext w:val="0"/>
              <w:keepLines w:val="0"/>
              <w:pageBreakBefore w:val="0"/>
              <w:widowControl w:val="0"/>
              <w:numPr>
                <w:ilvl w:val="0"/>
                <w:numId w:val="63"/>
              </w:numPr>
              <w:kinsoku/>
              <w:wordWrap/>
              <w:overflowPunct/>
              <w:topLinePunct w:val="0"/>
              <w:autoSpaceDE/>
              <w:autoSpaceDN/>
              <w:bidi w:val="0"/>
              <w:adjustRightInd/>
              <w:snapToGrid/>
              <w:spacing w:line="240" w:lineRule="auto"/>
              <w:ind w:left="425" w:leftChars="0" w:hanging="425" w:firstLineChars="0"/>
              <w:textAlignment w:val="auto"/>
              <w:rPr>
                <w:rFonts w:hint="eastAsia" w:ascii="楷体" w:hAnsi="楷体" w:eastAsia="楷体" w:cs="楷体"/>
                <w:b w:val="0"/>
                <w:bCs w:val="0"/>
                <w:kern w:val="2"/>
                <w:sz w:val="24"/>
                <w:szCs w:val="24"/>
                <w:vertAlign w:val="baseline"/>
                <w:lang w:val="en-US" w:eastAsia="zh-CN" w:bidi="ar-SA"/>
              </w:rPr>
            </w:pPr>
            <w:r>
              <w:rPr>
                <w:rFonts w:hint="eastAsia" w:ascii="楷体" w:hAnsi="楷体" w:eastAsia="楷体" w:cs="楷体"/>
                <w:b w:val="0"/>
                <w:bCs w:val="0"/>
                <w:sz w:val="24"/>
                <w:szCs w:val="24"/>
                <w:vertAlign w:val="baseline"/>
              </w:rPr>
              <w:t>海南区域协调和城乡融合发展的示范者</w:t>
            </w:r>
          </w:p>
        </w:tc>
        <w:tc>
          <w:tcPr>
            <w:tcW w:w="5857" w:type="dxa"/>
            <w:gridSpan w:val="5"/>
            <w:vAlign w:val="top"/>
          </w:tcPr>
          <w:p>
            <w:pPr>
              <w:keepNext w:val="0"/>
              <w:keepLines w:val="0"/>
              <w:pageBreakBefore w:val="0"/>
              <w:widowControl w:val="0"/>
              <w:numPr>
                <w:ilvl w:val="0"/>
                <w:numId w:val="64"/>
              </w:numPr>
              <w:kinsoku/>
              <w:wordWrap/>
              <w:overflowPunct/>
              <w:topLinePunct w:val="0"/>
              <w:autoSpaceDE/>
              <w:autoSpaceDN/>
              <w:bidi w:val="0"/>
              <w:adjustRightInd/>
              <w:snapToGrid/>
              <w:spacing w:line="240" w:lineRule="auto"/>
              <w:ind w:left="425" w:leftChars="0" w:hanging="425" w:firstLineChars="0"/>
              <w:textAlignment w:val="auto"/>
              <w:rPr>
                <w:rFonts w:hint="eastAsia" w:ascii="楷体" w:hAnsi="楷体" w:eastAsia="楷体" w:cs="楷体"/>
                <w:b w:val="0"/>
                <w:bCs w:val="0"/>
                <w:sz w:val="24"/>
                <w:szCs w:val="24"/>
                <w:vertAlign w:val="baseline"/>
              </w:rPr>
            </w:pPr>
            <w:r>
              <w:rPr>
                <w:rFonts w:hint="eastAsia" w:ascii="楷体" w:hAnsi="楷体" w:eastAsia="楷体" w:cs="楷体"/>
                <w:b w:val="0"/>
                <w:bCs w:val="0"/>
                <w:sz w:val="24"/>
                <w:szCs w:val="24"/>
                <w:vertAlign w:val="baseline"/>
              </w:rPr>
              <w:t>三亚：生态环境优美、设施和服务功能一流、旅游业协调发展的世界级旅游城市，国际化科研科技创新高地，全球产业和优质人才进入海南的第一站。</w:t>
            </w:r>
          </w:p>
          <w:p>
            <w:pPr>
              <w:keepNext w:val="0"/>
              <w:keepLines w:val="0"/>
              <w:pageBreakBefore w:val="0"/>
              <w:widowControl w:val="0"/>
              <w:numPr>
                <w:ilvl w:val="0"/>
                <w:numId w:val="64"/>
              </w:numPr>
              <w:kinsoku/>
              <w:wordWrap/>
              <w:overflowPunct/>
              <w:topLinePunct w:val="0"/>
              <w:autoSpaceDE/>
              <w:autoSpaceDN/>
              <w:bidi w:val="0"/>
              <w:adjustRightInd/>
              <w:snapToGrid/>
              <w:spacing w:line="240" w:lineRule="auto"/>
              <w:ind w:left="425" w:leftChars="0" w:hanging="425" w:firstLineChars="0"/>
              <w:textAlignment w:val="auto"/>
              <w:rPr>
                <w:rFonts w:hint="eastAsia" w:ascii="楷体" w:hAnsi="楷体" w:eastAsia="楷体" w:cs="楷体"/>
                <w:b w:val="0"/>
                <w:bCs w:val="0"/>
                <w:sz w:val="24"/>
                <w:szCs w:val="24"/>
                <w:vertAlign w:val="baseline"/>
              </w:rPr>
            </w:pPr>
            <w:r>
              <w:rPr>
                <w:rFonts w:hint="eastAsia" w:ascii="楷体" w:hAnsi="楷体" w:eastAsia="楷体" w:cs="楷体"/>
                <w:b w:val="0"/>
                <w:bCs w:val="0"/>
                <w:sz w:val="24"/>
                <w:szCs w:val="24"/>
                <w:vertAlign w:val="baseline"/>
              </w:rPr>
              <w:t>陵水：以热带滨海旅游为核心、以民族民俗文化为特色的国际一流热带滨海休闲度假胜地。打造国家全域旅游示范区、国家现代农业示范区、海洋经济发展示范区。</w:t>
            </w:r>
          </w:p>
          <w:p>
            <w:pPr>
              <w:keepNext w:val="0"/>
              <w:keepLines w:val="0"/>
              <w:pageBreakBefore w:val="0"/>
              <w:widowControl w:val="0"/>
              <w:numPr>
                <w:ilvl w:val="0"/>
                <w:numId w:val="64"/>
              </w:numPr>
              <w:kinsoku/>
              <w:wordWrap/>
              <w:overflowPunct/>
              <w:topLinePunct w:val="0"/>
              <w:autoSpaceDE/>
              <w:autoSpaceDN/>
              <w:bidi w:val="0"/>
              <w:adjustRightInd/>
              <w:snapToGrid/>
              <w:spacing w:line="240" w:lineRule="auto"/>
              <w:ind w:left="425" w:leftChars="0" w:hanging="425" w:firstLineChars="0"/>
              <w:textAlignment w:val="auto"/>
              <w:rPr>
                <w:rFonts w:hint="eastAsia" w:ascii="楷体" w:hAnsi="楷体" w:eastAsia="楷体" w:cs="楷体"/>
                <w:b w:val="0"/>
                <w:bCs w:val="0"/>
                <w:sz w:val="24"/>
                <w:szCs w:val="24"/>
                <w:vertAlign w:val="baseline"/>
              </w:rPr>
            </w:pPr>
            <w:r>
              <w:rPr>
                <w:rFonts w:hint="eastAsia" w:ascii="楷体" w:hAnsi="楷体" w:eastAsia="楷体" w:cs="楷体"/>
                <w:b w:val="0"/>
                <w:bCs w:val="0"/>
                <w:sz w:val="24"/>
                <w:szCs w:val="24"/>
                <w:vertAlign w:val="baseline"/>
              </w:rPr>
              <w:t>乐东：集合农业、旅游文化和海洋产业于一体的产业综合体，打造“两区两地”——国家现代高新农业示范区（县）、国际化旅游目的地、海南南部未来创新发展基地、海南生态环境保护示范区。</w:t>
            </w:r>
          </w:p>
          <w:p>
            <w:pPr>
              <w:keepNext w:val="0"/>
              <w:keepLines w:val="0"/>
              <w:pageBreakBefore w:val="0"/>
              <w:widowControl w:val="0"/>
              <w:numPr>
                <w:ilvl w:val="0"/>
                <w:numId w:val="64"/>
              </w:numPr>
              <w:kinsoku/>
              <w:wordWrap/>
              <w:overflowPunct/>
              <w:topLinePunct w:val="0"/>
              <w:autoSpaceDE/>
              <w:autoSpaceDN/>
              <w:bidi w:val="0"/>
              <w:adjustRightInd/>
              <w:snapToGrid/>
              <w:spacing w:line="240" w:lineRule="auto"/>
              <w:ind w:left="425" w:leftChars="0" w:hanging="425" w:firstLineChars="0"/>
              <w:textAlignment w:val="auto"/>
              <w:rPr>
                <w:rFonts w:hint="eastAsia" w:ascii="楷体" w:hAnsi="楷体" w:eastAsia="楷体" w:cs="楷体"/>
                <w:b w:val="0"/>
                <w:bCs w:val="0"/>
                <w:kern w:val="2"/>
                <w:sz w:val="24"/>
                <w:szCs w:val="24"/>
                <w:vertAlign w:val="baseline"/>
                <w:lang w:val="en-US" w:eastAsia="zh-CN" w:bidi="ar-SA"/>
              </w:rPr>
            </w:pPr>
            <w:r>
              <w:rPr>
                <w:rFonts w:hint="eastAsia" w:ascii="楷体" w:hAnsi="楷体" w:eastAsia="楷体" w:cs="楷体"/>
                <w:b w:val="0"/>
                <w:bCs w:val="0"/>
                <w:sz w:val="24"/>
                <w:szCs w:val="24"/>
                <w:vertAlign w:val="baseline"/>
              </w:rPr>
              <w:t>保亭：成为具有黎、苗风情特色的国际热带雨林温泉旅游城市，打造“一城、一园、两基地”——国际热带山地旅游城市；雨林温泉谧境、国际养生家园；黎、苗文化展示体验基地，热带特色农业示范基地</w:t>
            </w:r>
          </w:p>
        </w:tc>
      </w:tr>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397" w:hRule="atLeast"/>
          <w:jc w:val="center"/>
        </w:trPr>
        <w:tc>
          <w:tcPr>
            <w:tcW w:w="979"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楷体" w:hAnsi="楷体" w:eastAsia="楷体" w:cs="楷体"/>
                <w:b w:val="0"/>
                <w:bCs w:val="0"/>
                <w:sz w:val="24"/>
                <w:szCs w:val="24"/>
                <w:vertAlign w:val="baseline"/>
                <w:lang w:val="en-US" w:eastAsia="zh-CN"/>
              </w:rPr>
            </w:pPr>
            <w:r>
              <w:rPr>
                <w:rFonts w:hint="eastAsia" w:ascii="楷体" w:hAnsi="楷体" w:eastAsia="楷体" w:cs="楷体"/>
                <w:b w:val="0"/>
                <w:bCs w:val="0"/>
                <w:sz w:val="24"/>
                <w:szCs w:val="24"/>
                <w:vertAlign w:val="baseline"/>
                <w:lang w:val="en-US" w:eastAsia="zh-CN"/>
              </w:rPr>
              <w:t>三亚</w:t>
            </w:r>
          </w:p>
        </w:tc>
        <w:tc>
          <w:tcPr>
            <w:tcW w:w="7543" w:type="dxa"/>
            <w:gridSpan w:val="6"/>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textAlignment w:val="auto"/>
              <w:rPr>
                <w:rFonts w:hint="eastAsia" w:ascii="楷体" w:hAnsi="楷体" w:eastAsia="楷体" w:cs="楷体"/>
                <w:b w:val="0"/>
                <w:bCs w:val="0"/>
                <w:sz w:val="24"/>
                <w:szCs w:val="24"/>
                <w:vertAlign w:val="baseline"/>
                <w:lang w:eastAsia="zh-CN"/>
              </w:rPr>
            </w:pPr>
            <w:r>
              <w:rPr>
                <w:rFonts w:hint="eastAsia" w:ascii="楷体" w:hAnsi="楷体" w:eastAsia="楷体" w:cs="楷体"/>
                <w:b w:val="0"/>
                <w:bCs w:val="0"/>
                <w:sz w:val="24"/>
                <w:szCs w:val="24"/>
                <w:vertAlign w:val="baseline"/>
                <w:lang w:eastAsia="zh-CN"/>
              </w:rPr>
              <w:t>“五个城市”：</w:t>
            </w:r>
          </w:p>
          <w:p>
            <w:pPr>
              <w:keepNext w:val="0"/>
              <w:keepLines w:val="0"/>
              <w:pageBreakBefore w:val="0"/>
              <w:widowControl w:val="0"/>
              <w:numPr>
                <w:ilvl w:val="0"/>
                <w:numId w:val="65"/>
              </w:numPr>
              <w:kinsoku/>
              <w:wordWrap/>
              <w:overflowPunct/>
              <w:topLinePunct w:val="0"/>
              <w:autoSpaceDE/>
              <w:autoSpaceDN/>
              <w:bidi w:val="0"/>
              <w:adjustRightInd/>
              <w:snapToGrid/>
              <w:spacing w:line="240" w:lineRule="auto"/>
              <w:ind w:left="425" w:leftChars="0" w:hanging="425" w:firstLineChars="0"/>
              <w:textAlignment w:val="auto"/>
              <w:rPr>
                <w:rFonts w:hint="eastAsia" w:ascii="楷体" w:hAnsi="楷体" w:eastAsia="楷体" w:cs="楷体"/>
                <w:b w:val="0"/>
                <w:bCs w:val="0"/>
                <w:sz w:val="24"/>
                <w:szCs w:val="24"/>
                <w:vertAlign w:val="baseline"/>
                <w:lang w:eastAsia="zh-CN"/>
              </w:rPr>
            </w:pPr>
            <w:r>
              <w:rPr>
                <w:rFonts w:hint="eastAsia" w:ascii="楷体" w:hAnsi="楷体" w:eastAsia="楷体" w:cs="楷体"/>
                <w:b w:val="0"/>
                <w:bCs w:val="0"/>
                <w:sz w:val="24"/>
                <w:szCs w:val="24"/>
                <w:vertAlign w:val="baseline"/>
              </w:rPr>
              <w:t>生态旅游消费之城</w:t>
            </w:r>
            <w:r>
              <w:rPr>
                <w:rFonts w:hint="eastAsia" w:ascii="楷体" w:hAnsi="楷体" w:eastAsia="楷体" w:cs="楷体"/>
                <w:b w:val="0"/>
                <w:bCs w:val="0"/>
                <w:sz w:val="24"/>
                <w:szCs w:val="24"/>
                <w:vertAlign w:val="baseline"/>
                <w:lang w:eastAsia="zh-CN"/>
              </w:rPr>
              <w:t>：充分利用三亚得天独厚的资源优势，进一步推进旅游供给侧结构性改革，走出一条旅游高质量发展的特色之路，打造生态旅游消费之城</w:t>
            </w:r>
          </w:p>
          <w:p>
            <w:pPr>
              <w:keepNext w:val="0"/>
              <w:keepLines w:val="0"/>
              <w:pageBreakBefore w:val="0"/>
              <w:widowControl w:val="0"/>
              <w:numPr>
                <w:ilvl w:val="0"/>
                <w:numId w:val="65"/>
              </w:numPr>
              <w:kinsoku/>
              <w:wordWrap/>
              <w:overflowPunct/>
              <w:topLinePunct w:val="0"/>
              <w:autoSpaceDE/>
              <w:autoSpaceDN/>
              <w:bidi w:val="0"/>
              <w:adjustRightInd/>
              <w:snapToGrid/>
              <w:spacing w:line="240" w:lineRule="auto"/>
              <w:ind w:left="425" w:leftChars="0" w:hanging="425" w:firstLineChars="0"/>
              <w:textAlignment w:val="auto"/>
              <w:rPr>
                <w:rFonts w:hint="eastAsia" w:ascii="楷体" w:hAnsi="楷体" w:eastAsia="楷体" w:cs="楷体"/>
                <w:b w:val="0"/>
                <w:bCs w:val="0"/>
                <w:sz w:val="24"/>
                <w:szCs w:val="24"/>
                <w:vertAlign w:val="baseline"/>
                <w:lang w:eastAsia="zh-CN"/>
              </w:rPr>
            </w:pPr>
            <w:r>
              <w:rPr>
                <w:rFonts w:hint="eastAsia" w:ascii="楷体" w:hAnsi="楷体" w:eastAsia="楷体" w:cs="楷体"/>
                <w:b w:val="0"/>
                <w:bCs w:val="0"/>
                <w:sz w:val="24"/>
                <w:szCs w:val="24"/>
                <w:vertAlign w:val="baseline"/>
                <w:lang w:eastAsia="zh-CN"/>
              </w:rPr>
              <w:t>文化体育健康之城：进一步加强文化基础设施建设，推动高质量体育赛事在三亚落地，形成“文化丰富多彩，体育竞技赛事精彩纷呈”的局面，同时做大做强康养产业，打造文化体育健康之城</w:t>
            </w:r>
          </w:p>
          <w:p>
            <w:pPr>
              <w:keepNext w:val="0"/>
              <w:keepLines w:val="0"/>
              <w:pageBreakBefore w:val="0"/>
              <w:widowControl w:val="0"/>
              <w:numPr>
                <w:ilvl w:val="0"/>
                <w:numId w:val="65"/>
              </w:numPr>
              <w:kinsoku/>
              <w:wordWrap/>
              <w:overflowPunct/>
              <w:topLinePunct w:val="0"/>
              <w:autoSpaceDE/>
              <w:autoSpaceDN/>
              <w:bidi w:val="0"/>
              <w:adjustRightInd/>
              <w:snapToGrid/>
              <w:spacing w:line="240" w:lineRule="auto"/>
              <w:ind w:left="425" w:leftChars="0" w:hanging="425" w:firstLineChars="0"/>
              <w:textAlignment w:val="auto"/>
              <w:rPr>
                <w:rFonts w:hint="eastAsia" w:ascii="楷体" w:hAnsi="楷体" w:eastAsia="楷体" w:cs="楷体"/>
                <w:b w:val="0"/>
                <w:bCs w:val="0"/>
                <w:sz w:val="24"/>
                <w:szCs w:val="24"/>
                <w:vertAlign w:val="baseline"/>
                <w:lang w:eastAsia="zh-CN"/>
              </w:rPr>
            </w:pPr>
            <w:r>
              <w:rPr>
                <w:rFonts w:hint="eastAsia" w:ascii="楷体" w:hAnsi="楷体" w:eastAsia="楷体" w:cs="楷体"/>
                <w:b w:val="0"/>
                <w:bCs w:val="0"/>
                <w:sz w:val="24"/>
                <w:szCs w:val="24"/>
                <w:vertAlign w:val="baseline"/>
                <w:lang w:eastAsia="zh-CN"/>
              </w:rPr>
              <w:t>科技创新智慧之城：加快布局高新技术产业，发展互联网、大数据、人工智能等数字经济，打造科技创新智慧之城</w:t>
            </w:r>
          </w:p>
          <w:p>
            <w:pPr>
              <w:keepNext w:val="0"/>
              <w:keepLines w:val="0"/>
              <w:pageBreakBefore w:val="0"/>
              <w:widowControl w:val="0"/>
              <w:numPr>
                <w:ilvl w:val="0"/>
                <w:numId w:val="65"/>
              </w:numPr>
              <w:kinsoku/>
              <w:wordWrap/>
              <w:overflowPunct/>
              <w:topLinePunct w:val="0"/>
              <w:autoSpaceDE/>
              <w:autoSpaceDN/>
              <w:bidi w:val="0"/>
              <w:adjustRightInd/>
              <w:snapToGrid/>
              <w:spacing w:line="240" w:lineRule="auto"/>
              <w:ind w:left="425" w:leftChars="0" w:hanging="425" w:firstLineChars="0"/>
              <w:textAlignment w:val="auto"/>
              <w:rPr>
                <w:rFonts w:hint="eastAsia" w:ascii="楷体" w:hAnsi="楷体" w:eastAsia="楷体" w:cs="楷体"/>
                <w:b w:val="0"/>
                <w:bCs w:val="0"/>
                <w:sz w:val="24"/>
                <w:szCs w:val="24"/>
                <w:vertAlign w:val="baseline"/>
                <w:lang w:eastAsia="zh-CN"/>
              </w:rPr>
            </w:pPr>
            <w:r>
              <w:rPr>
                <w:rFonts w:hint="eastAsia" w:ascii="楷体" w:hAnsi="楷体" w:eastAsia="楷体" w:cs="楷体"/>
                <w:b w:val="0"/>
                <w:bCs w:val="0"/>
                <w:sz w:val="24"/>
                <w:szCs w:val="24"/>
                <w:vertAlign w:val="baseline"/>
                <w:lang w:eastAsia="zh-CN"/>
              </w:rPr>
              <w:t>金融法治服务之城：利用金融产业在海南先行先试契机，吸引更多优质上市企业进入，拓宽金融服务领域，同时加快推动城市国际法治化进程，建设金融法治服务之城</w:t>
            </w:r>
          </w:p>
          <w:p>
            <w:pPr>
              <w:keepNext w:val="0"/>
              <w:keepLines w:val="0"/>
              <w:pageBreakBefore w:val="0"/>
              <w:widowControl w:val="0"/>
              <w:numPr>
                <w:ilvl w:val="0"/>
                <w:numId w:val="65"/>
              </w:numPr>
              <w:kinsoku/>
              <w:wordWrap/>
              <w:overflowPunct/>
              <w:topLinePunct w:val="0"/>
              <w:autoSpaceDE/>
              <w:autoSpaceDN/>
              <w:bidi w:val="0"/>
              <w:adjustRightInd/>
              <w:snapToGrid/>
              <w:spacing w:line="240" w:lineRule="auto"/>
              <w:ind w:left="425" w:leftChars="0" w:hanging="425" w:firstLineChars="0"/>
              <w:textAlignment w:val="auto"/>
              <w:rPr>
                <w:rFonts w:hint="eastAsia" w:ascii="楷体" w:hAnsi="楷体" w:eastAsia="楷体" w:cs="楷体"/>
                <w:b w:val="0"/>
                <w:bCs w:val="0"/>
                <w:sz w:val="24"/>
                <w:szCs w:val="24"/>
                <w:vertAlign w:val="baseline"/>
              </w:rPr>
            </w:pPr>
            <w:r>
              <w:rPr>
                <w:rFonts w:hint="eastAsia" w:ascii="楷体" w:hAnsi="楷体" w:eastAsia="楷体" w:cs="楷体"/>
                <w:b w:val="0"/>
                <w:bCs w:val="0"/>
                <w:sz w:val="24"/>
                <w:szCs w:val="24"/>
                <w:vertAlign w:val="baseline"/>
                <w:lang w:eastAsia="zh-CN"/>
              </w:rPr>
              <w:t>开放之城：不断扩大开放，广泛吸引企业和人才汇聚三亚，打造开放之城</w:t>
            </w:r>
          </w:p>
        </w:tc>
      </w:tr>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397" w:hRule="atLeast"/>
          <w:jc w:val="center"/>
        </w:trPr>
        <w:tc>
          <w:tcPr>
            <w:tcW w:w="979"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楷体" w:hAnsi="楷体" w:eastAsia="楷体" w:cs="楷体"/>
                <w:b w:val="0"/>
                <w:bCs w:val="0"/>
                <w:sz w:val="24"/>
                <w:szCs w:val="24"/>
                <w:vertAlign w:val="baseline"/>
                <w:lang w:val="en-US" w:eastAsia="zh-CN"/>
              </w:rPr>
            </w:pPr>
            <w:r>
              <w:rPr>
                <w:rFonts w:hint="eastAsia" w:ascii="楷体" w:hAnsi="楷体" w:eastAsia="楷体" w:cs="楷体"/>
                <w:b w:val="0"/>
                <w:bCs w:val="0"/>
                <w:sz w:val="24"/>
                <w:szCs w:val="24"/>
                <w:vertAlign w:val="baseline"/>
                <w:lang w:val="en-US" w:eastAsia="zh-CN"/>
              </w:rPr>
              <w:t>三亚市国土空间总体规划</w:t>
            </w:r>
          </w:p>
        </w:tc>
        <w:tc>
          <w:tcPr>
            <w:tcW w:w="3086" w:type="dxa"/>
            <w:gridSpan w:val="4"/>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textAlignment w:val="auto"/>
              <w:rPr>
                <w:rFonts w:hint="eastAsia" w:ascii="楷体" w:hAnsi="楷体" w:eastAsia="楷体" w:cs="楷体"/>
                <w:b w:val="0"/>
                <w:bCs w:val="0"/>
                <w:sz w:val="24"/>
                <w:szCs w:val="24"/>
                <w:vertAlign w:val="baseline"/>
                <w:lang w:val="en-US" w:eastAsia="zh-CN"/>
              </w:rPr>
            </w:pPr>
            <w:r>
              <w:rPr>
                <w:rFonts w:hint="eastAsia" w:ascii="楷体" w:hAnsi="楷体" w:eastAsia="楷体" w:cs="楷体"/>
                <w:b w:val="0"/>
                <w:bCs w:val="0"/>
                <w:sz w:val="24"/>
                <w:szCs w:val="24"/>
                <w:vertAlign w:val="baseline"/>
                <w:lang w:val="en-US" w:eastAsia="zh-CN"/>
              </w:rPr>
              <w:t>产业方向：</w:t>
            </w:r>
          </w:p>
          <w:p>
            <w:pPr>
              <w:keepNext w:val="0"/>
              <w:keepLines w:val="0"/>
              <w:pageBreakBefore w:val="0"/>
              <w:widowControl w:val="0"/>
              <w:numPr>
                <w:ilvl w:val="0"/>
                <w:numId w:val="66"/>
              </w:numPr>
              <w:kinsoku/>
              <w:wordWrap/>
              <w:overflowPunct/>
              <w:topLinePunct w:val="0"/>
              <w:autoSpaceDE/>
              <w:autoSpaceDN/>
              <w:bidi w:val="0"/>
              <w:adjustRightInd/>
              <w:snapToGrid/>
              <w:spacing w:line="240" w:lineRule="auto"/>
              <w:ind w:left="425" w:leftChars="0" w:hanging="425" w:firstLineChars="0"/>
              <w:textAlignment w:val="auto"/>
              <w:rPr>
                <w:rFonts w:hint="eastAsia" w:ascii="楷体" w:hAnsi="楷体" w:eastAsia="楷体" w:cs="楷体"/>
                <w:b w:val="0"/>
                <w:bCs w:val="0"/>
                <w:sz w:val="24"/>
                <w:szCs w:val="24"/>
                <w:vertAlign w:val="baseline"/>
                <w:lang w:val="en-US" w:eastAsia="zh-CN"/>
              </w:rPr>
            </w:pPr>
            <w:r>
              <w:rPr>
                <w:rFonts w:hint="eastAsia" w:ascii="楷体" w:hAnsi="楷体" w:eastAsia="楷体" w:cs="楷体"/>
                <w:b w:val="0"/>
                <w:bCs w:val="0"/>
                <w:sz w:val="24"/>
                <w:szCs w:val="24"/>
                <w:vertAlign w:val="baseline"/>
                <w:lang w:val="en-US" w:eastAsia="zh-CN"/>
              </w:rPr>
              <w:t>大旅游消费</w:t>
            </w:r>
          </w:p>
          <w:p>
            <w:pPr>
              <w:keepNext w:val="0"/>
              <w:keepLines w:val="0"/>
              <w:pageBreakBefore w:val="0"/>
              <w:widowControl w:val="0"/>
              <w:numPr>
                <w:ilvl w:val="0"/>
                <w:numId w:val="66"/>
              </w:numPr>
              <w:kinsoku/>
              <w:wordWrap/>
              <w:overflowPunct/>
              <w:topLinePunct w:val="0"/>
              <w:autoSpaceDE/>
              <w:autoSpaceDN/>
              <w:bidi w:val="0"/>
              <w:adjustRightInd/>
              <w:snapToGrid/>
              <w:spacing w:line="240" w:lineRule="auto"/>
              <w:ind w:left="425" w:leftChars="0" w:hanging="425" w:firstLineChars="0"/>
              <w:textAlignment w:val="auto"/>
              <w:rPr>
                <w:rFonts w:hint="eastAsia" w:ascii="楷体" w:hAnsi="楷体" w:eastAsia="楷体" w:cs="楷体"/>
                <w:b w:val="0"/>
                <w:bCs w:val="0"/>
                <w:sz w:val="24"/>
                <w:szCs w:val="24"/>
                <w:vertAlign w:val="baseline"/>
                <w:lang w:val="en-US" w:eastAsia="zh-CN"/>
              </w:rPr>
            </w:pPr>
            <w:r>
              <w:rPr>
                <w:rFonts w:hint="eastAsia" w:ascii="楷体" w:hAnsi="楷体" w:eastAsia="楷体" w:cs="楷体"/>
                <w:b w:val="0"/>
                <w:bCs w:val="0"/>
                <w:sz w:val="24"/>
                <w:szCs w:val="24"/>
                <w:vertAlign w:val="baseline"/>
                <w:lang w:val="en-US" w:eastAsia="zh-CN"/>
              </w:rPr>
              <w:t>深海科技与海洋渔业</w:t>
            </w:r>
          </w:p>
          <w:p>
            <w:pPr>
              <w:keepNext w:val="0"/>
              <w:keepLines w:val="0"/>
              <w:pageBreakBefore w:val="0"/>
              <w:widowControl w:val="0"/>
              <w:numPr>
                <w:ilvl w:val="0"/>
                <w:numId w:val="66"/>
              </w:numPr>
              <w:kinsoku/>
              <w:wordWrap/>
              <w:overflowPunct/>
              <w:topLinePunct w:val="0"/>
              <w:autoSpaceDE/>
              <w:autoSpaceDN/>
              <w:bidi w:val="0"/>
              <w:adjustRightInd/>
              <w:snapToGrid/>
              <w:spacing w:line="240" w:lineRule="auto"/>
              <w:ind w:left="425" w:leftChars="0" w:hanging="425" w:firstLineChars="0"/>
              <w:textAlignment w:val="auto"/>
              <w:rPr>
                <w:rFonts w:hint="eastAsia" w:ascii="楷体" w:hAnsi="楷体" w:eastAsia="楷体" w:cs="楷体"/>
                <w:b w:val="0"/>
                <w:bCs w:val="0"/>
                <w:sz w:val="24"/>
                <w:szCs w:val="24"/>
                <w:vertAlign w:val="baseline"/>
                <w:lang w:val="en-US" w:eastAsia="zh-CN"/>
              </w:rPr>
            </w:pPr>
            <w:r>
              <w:rPr>
                <w:rFonts w:hint="eastAsia" w:ascii="楷体" w:hAnsi="楷体" w:eastAsia="楷体" w:cs="楷体"/>
                <w:b w:val="0"/>
                <w:bCs w:val="0"/>
                <w:sz w:val="24"/>
                <w:szCs w:val="24"/>
                <w:vertAlign w:val="baseline"/>
                <w:lang w:val="en-US" w:eastAsia="zh-CN"/>
              </w:rPr>
              <w:t>热带科技农业</w:t>
            </w:r>
          </w:p>
          <w:p>
            <w:pPr>
              <w:keepNext w:val="0"/>
              <w:keepLines w:val="0"/>
              <w:pageBreakBefore w:val="0"/>
              <w:widowControl w:val="0"/>
              <w:numPr>
                <w:ilvl w:val="0"/>
                <w:numId w:val="66"/>
              </w:numPr>
              <w:kinsoku/>
              <w:wordWrap/>
              <w:overflowPunct/>
              <w:topLinePunct w:val="0"/>
              <w:autoSpaceDE/>
              <w:autoSpaceDN/>
              <w:bidi w:val="0"/>
              <w:adjustRightInd/>
              <w:snapToGrid/>
              <w:spacing w:line="240" w:lineRule="auto"/>
              <w:ind w:left="425" w:leftChars="0" w:hanging="425" w:firstLineChars="0"/>
              <w:textAlignment w:val="auto"/>
              <w:rPr>
                <w:rFonts w:hint="eastAsia" w:ascii="楷体" w:hAnsi="楷体" w:eastAsia="楷体" w:cs="楷体"/>
                <w:b w:val="0"/>
                <w:bCs w:val="0"/>
                <w:sz w:val="24"/>
                <w:szCs w:val="24"/>
                <w:vertAlign w:val="baseline"/>
                <w:lang w:eastAsia="zh-CN"/>
              </w:rPr>
            </w:pPr>
            <w:r>
              <w:rPr>
                <w:rFonts w:hint="eastAsia" w:ascii="楷体" w:hAnsi="楷体" w:eastAsia="楷体" w:cs="楷体"/>
                <w:b w:val="0"/>
                <w:bCs w:val="0"/>
                <w:sz w:val="24"/>
                <w:szCs w:val="24"/>
                <w:vertAlign w:val="baseline"/>
                <w:lang w:val="en-US" w:eastAsia="zh-CN"/>
              </w:rPr>
              <w:t>自贸特色现代服务业</w:t>
            </w:r>
          </w:p>
        </w:tc>
        <w:tc>
          <w:tcPr>
            <w:tcW w:w="4457" w:type="dxa"/>
            <w:gridSpan w:val="2"/>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textAlignment w:val="auto"/>
              <w:rPr>
                <w:rFonts w:hint="eastAsia" w:ascii="楷体" w:hAnsi="楷体" w:eastAsia="楷体" w:cs="楷体"/>
                <w:b w:val="0"/>
                <w:bCs w:val="0"/>
                <w:sz w:val="24"/>
                <w:szCs w:val="24"/>
                <w:vertAlign w:val="baseline"/>
                <w:lang w:val="en-US" w:eastAsia="zh-CN"/>
              </w:rPr>
            </w:pPr>
            <w:r>
              <w:rPr>
                <w:rFonts w:hint="eastAsia" w:ascii="楷体" w:hAnsi="楷体" w:eastAsia="楷体" w:cs="楷体"/>
                <w:b w:val="0"/>
                <w:bCs w:val="0"/>
                <w:sz w:val="24"/>
                <w:szCs w:val="24"/>
                <w:vertAlign w:val="baseline"/>
                <w:lang w:val="en-US" w:eastAsia="zh-CN"/>
              </w:rPr>
              <w:t>产业定位：</w:t>
            </w:r>
          </w:p>
          <w:p>
            <w:pPr>
              <w:keepNext w:val="0"/>
              <w:keepLines w:val="0"/>
              <w:pageBreakBefore w:val="0"/>
              <w:widowControl w:val="0"/>
              <w:numPr>
                <w:ilvl w:val="0"/>
                <w:numId w:val="67"/>
              </w:numPr>
              <w:kinsoku/>
              <w:wordWrap/>
              <w:overflowPunct/>
              <w:topLinePunct w:val="0"/>
              <w:autoSpaceDE/>
              <w:autoSpaceDN/>
              <w:bidi w:val="0"/>
              <w:adjustRightInd/>
              <w:snapToGrid/>
              <w:spacing w:line="240" w:lineRule="auto"/>
              <w:ind w:left="425" w:leftChars="0" w:hanging="425" w:firstLineChars="0"/>
              <w:textAlignment w:val="auto"/>
              <w:rPr>
                <w:rFonts w:hint="eastAsia" w:ascii="楷体" w:hAnsi="楷体" w:eastAsia="楷体" w:cs="楷体"/>
                <w:b w:val="0"/>
                <w:bCs w:val="0"/>
                <w:sz w:val="24"/>
                <w:szCs w:val="24"/>
                <w:vertAlign w:val="baseline"/>
                <w:lang w:val="en-US" w:eastAsia="zh-CN"/>
              </w:rPr>
            </w:pPr>
            <w:r>
              <w:rPr>
                <w:rFonts w:hint="eastAsia" w:ascii="楷体" w:hAnsi="楷体" w:eastAsia="楷体" w:cs="楷体"/>
                <w:b w:val="0"/>
                <w:bCs w:val="0"/>
                <w:sz w:val="24"/>
                <w:szCs w:val="24"/>
                <w:vertAlign w:val="baseline"/>
                <w:lang w:val="en-US" w:eastAsia="zh-CN"/>
              </w:rPr>
              <w:t>国际旅游消费中心引领区</w:t>
            </w:r>
          </w:p>
          <w:p>
            <w:pPr>
              <w:keepNext w:val="0"/>
              <w:keepLines w:val="0"/>
              <w:pageBreakBefore w:val="0"/>
              <w:widowControl w:val="0"/>
              <w:numPr>
                <w:ilvl w:val="0"/>
                <w:numId w:val="67"/>
              </w:numPr>
              <w:kinsoku/>
              <w:wordWrap/>
              <w:overflowPunct/>
              <w:topLinePunct w:val="0"/>
              <w:autoSpaceDE/>
              <w:autoSpaceDN/>
              <w:bidi w:val="0"/>
              <w:adjustRightInd/>
              <w:snapToGrid/>
              <w:spacing w:line="240" w:lineRule="auto"/>
              <w:ind w:left="425" w:leftChars="0" w:hanging="425" w:firstLineChars="0"/>
              <w:textAlignment w:val="auto"/>
              <w:rPr>
                <w:rFonts w:hint="eastAsia" w:ascii="楷体" w:hAnsi="楷体" w:eastAsia="楷体" w:cs="楷体"/>
                <w:b w:val="0"/>
                <w:bCs w:val="0"/>
                <w:sz w:val="24"/>
                <w:szCs w:val="24"/>
                <w:vertAlign w:val="baseline"/>
                <w:lang w:val="en-US" w:eastAsia="zh-CN"/>
              </w:rPr>
            </w:pPr>
            <w:r>
              <w:rPr>
                <w:rFonts w:hint="eastAsia" w:ascii="楷体" w:hAnsi="楷体" w:eastAsia="楷体" w:cs="楷体"/>
                <w:b w:val="0"/>
                <w:bCs w:val="0"/>
                <w:sz w:val="24"/>
                <w:szCs w:val="24"/>
                <w:vertAlign w:val="baseline"/>
                <w:lang w:val="en-US" w:eastAsia="zh-CN"/>
              </w:rPr>
              <w:t>国家热带山地雨林保育示范地</w:t>
            </w:r>
          </w:p>
          <w:p>
            <w:pPr>
              <w:keepNext w:val="0"/>
              <w:keepLines w:val="0"/>
              <w:pageBreakBefore w:val="0"/>
              <w:widowControl w:val="0"/>
              <w:numPr>
                <w:ilvl w:val="0"/>
                <w:numId w:val="67"/>
              </w:numPr>
              <w:kinsoku/>
              <w:wordWrap/>
              <w:overflowPunct/>
              <w:topLinePunct w:val="0"/>
              <w:autoSpaceDE/>
              <w:autoSpaceDN/>
              <w:bidi w:val="0"/>
              <w:adjustRightInd/>
              <w:snapToGrid/>
              <w:spacing w:line="240" w:lineRule="auto"/>
              <w:ind w:left="425" w:leftChars="0" w:hanging="425" w:firstLineChars="0"/>
              <w:textAlignment w:val="auto"/>
              <w:rPr>
                <w:rFonts w:hint="eastAsia" w:ascii="楷体" w:hAnsi="楷体" w:eastAsia="楷体" w:cs="楷体"/>
                <w:b w:val="0"/>
                <w:bCs w:val="0"/>
                <w:sz w:val="24"/>
                <w:szCs w:val="24"/>
                <w:vertAlign w:val="baseline"/>
                <w:lang w:val="en-US" w:eastAsia="zh-CN"/>
              </w:rPr>
            </w:pPr>
            <w:r>
              <w:rPr>
                <w:rFonts w:hint="eastAsia" w:ascii="楷体" w:hAnsi="楷体" w:eastAsia="楷体" w:cs="楷体"/>
                <w:b w:val="0"/>
                <w:bCs w:val="0"/>
                <w:sz w:val="24"/>
                <w:szCs w:val="24"/>
                <w:vertAlign w:val="baseline"/>
                <w:lang w:val="en-US" w:eastAsia="zh-CN"/>
              </w:rPr>
              <w:t>山海田园综合体融合发展地</w:t>
            </w:r>
          </w:p>
          <w:p>
            <w:pPr>
              <w:keepNext w:val="0"/>
              <w:keepLines w:val="0"/>
              <w:pageBreakBefore w:val="0"/>
              <w:widowControl w:val="0"/>
              <w:numPr>
                <w:ilvl w:val="0"/>
                <w:numId w:val="67"/>
              </w:numPr>
              <w:kinsoku/>
              <w:wordWrap/>
              <w:overflowPunct/>
              <w:topLinePunct w:val="0"/>
              <w:autoSpaceDE/>
              <w:autoSpaceDN/>
              <w:bidi w:val="0"/>
              <w:adjustRightInd/>
              <w:snapToGrid/>
              <w:spacing w:line="240" w:lineRule="auto"/>
              <w:ind w:left="425" w:leftChars="0" w:hanging="425" w:firstLineChars="0"/>
              <w:textAlignment w:val="auto"/>
              <w:rPr>
                <w:rFonts w:hint="eastAsia" w:ascii="楷体" w:hAnsi="楷体" w:eastAsia="楷体" w:cs="楷体"/>
                <w:b w:val="0"/>
                <w:bCs w:val="0"/>
                <w:sz w:val="24"/>
                <w:szCs w:val="24"/>
                <w:vertAlign w:val="baseline"/>
                <w:lang w:val="en-US" w:eastAsia="zh-CN"/>
              </w:rPr>
            </w:pPr>
            <w:r>
              <w:rPr>
                <w:rFonts w:hint="eastAsia" w:ascii="楷体" w:hAnsi="楷体" w:eastAsia="楷体" w:cs="楷体"/>
                <w:b w:val="0"/>
                <w:bCs w:val="0"/>
                <w:sz w:val="24"/>
                <w:szCs w:val="24"/>
                <w:vertAlign w:val="baseline"/>
                <w:lang w:val="en-US" w:eastAsia="zh-CN"/>
              </w:rPr>
              <w:t>国家深海海洋科技试验区</w:t>
            </w:r>
          </w:p>
          <w:p>
            <w:pPr>
              <w:keepNext w:val="0"/>
              <w:keepLines w:val="0"/>
              <w:pageBreakBefore w:val="0"/>
              <w:widowControl w:val="0"/>
              <w:numPr>
                <w:ilvl w:val="0"/>
                <w:numId w:val="67"/>
              </w:numPr>
              <w:kinsoku/>
              <w:wordWrap/>
              <w:overflowPunct/>
              <w:topLinePunct w:val="0"/>
              <w:autoSpaceDE/>
              <w:autoSpaceDN/>
              <w:bidi w:val="0"/>
              <w:adjustRightInd/>
              <w:snapToGrid/>
              <w:spacing w:line="240" w:lineRule="auto"/>
              <w:ind w:left="425" w:leftChars="0" w:hanging="425" w:firstLineChars="0"/>
              <w:textAlignment w:val="auto"/>
              <w:rPr>
                <w:rFonts w:hint="eastAsia" w:ascii="楷体" w:hAnsi="楷体" w:eastAsia="楷体" w:cs="楷体"/>
                <w:b w:val="0"/>
                <w:bCs w:val="0"/>
                <w:sz w:val="24"/>
                <w:szCs w:val="24"/>
                <w:vertAlign w:val="baseline"/>
                <w:lang w:val="en-US" w:eastAsia="zh-CN"/>
              </w:rPr>
            </w:pPr>
            <w:r>
              <w:rPr>
                <w:rFonts w:hint="eastAsia" w:ascii="楷体" w:hAnsi="楷体" w:eastAsia="楷体" w:cs="楷体"/>
                <w:b w:val="0"/>
                <w:bCs w:val="0"/>
                <w:sz w:val="24"/>
                <w:szCs w:val="24"/>
                <w:vertAlign w:val="baseline"/>
                <w:lang w:val="en-US" w:eastAsia="zh-CN"/>
              </w:rPr>
              <w:t>南海资源开发服务基地</w:t>
            </w:r>
          </w:p>
          <w:p>
            <w:pPr>
              <w:keepNext w:val="0"/>
              <w:keepLines w:val="0"/>
              <w:pageBreakBefore w:val="0"/>
              <w:widowControl w:val="0"/>
              <w:numPr>
                <w:ilvl w:val="0"/>
                <w:numId w:val="67"/>
              </w:numPr>
              <w:kinsoku/>
              <w:wordWrap/>
              <w:overflowPunct/>
              <w:topLinePunct w:val="0"/>
              <w:autoSpaceDE/>
              <w:autoSpaceDN/>
              <w:bidi w:val="0"/>
              <w:adjustRightInd/>
              <w:snapToGrid/>
              <w:spacing w:line="240" w:lineRule="auto"/>
              <w:ind w:left="425" w:leftChars="0" w:hanging="425" w:firstLineChars="0"/>
              <w:textAlignment w:val="auto"/>
              <w:rPr>
                <w:rFonts w:hint="eastAsia" w:ascii="楷体" w:hAnsi="楷体" w:eastAsia="楷体" w:cs="楷体"/>
                <w:b w:val="0"/>
                <w:bCs w:val="0"/>
                <w:sz w:val="24"/>
                <w:szCs w:val="24"/>
                <w:vertAlign w:val="baseline"/>
                <w:lang w:val="en-US" w:eastAsia="zh-CN"/>
              </w:rPr>
            </w:pPr>
            <w:r>
              <w:rPr>
                <w:rFonts w:hint="eastAsia" w:ascii="楷体" w:hAnsi="楷体" w:eastAsia="楷体" w:cs="楷体"/>
                <w:b w:val="0"/>
                <w:bCs w:val="0"/>
                <w:sz w:val="24"/>
                <w:szCs w:val="24"/>
                <w:vertAlign w:val="baseline"/>
                <w:lang w:val="en-US" w:eastAsia="zh-CN"/>
              </w:rPr>
              <w:t>南繁种业科技与热带农业科技研发</w:t>
            </w:r>
          </w:p>
          <w:p>
            <w:pPr>
              <w:keepNext w:val="0"/>
              <w:keepLines w:val="0"/>
              <w:pageBreakBefore w:val="0"/>
              <w:widowControl w:val="0"/>
              <w:numPr>
                <w:ilvl w:val="0"/>
                <w:numId w:val="67"/>
              </w:numPr>
              <w:kinsoku/>
              <w:wordWrap/>
              <w:overflowPunct/>
              <w:topLinePunct w:val="0"/>
              <w:autoSpaceDE/>
              <w:autoSpaceDN/>
              <w:bidi w:val="0"/>
              <w:adjustRightInd/>
              <w:snapToGrid/>
              <w:spacing w:line="240" w:lineRule="auto"/>
              <w:ind w:left="425" w:leftChars="0" w:hanging="425" w:firstLineChars="0"/>
              <w:textAlignment w:val="auto"/>
              <w:rPr>
                <w:rFonts w:hint="eastAsia" w:ascii="楷体" w:hAnsi="楷体" w:eastAsia="楷体" w:cs="楷体"/>
                <w:b w:val="0"/>
                <w:bCs w:val="0"/>
                <w:sz w:val="24"/>
                <w:szCs w:val="24"/>
                <w:vertAlign w:val="baseline"/>
                <w:lang w:val="en-US" w:eastAsia="zh-CN"/>
              </w:rPr>
            </w:pPr>
            <w:r>
              <w:rPr>
                <w:rFonts w:hint="eastAsia" w:ascii="楷体" w:hAnsi="楷体" w:eastAsia="楷体" w:cs="楷体"/>
                <w:b w:val="0"/>
                <w:bCs w:val="0"/>
                <w:sz w:val="24"/>
                <w:szCs w:val="24"/>
                <w:vertAlign w:val="baseline"/>
                <w:lang w:val="en-US" w:eastAsia="zh-CN"/>
              </w:rPr>
              <w:t>国家热带高效农业</w:t>
            </w:r>
          </w:p>
          <w:p>
            <w:pPr>
              <w:keepNext w:val="0"/>
              <w:keepLines w:val="0"/>
              <w:pageBreakBefore w:val="0"/>
              <w:widowControl w:val="0"/>
              <w:numPr>
                <w:ilvl w:val="0"/>
                <w:numId w:val="67"/>
              </w:numPr>
              <w:kinsoku/>
              <w:wordWrap/>
              <w:overflowPunct/>
              <w:topLinePunct w:val="0"/>
              <w:autoSpaceDE/>
              <w:autoSpaceDN/>
              <w:bidi w:val="0"/>
              <w:adjustRightInd/>
              <w:snapToGrid/>
              <w:spacing w:line="240" w:lineRule="auto"/>
              <w:ind w:left="425" w:leftChars="0" w:hanging="425" w:firstLineChars="0"/>
              <w:textAlignment w:val="auto"/>
              <w:rPr>
                <w:rFonts w:hint="eastAsia" w:ascii="楷体" w:hAnsi="楷体" w:eastAsia="楷体" w:cs="楷体"/>
                <w:b w:val="0"/>
                <w:bCs w:val="0"/>
                <w:sz w:val="24"/>
                <w:szCs w:val="24"/>
                <w:vertAlign w:val="baseline"/>
                <w:lang w:val="en-US" w:eastAsia="zh-CN"/>
              </w:rPr>
            </w:pPr>
            <w:r>
              <w:rPr>
                <w:rFonts w:hint="eastAsia" w:ascii="楷体" w:hAnsi="楷体" w:eastAsia="楷体" w:cs="楷体"/>
                <w:b w:val="0"/>
                <w:bCs w:val="0"/>
                <w:sz w:val="24"/>
                <w:szCs w:val="24"/>
                <w:vertAlign w:val="baseline"/>
                <w:lang w:val="en-US" w:eastAsia="zh-CN"/>
              </w:rPr>
              <w:t>自贸服务发展先行区</w:t>
            </w:r>
          </w:p>
          <w:p>
            <w:pPr>
              <w:keepNext w:val="0"/>
              <w:keepLines w:val="0"/>
              <w:pageBreakBefore w:val="0"/>
              <w:widowControl w:val="0"/>
              <w:numPr>
                <w:ilvl w:val="0"/>
                <w:numId w:val="67"/>
              </w:numPr>
              <w:kinsoku/>
              <w:wordWrap/>
              <w:overflowPunct/>
              <w:topLinePunct w:val="0"/>
              <w:autoSpaceDE/>
              <w:autoSpaceDN/>
              <w:bidi w:val="0"/>
              <w:adjustRightInd/>
              <w:snapToGrid/>
              <w:spacing w:line="240" w:lineRule="auto"/>
              <w:ind w:left="425" w:leftChars="0" w:hanging="425" w:firstLineChars="0"/>
              <w:textAlignment w:val="auto"/>
              <w:rPr>
                <w:rFonts w:hint="eastAsia" w:ascii="楷体" w:hAnsi="楷体" w:eastAsia="楷体" w:cs="楷体"/>
                <w:b w:val="0"/>
                <w:bCs w:val="0"/>
                <w:sz w:val="24"/>
                <w:szCs w:val="24"/>
                <w:vertAlign w:val="baseline"/>
                <w:lang w:val="en-US" w:eastAsia="zh-CN"/>
              </w:rPr>
            </w:pPr>
            <w:r>
              <w:rPr>
                <w:rFonts w:hint="eastAsia" w:ascii="楷体" w:hAnsi="楷体" w:eastAsia="楷体" w:cs="楷体"/>
                <w:b w:val="0"/>
                <w:bCs w:val="0"/>
                <w:sz w:val="24"/>
                <w:szCs w:val="24"/>
                <w:vertAlign w:val="baseline"/>
                <w:lang w:val="en-US" w:eastAsia="zh-CN"/>
              </w:rPr>
              <w:t>“一带一路”战略支点</w:t>
            </w:r>
          </w:p>
        </w:tc>
      </w:tr>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397" w:hRule="atLeast"/>
          <w:jc w:val="center"/>
        </w:trPr>
        <w:tc>
          <w:tcPr>
            <w:tcW w:w="979" w:type="dxa"/>
            <w:vMerge w:val="restart"/>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楷体" w:hAnsi="楷体" w:eastAsia="楷体" w:cs="楷体"/>
                <w:b w:val="0"/>
                <w:bCs w:val="0"/>
                <w:sz w:val="24"/>
                <w:szCs w:val="24"/>
                <w:vertAlign w:val="baseline"/>
                <w:lang w:val="en-US" w:eastAsia="zh-CN"/>
              </w:rPr>
            </w:pPr>
            <w:r>
              <w:rPr>
                <w:rFonts w:hint="eastAsia" w:ascii="楷体" w:hAnsi="楷体" w:eastAsia="楷体" w:cs="楷体"/>
                <w:b w:val="0"/>
                <w:bCs w:val="0"/>
                <w:sz w:val="24"/>
                <w:szCs w:val="24"/>
                <w:vertAlign w:val="baseline"/>
                <w:lang w:val="en-US" w:eastAsia="zh-CN"/>
              </w:rPr>
              <w:t>三亚“十四五”产业规划</w:t>
            </w:r>
          </w:p>
        </w:tc>
        <w:tc>
          <w:tcPr>
            <w:tcW w:w="2265" w:type="dxa"/>
            <w:gridSpan w:val="2"/>
            <w:vAlign w:val="top"/>
          </w:tcPr>
          <w:p>
            <w:pPr>
              <w:keepNext w:val="0"/>
              <w:keepLines w:val="0"/>
              <w:pageBreakBefore w:val="0"/>
              <w:widowControl w:val="0"/>
              <w:numPr>
                <w:ilvl w:val="-1"/>
                <w:numId w:val="0"/>
              </w:numPr>
              <w:kinsoku/>
              <w:wordWrap/>
              <w:overflowPunct/>
              <w:topLinePunct w:val="0"/>
              <w:autoSpaceDE/>
              <w:autoSpaceDN/>
              <w:bidi w:val="0"/>
              <w:adjustRightInd/>
              <w:snapToGrid/>
              <w:spacing w:line="240" w:lineRule="auto"/>
              <w:ind w:left="0" w:leftChars="0" w:firstLine="0" w:firstLineChars="0"/>
              <w:textAlignment w:val="auto"/>
              <w:rPr>
                <w:rFonts w:hint="eastAsia" w:ascii="楷体" w:hAnsi="楷体" w:eastAsia="楷体" w:cs="楷体"/>
                <w:b w:val="0"/>
                <w:bCs w:val="0"/>
                <w:sz w:val="24"/>
                <w:szCs w:val="24"/>
                <w:vertAlign w:val="baseline"/>
              </w:rPr>
            </w:pPr>
            <w:r>
              <w:rPr>
                <w:rFonts w:hint="eastAsia" w:ascii="楷体" w:hAnsi="楷体" w:eastAsia="楷体" w:cs="楷体"/>
                <w:b w:val="0"/>
                <w:bCs w:val="0"/>
                <w:sz w:val="24"/>
                <w:szCs w:val="24"/>
                <w:vertAlign w:val="baseline"/>
              </w:rPr>
              <w:t>“三区、一中枢”</w:t>
            </w:r>
          </w:p>
        </w:tc>
        <w:tc>
          <w:tcPr>
            <w:tcW w:w="5278" w:type="dxa"/>
            <w:gridSpan w:val="4"/>
            <w:vAlign w:val="top"/>
          </w:tcPr>
          <w:p>
            <w:pPr>
              <w:keepNext w:val="0"/>
              <w:keepLines w:val="0"/>
              <w:pageBreakBefore w:val="0"/>
              <w:widowControl w:val="0"/>
              <w:numPr>
                <w:ilvl w:val="0"/>
                <w:numId w:val="68"/>
              </w:numPr>
              <w:kinsoku/>
              <w:wordWrap/>
              <w:overflowPunct/>
              <w:topLinePunct w:val="0"/>
              <w:autoSpaceDE/>
              <w:autoSpaceDN/>
              <w:bidi w:val="0"/>
              <w:adjustRightInd/>
              <w:snapToGrid/>
              <w:spacing w:line="240" w:lineRule="auto"/>
              <w:ind w:left="425" w:leftChars="0" w:hanging="425" w:firstLineChars="0"/>
              <w:textAlignment w:val="auto"/>
              <w:rPr>
                <w:rFonts w:hint="eastAsia" w:ascii="楷体" w:hAnsi="楷体" w:eastAsia="楷体" w:cs="楷体"/>
                <w:b w:val="0"/>
                <w:bCs w:val="0"/>
                <w:sz w:val="24"/>
                <w:szCs w:val="24"/>
                <w:vertAlign w:val="baseline"/>
              </w:rPr>
            </w:pPr>
            <w:r>
              <w:rPr>
                <w:rFonts w:hint="eastAsia" w:ascii="楷体" w:hAnsi="楷体" w:eastAsia="楷体" w:cs="楷体"/>
                <w:b w:val="0"/>
                <w:bCs w:val="0"/>
                <w:sz w:val="24"/>
                <w:szCs w:val="24"/>
                <w:vertAlign w:val="baseline"/>
              </w:rPr>
              <w:t>自贸港高端要素集成中枢</w:t>
            </w:r>
          </w:p>
          <w:p>
            <w:pPr>
              <w:keepNext w:val="0"/>
              <w:keepLines w:val="0"/>
              <w:pageBreakBefore w:val="0"/>
              <w:widowControl w:val="0"/>
              <w:numPr>
                <w:ilvl w:val="0"/>
                <w:numId w:val="68"/>
              </w:numPr>
              <w:kinsoku/>
              <w:wordWrap/>
              <w:overflowPunct/>
              <w:topLinePunct w:val="0"/>
              <w:autoSpaceDE/>
              <w:autoSpaceDN/>
              <w:bidi w:val="0"/>
              <w:adjustRightInd/>
              <w:snapToGrid/>
              <w:spacing w:line="240" w:lineRule="auto"/>
              <w:ind w:left="425" w:leftChars="0" w:hanging="425" w:firstLineChars="0"/>
              <w:textAlignment w:val="auto"/>
              <w:rPr>
                <w:rFonts w:hint="eastAsia" w:ascii="楷体" w:hAnsi="楷体" w:eastAsia="楷体" w:cs="楷体"/>
                <w:b w:val="0"/>
                <w:bCs w:val="0"/>
                <w:sz w:val="24"/>
                <w:szCs w:val="24"/>
                <w:vertAlign w:val="baseline"/>
              </w:rPr>
            </w:pPr>
            <w:r>
              <w:rPr>
                <w:rFonts w:hint="eastAsia" w:ascii="楷体" w:hAnsi="楷体" w:eastAsia="楷体" w:cs="楷体"/>
                <w:b w:val="0"/>
                <w:bCs w:val="0"/>
                <w:sz w:val="24"/>
                <w:szCs w:val="24"/>
                <w:vertAlign w:val="baseline"/>
              </w:rPr>
              <w:t>国际旅游消费中心引领区</w:t>
            </w:r>
          </w:p>
          <w:p>
            <w:pPr>
              <w:keepNext w:val="0"/>
              <w:keepLines w:val="0"/>
              <w:pageBreakBefore w:val="0"/>
              <w:widowControl w:val="0"/>
              <w:numPr>
                <w:ilvl w:val="0"/>
                <w:numId w:val="68"/>
              </w:numPr>
              <w:kinsoku/>
              <w:wordWrap/>
              <w:overflowPunct/>
              <w:topLinePunct w:val="0"/>
              <w:autoSpaceDE/>
              <w:autoSpaceDN/>
              <w:bidi w:val="0"/>
              <w:adjustRightInd/>
              <w:snapToGrid/>
              <w:spacing w:line="240" w:lineRule="auto"/>
              <w:ind w:left="425" w:leftChars="0" w:hanging="425" w:firstLineChars="0"/>
              <w:textAlignment w:val="auto"/>
              <w:rPr>
                <w:rFonts w:hint="eastAsia" w:ascii="楷体" w:hAnsi="楷体" w:eastAsia="楷体" w:cs="楷体"/>
                <w:b w:val="0"/>
                <w:bCs w:val="0"/>
                <w:sz w:val="24"/>
                <w:szCs w:val="24"/>
                <w:vertAlign w:val="baseline"/>
              </w:rPr>
            </w:pPr>
            <w:r>
              <w:rPr>
                <w:rFonts w:hint="eastAsia" w:ascii="楷体" w:hAnsi="楷体" w:eastAsia="楷体" w:cs="楷体"/>
                <w:b w:val="0"/>
                <w:bCs w:val="0"/>
                <w:sz w:val="24"/>
                <w:szCs w:val="24"/>
                <w:vertAlign w:val="baseline"/>
              </w:rPr>
              <w:t>全球前沿科技创新活跃区</w:t>
            </w:r>
          </w:p>
          <w:p>
            <w:pPr>
              <w:keepNext w:val="0"/>
              <w:keepLines w:val="0"/>
              <w:pageBreakBefore w:val="0"/>
              <w:widowControl w:val="0"/>
              <w:numPr>
                <w:ilvl w:val="0"/>
                <w:numId w:val="68"/>
              </w:numPr>
              <w:kinsoku/>
              <w:wordWrap/>
              <w:overflowPunct/>
              <w:topLinePunct w:val="0"/>
              <w:autoSpaceDE/>
              <w:autoSpaceDN/>
              <w:bidi w:val="0"/>
              <w:adjustRightInd/>
              <w:snapToGrid/>
              <w:spacing w:line="240" w:lineRule="auto"/>
              <w:ind w:left="425" w:leftChars="0" w:hanging="425" w:firstLineChars="0"/>
              <w:textAlignment w:val="auto"/>
              <w:rPr>
                <w:rFonts w:hint="eastAsia" w:ascii="楷体" w:hAnsi="楷体" w:eastAsia="楷体" w:cs="楷体"/>
                <w:b w:val="0"/>
                <w:bCs w:val="0"/>
                <w:sz w:val="24"/>
                <w:szCs w:val="24"/>
                <w:vertAlign w:val="baseline"/>
              </w:rPr>
            </w:pPr>
            <w:r>
              <w:rPr>
                <w:rFonts w:hint="eastAsia" w:ascii="楷体" w:hAnsi="楷体" w:eastAsia="楷体" w:cs="楷体"/>
                <w:b w:val="0"/>
                <w:bCs w:val="0"/>
                <w:sz w:val="24"/>
                <w:szCs w:val="24"/>
                <w:vertAlign w:val="baseline"/>
              </w:rPr>
              <w:t>国家现代农科战略引擎区</w:t>
            </w:r>
          </w:p>
        </w:tc>
      </w:tr>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397" w:hRule="atLeast"/>
          <w:jc w:val="center"/>
        </w:trPr>
        <w:tc>
          <w:tcPr>
            <w:tcW w:w="979" w:type="dxa"/>
            <w:vMerge w:val="continue"/>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楷体" w:hAnsi="楷体" w:eastAsia="楷体" w:cs="楷体"/>
                <w:b w:val="0"/>
                <w:bCs w:val="0"/>
                <w:sz w:val="24"/>
                <w:szCs w:val="24"/>
                <w:vertAlign w:val="baseline"/>
                <w:lang w:val="en-US" w:eastAsia="zh-CN"/>
              </w:rPr>
            </w:pPr>
          </w:p>
        </w:tc>
        <w:tc>
          <w:tcPr>
            <w:tcW w:w="7543" w:type="dxa"/>
            <w:gridSpan w:val="6"/>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textAlignment w:val="auto"/>
              <w:rPr>
                <w:rFonts w:hint="eastAsia" w:ascii="楷体" w:hAnsi="楷体" w:eastAsia="楷体" w:cs="楷体"/>
                <w:b w:val="0"/>
                <w:bCs w:val="0"/>
                <w:sz w:val="24"/>
                <w:szCs w:val="24"/>
                <w:vertAlign w:val="baseline"/>
                <w:lang w:eastAsia="zh-CN"/>
              </w:rPr>
            </w:pPr>
            <w:r>
              <w:rPr>
                <w:rFonts w:hint="eastAsia" w:ascii="楷体" w:hAnsi="楷体" w:eastAsia="楷体" w:cs="楷体"/>
                <w:b w:val="0"/>
                <w:bCs w:val="0"/>
                <w:sz w:val="24"/>
                <w:szCs w:val="24"/>
                <w:vertAlign w:val="baseline"/>
                <w:lang w:val="en-US" w:eastAsia="zh-CN"/>
              </w:rPr>
              <w:t>1.</w:t>
            </w:r>
            <w:r>
              <w:rPr>
                <w:rFonts w:hint="eastAsia" w:ascii="楷体" w:hAnsi="楷体" w:eastAsia="楷体" w:cs="楷体"/>
                <w:b w:val="0"/>
                <w:bCs w:val="0"/>
                <w:sz w:val="24"/>
                <w:szCs w:val="24"/>
                <w:vertAlign w:val="baseline"/>
              </w:rPr>
              <w:t>三大千亿主导产业</w:t>
            </w:r>
            <w:r>
              <w:rPr>
                <w:rFonts w:hint="eastAsia" w:ascii="楷体" w:hAnsi="楷体" w:eastAsia="楷体" w:cs="楷体"/>
                <w:b w:val="0"/>
                <w:bCs w:val="0"/>
                <w:sz w:val="24"/>
                <w:szCs w:val="24"/>
                <w:vertAlign w:val="baseline"/>
                <w:lang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textAlignment w:val="auto"/>
              <w:rPr>
                <w:rFonts w:hint="eastAsia" w:ascii="楷体" w:hAnsi="楷体" w:eastAsia="楷体" w:cs="楷体"/>
                <w:b w:val="0"/>
                <w:bCs w:val="0"/>
                <w:sz w:val="24"/>
                <w:szCs w:val="24"/>
                <w:vertAlign w:val="baseline"/>
              </w:rPr>
            </w:pPr>
            <w:r>
              <w:rPr>
                <w:rFonts w:hint="eastAsia" w:ascii="楷体" w:hAnsi="楷体" w:eastAsia="楷体" w:cs="楷体"/>
                <w:b w:val="0"/>
                <w:bCs w:val="0"/>
                <w:sz w:val="24"/>
                <w:szCs w:val="24"/>
                <w:vertAlign w:val="baseline"/>
                <w:lang w:eastAsia="zh-CN"/>
              </w:rPr>
              <w:t>（</w:t>
            </w:r>
            <w:r>
              <w:rPr>
                <w:rFonts w:hint="eastAsia" w:ascii="楷体" w:hAnsi="楷体" w:eastAsia="楷体" w:cs="楷体"/>
                <w:b w:val="0"/>
                <w:bCs w:val="0"/>
                <w:sz w:val="24"/>
                <w:szCs w:val="24"/>
                <w:vertAlign w:val="baseline"/>
                <w:lang w:val="en-US" w:eastAsia="zh-CN"/>
              </w:rPr>
              <w:t>1</w:t>
            </w:r>
            <w:r>
              <w:rPr>
                <w:rFonts w:hint="eastAsia" w:ascii="楷体" w:hAnsi="楷体" w:eastAsia="楷体" w:cs="楷体"/>
                <w:b w:val="0"/>
                <w:bCs w:val="0"/>
                <w:sz w:val="24"/>
                <w:szCs w:val="24"/>
                <w:vertAlign w:val="baseline"/>
                <w:lang w:eastAsia="zh-CN"/>
              </w:rPr>
              <w:t>）</w:t>
            </w:r>
            <w:r>
              <w:rPr>
                <w:rFonts w:hint="eastAsia" w:ascii="楷体" w:hAnsi="楷体" w:eastAsia="楷体" w:cs="楷体"/>
                <w:b w:val="0"/>
                <w:bCs w:val="0"/>
                <w:sz w:val="24"/>
                <w:szCs w:val="24"/>
                <w:vertAlign w:val="baseline"/>
              </w:rPr>
              <w:t>旅游消费：主题乐园游、文化深度游、国际会展游、邮轮游艇游、教育科普游、婚庆旅游、亲子旅游、海洋特色旅游、体育赛事旅游及自贸创新业态旅游。</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textAlignment w:val="auto"/>
              <w:rPr>
                <w:rFonts w:hint="eastAsia" w:ascii="楷体" w:hAnsi="楷体" w:eastAsia="楷体" w:cs="楷体"/>
                <w:b w:val="0"/>
                <w:bCs w:val="0"/>
                <w:sz w:val="24"/>
                <w:szCs w:val="24"/>
                <w:vertAlign w:val="baseline"/>
              </w:rPr>
            </w:pPr>
            <w:r>
              <w:rPr>
                <w:rFonts w:hint="eastAsia" w:ascii="楷体" w:hAnsi="楷体" w:eastAsia="楷体" w:cs="楷体"/>
                <w:b w:val="0"/>
                <w:bCs w:val="0"/>
                <w:sz w:val="24"/>
                <w:szCs w:val="24"/>
                <w:vertAlign w:val="baseline"/>
                <w:lang w:eastAsia="zh-CN"/>
              </w:rPr>
              <w:t>（</w:t>
            </w:r>
            <w:r>
              <w:rPr>
                <w:rFonts w:hint="eastAsia" w:ascii="楷体" w:hAnsi="楷体" w:eastAsia="楷体" w:cs="楷体"/>
                <w:b w:val="0"/>
                <w:bCs w:val="0"/>
                <w:sz w:val="24"/>
                <w:szCs w:val="24"/>
                <w:vertAlign w:val="baseline"/>
                <w:lang w:val="en-US" w:eastAsia="zh-CN"/>
              </w:rPr>
              <w:t>2</w:t>
            </w:r>
            <w:r>
              <w:rPr>
                <w:rFonts w:hint="eastAsia" w:ascii="楷体" w:hAnsi="楷体" w:eastAsia="楷体" w:cs="楷体"/>
                <w:b w:val="0"/>
                <w:bCs w:val="0"/>
                <w:sz w:val="24"/>
                <w:szCs w:val="24"/>
                <w:vertAlign w:val="baseline"/>
                <w:lang w:eastAsia="zh-CN"/>
              </w:rPr>
              <w:t>）</w:t>
            </w:r>
            <w:r>
              <w:rPr>
                <w:rFonts w:hint="eastAsia" w:ascii="楷体" w:hAnsi="楷体" w:eastAsia="楷体" w:cs="楷体"/>
                <w:b w:val="0"/>
                <w:bCs w:val="0"/>
                <w:sz w:val="24"/>
                <w:szCs w:val="24"/>
                <w:vertAlign w:val="baseline"/>
              </w:rPr>
              <w:t>高新技术：以种业科技、海洋科技、数字科技、生物科技为核心，打造世界种业中国芯片、全国海洋科技研发新极、自贸港数字科技应用创新基地和数字内容开放先导、国际生物医药创新前沿。</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textAlignment w:val="auto"/>
              <w:rPr>
                <w:rFonts w:hint="eastAsia" w:ascii="楷体" w:hAnsi="楷体" w:eastAsia="楷体" w:cs="楷体"/>
                <w:b w:val="0"/>
                <w:bCs w:val="0"/>
                <w:sz w:val="24"/>
                <w:szCs w:val="24"/>
                <w:vertAlign w:val="baseline"/>
              </w:rPr>
            </w:pPr>
            <w:r>
              <w:rPr>
                <w:rFonts w:hint="eastAsia" w:ascii="楷体" w:hAnsi="楷体" w:eastAsia="楷体" w:cs="楷体"/>
                <w:b w:val="0"/>
                <w:bCs w:val="0"/>
                <w:sz w:val="24"/>
                <w:szCs w:val="24"/>
                <w:vertAlign w:val="baseline"/>
                <w:lang w:eastAsia="zh-CN"/>
              </w:rPr>
              <w:t>（</w:t>
            </w:r>
            <w:r>
              <w:rPr>
                <w:rFonts w:hint="eastAsia" w:ascii="楷体" w:hAnsi="楷体" w:eastAsia="楷体" w:cs="楷体"/>
                <w:b w:val="0"/>
                <w:bCs w:val="0"/>
                <w:sz w:val="24"/>
                <w:szCs w:val="24"/>
                <w:vertAlign w:val="baseline"/>
                <w:lang w:val="en-US" w:eastAsia="zh-CN"/>
              </w:rPr>
              <w:t>3</w:t>
            </w:r>
            <w:r>
              <w:rPr>
                <w:rFonts w:hint="eastAsia" w:ascii="楷体" w:hAnsi="楷体" w:eastAsia="楷体" w:cs="楷体"/>
                <w:b w:val="0"/>
                <w:bCs w:val="0"/>
                <w:sz w:val="24"/>
                <w:szCs w:val="24"/>
                <w:vertAlign w:val="baseline"/>
                <w:lang w:eastAsia="zh-CN"/>
              </w:rPr>
              <w:t>）</w:t>
            </w:r>
            <w:r>
              <w:rPr>
                <w:rFonts w:hint="eastAsia" w:ascii="楷体" w:hAnsi="楷体" w:eastAsia="楷体" w:cs="楷体"/>
                <w:b w:val="0"/>
                <w:bCs w:val="0"/>
                <w:sz w:val="24"/>
                <w:szCs w:val="24"/>
                <w:vertAlign w:val="baseline"/>
              </w:rPr>
              <w:t>现代金融：以交易平台、保险机构、资管主体、上市公司</w:t>
            </w:r>
            <w:r>
              <w:rPr>
                <w:rFonts w:hint="eastAsia" w:ascii="楷体" w:hAnsi="楷体" w:eastAsia="楷体" w:cs="楷体"/>
                <w:b w:val="0"/>
                <w:bCs w:val="0"/>
                <w:sz w:val="24"/>
                <w:szCs w:val="24"/>
                <w:vertAlign w:val="baseline"/>
                <w:lang w:eastAsia="zh-CN"/>
              </w:rPr>
              <w:t>、</w:t>
            </w:r>
            <w:r>
              <w:rPr>
                <w:rFonts w:hint="eastAsia" w:ascii="楷体" w:hAnsi="楷体" w:eastAsia="楷体" w:cs="楷体"/>
                <w:b w:val="0"/>
                <w:bCs w:val="0"/>
                <w:sz w:val="24"/>
                <w:szCs w:val="24"/>
                <w:vertAlign w:val="baseline"/>
              </w:rPr>
              <w:t>金融会议为核心，聚焦金融创新开放、农业产业金融、旅游产业金融领域。</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textAlignment w:val="auto"/>
              <w:rPr>
                <w:rFonts w:hint="eastAsia" w:ascii="楷体" w:hAnsi="楷体" w:eastAsia="楷体" w:cs="楷体"/>
                <w:b w:val="0"/>
                <w:bCs w:val="0"/>
                <w:sz w:val="24"/>
                <w:szCs w:val="24"/>
                <w:vertAlign w:val="baseline"/>
                <w:lang w:eastAsia="zh-CN"/>
              </w:rPr>
            </w:pPr>
            <w:r>
              <w:rPr>
                <w:rFonts w:hint="eastAsia" w:ascii="楷体" w:hAnsi="楷体" w:eastAsia="楷体" w:cs="楷体"/>
                <w:b w:val="0"/>
                <w:bCs w:val="0"/>
                <w:sz w:val="24"/>
                <w:szCs w:val="24"/>
                <w:vertAlign w:val="baseline"/>
                <w:lang w:val="en-US" w:eastAsia="zh-CN"/>
              </w:rPr>
              <w:t>2.</w:t>
            </w:r>
            <w:r>
              <w:rPr>
                <w:rFonts w:hint="eastAsia" w:ascii="楷体" w:hAnsi="楷体" w:eastAsia="楷体" w:cs="楷体"/>
                <w:b w:val="0"/>
                <w:bCs w:val="0"/>
                <w:sz w:val="24"/>
                <w:szCs w:val="24"/>
                <w:vertAlign w:val="baseline"/>
              </w:rPr>
              <w:t>两大战略培育产业</w:t>
            </w:r>
            <w:r>
              <w:rPr>
                <w:rFonts w:hint="eastAsia" w:ascii="楷体" w:hAnsi="楷体" w:eastAsia="楷体" w:cs="楷体"/>
                <w:b w:val="0"/>
                <w:bCs w:val="0"/>
                <w:sz w:val="24"/>
                <w:szCs w:val="24"/>
                <w:vertAlign w:val="baseline"/>
                <w:lang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textAlignment w:val="auto"/>
              <w:rPr>
                <w:rFonts w:hint="eastAsia" w:ascii="楷体" w:hAnsi="楷体" w:eastAsia="楷体" w:cs="楷体"/>
                <w:b w:val="0"/>
                <w:bCs w:val="0"/>
                <w:sz w:val="24"/>
                <w:szCs w:val="24"/>
                <w:vertAlign w:val="baseline"/>
              </w:rPr>
            </w:pPr>
            <w:r>
              <w:rPr>
                <w:rFonts w:hint="eastAsia" w:ascii="楷体" w:hAnsi="楷体" w:eastAsia="楷体" w:cs="楷体"/>
                <w:b w:val="0"/>
                <w:bCs w:val="0"/>
                <w:sz w:val="24"/>
                <w:szCs w:val="24"/>
                <w:vertAlign w:val="baseline"/>
                <w:lang w:eastAsia="zh-CN"/>
              </w:rPr>
              <w:t>（</w:t>
            </w:r>
            <w:r>
              <w:rPr>
                <w:rFonts w:hint="eastAsia" w:ascii="楷体" w:hAnsi="楷体" w:eastAsia="楷体" w:cs="楷体"/>
                <w:b w:val="0"/>
                <w:bCs w:val="0"/>
                <w:sz w:val="24"/>
                <w:szCs w:val="24"/>
                <w:vertAlign w:val="baseline"/>
                <w:lang w:val="en-US" w:eastAsia="zh-CN"/>
              </w:rPr>
              <w:t>1</w:t>
            </w:r>
            <w:r>
              <w:rPr>
                <w:rFonts w:hint="eastAsia" w:ascii="楷体" w:hAnsi="楷体" w:eastAsia="楷体" w:cs="楷体"/>
                <w:b w:val="0"/>
                <w:bCs w:val="0"/>
                <w:sz w:val="24"/>
                <w:szCs w:val="24"/>
                <w:vertAlign w:val="baseline"/>
                <w:lang w:eastAsia="zh-CN"/>
              </w:rPr>
              <w:t>）</w:t>
            </w:r>
            <w:r>
              <w:rPr>
                <w:rFonts w:hint="eastAsia" w:ascii="楷体" w:hAnsi="楷体" w:eastAsia="楷体" w:cs="楷体"/>
                <w:b w:val="0"/>
                <w:bCs w:val="0"/>
                <w:sz w:val="24"/>
                <w:szCs w:val="24"/>
                <w:vertAlign w:val="baseline"/>
              </w:rPr>
              <w:t>健康服务：以高端医美、健康检测等健康管理和康复疗养、温泉养生等健康养生为重点，以中医药健康服务贸易为特色，导入全球高端健康服务资源，扩大高端健康服务市场化供给，推动健康服务与旅游消费深度融合互动。</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textAlignment w:val="auto"/>
              <w:rPr>
                <w:rFonts w:hint="eastAsia" w:ascii="楷体" w:hAnsi="楷体" w:eastAsia="楷体" w:cs="楷体"/>
                <w:b w:val="0"/>
                <w:bCs w:val="0"/>
                <w:sz w:val="24"/>
                <w:szCs w:val="24"/>
                <w:vertAlign w:val="baseline"/>
              </w:rPr>
            </w:pPr>
            <w:r>
              <w:rPr>
                <w:rFonts w:hint="eastAsia" w:ascii="楷体" w:hAnsi="楷体" w:eastAsia="楷体" w:cs="楷体"/>
                <w:b w:val="0"/>
                <w:bCs w:val="0"/>
                <w:sz w:val="24"/>
                <w:szCs w:val="24"/>
                <w:vertAlign w:val="baseline"/>
                <w:lang w:eastAsia="zh-CN"/>
              </w:rPr>
              <w:t>（</w:t>
            </w:r>
            <w:r>
              <w:rPr>
                <w:rFonts w:hint="eastAsia" w:ascii="楷体" w:hAnsi="楷体" w:eastAsia="楷体" w:cs="楷体"/>
                <w:b w:val="0"/>
                <w:bCs w:val="0"/>
                <w:sz w:val="24"/>
                <w:szCs w:val="24"/>
                <w:vertAlign w:val="baseline"/>
                <w:lang w:val="en-US" w:eastAsia="zh-CN"/>
              </w:rPr>
              <w:t>2</w:t>
            </w:r>
            <w:r>
              <w:rPr>
                <w:rFonts w:hint="eastAsia" w:ascii="楷体" w:hAnsi="楷体" w:eastAsia="楷体" w:cs="楷体"/>
                <w:b w:val="0"/>
                <w:bCs w:val="0"/>
                <w:sz w:val="24"/>
                <w:szCs w:val="24"/>
                <w:vertAlign w:val="baseline"/>
                <w:lang w:eastAsia="zh-CN"/>
              </w:rPr>
              <w:t>）</w:t>
            </w:r>
            <w:r>
              <w:rPr>
                <w:rFonts w:hint="eastAsia" w:ascii="楷体" w:hAnsi="楷体" w:eastAsia="楷体" w:cs="楷体"/>
                <w:b w:val="0"/>
                <w:bCs w:val="0"/>
                <w:sz w:val="24"/>
                <w:szCs w:val="24"/>
                <w:vertAlign w:val="baseline"/>
              </w:rPr>
              <w:t>教育产业：立足旅游业、现代服务业、高新技术产业、热带特色高效农业等发展需求，定向集聚全球顶级科研型高校机构主体，率先试点国际教育开放创新，深化推进农业旅游业产教融合发展。</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textAlignment w:val="auto"/>
              <w:rPr>
                <w:rFonts w:hint="eastAsia" w:ascii="楷体" w:hAnsi="楷体" w:eastAsia="楷体" w:cs="楷体"/>
                <w:b w:val="0"/>
                <w:bCs w:val="0"/>
                <w:sz w:val="24"/>
                <w:szCs w:val="24"/>
                <w:vertAlign w:val="baseline"/>
              </w:rPr>
            </w:pPr>
            <w:r>
              <w:rPr>
                <w:rFonts w:hint="eastAsia" w:ascii="楷体" w:hAnsi="楷体" w:eastAsia="楷体" w:cs="楷体"/>
                <w:b w:val="0"/>
                <w:bCs w:val="0"/>
                <w:sz w:val="24"/>
                <w:szCs w:val="24"/>
                <w:vertAlign w:val="baseline"/>
                <w:lang w:val="en-US" w:eastAsia="zh-CN"/>
              </w:rPr>
              <w:t>3：</w:t>
            </w:r>
            <w:r>
              <w:rPr>
                <w:rFonts w:hint="eastAsia" w:ascii="楷体" w:hAnsi="楷体" w:eastAsia="楷体" w:cs="楷体"/>
                <w:b w:val="0"/>
                <w:bCs w:val="0"/>
                <w:sz w:val="24"/>
                <w:szCs w:val="24"/>
                <w:vertAlign w:val="baseline"/>
              </w:rPr>
              <w:t>一大基础特色产业</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textAlignment w:val="auto"/>
              <w:rPr>
                <w:rFonts w:hint="eastAsia" w:ascii="楷体" w:hAnsi="楷体" w:eastAsia="楷体" w:cs="楷体"/>
                <w:b w:val="0"/>
                <w:bCs w:val="0"/>
                <w:sz w:val="24"/>
                <w:szCs w:val="24"/>
                <w:vertAlign w:val="baseline"/>
              </w:rPr>
            </w:pPr>
            <w:r>
              <w:rPr>
                <w:rFonts w:hint="eastAsia" w:ascii="楷体" w:hAnsi="楷体" w:eastAsia="楷体" w:cs="楷体"/>
                <w:b w:val="0"/>
                <w:bCs w:val="0"/>
                <w:sz w:val="24"/>
                <w:szCs w:val="24"/>
                <w:vertAlign w:val="baseline"/>
                <w:lang w:eastAsia="zh-CN"/>
              </w:rPr>
              <w:t>（</w:t>
            </w:r>
            <w:r>
              <w:rPr>
                <w:rFonts w:hint="eastAsia" w:ascii="楷体" w:hAnsi="楷体" w:eastAsia="楷体" w:cs="楷体"/>
                <w:b w:val="0"/>
                <w:bCs w:val="0"/>
                <w:sz w:val="24"/>
                <w:szCs w:val="24"/>
                <w:vertAlign w:val="baseline"/>
                <w:lang w:val="en-US" w:eastAsia="zh-CN"/>
              </w:rPr>
              <w:t>1</w:t>
            </w:r>
            <w:r>
              <w:rPr>
                <w:rFonts w:hint="eastAsia" w:ascii="楷体" w:hAnsi="楷体" w:eastAsia="楷体" w:cs="楷体"/>
                <w:b w:val="0"/>
                <w:bCs w:val="0"/>
                <w:sz w:val="24"/>
                <w:szCs w:val="24"/>
                <w:vertAlign w:val="baseline"/>
                <w:lang w:eastAsia="zh-CN"/>
              </w:rPr>
              <w:t>）</w:t>
            </w:r>
            <w:r>
              <w:rPr>
                <w:rFonts w:hint="eastAsia" w:ascii="楷体" w:hAnsi="楷体" w:eastAsia="楷体" w:cs="楷体"/>
                <w:b w:val="0"/>
                <w:bCs w:val="0"/>
                <w:sz w:val="24"/>
                <w:szCs w:val="24"/>
                <w:vertAlign w:val="baseline"/>
              </w:rPr>
              <w:t>热带特色高效农业：聚焦全球选种推广-农业科技提效-定向加工增值-农旅融合深化全产业链，塑造农业生态化、景观化、高效化品牌，形成海南农业现代化转型标杆与全国农业高效化发展示范。</w:t>
            </w:r>
          </w:p>
        </w:tc>
      </w:tr>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397" w:hRule="atLeast"/>
          <w:jc w:val="center"/>
        </w:trPr>
        <w:tc>
          <w:tcPr>
            <w:tcW w:w="979"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楷体" w:hAnsi="楷体" w:eastAsia="楷体" w:cs="楷体"/>
                <w:b w:val="0"/>
                <w:bCs w:val="0"/>
                <w:sz w:val="24"/>
                <w:szCs w:val="24"/>
                <w:vertAlign w:val="baseline"/>
                <w:lang w:val="en-US" w:eastAsia="zh-CN"/>
              </w:rPr>
            </w:pPr>
            <w:r>
              <w:rPr>
                <w:rFonts w:hint="eastAsia" w:ascii="楷体" w:hAnsi="楷体" w:eastAsia="楷体" w:cs="楷体"/>
                <w:b w:val="0"/>
                <w:bCs w:val="0"/>
                <w:sz w:val="24"/>
                <w:szCs w:val="24"/>
                <w:vertAlign w:val="baseline"/>
                <w:lang w:val="en-US" w:eastAsia="zh-CN"/>
              </w:rPr>
              <w:t>保亭产业提升思路研究</w:t>
            </w:r>
          </w:p>
        </w:tc>
        <w:tc>
          <w:tcPr>
            <w:tcW w:w="7543" w:type="dxa"/>
            <w:gridSpan w:val="6"/>
            <w:vAlign w:val="top"/>
          </w:tcPr>
          <w:p>
            <w:pPr>
              <w:keepNext w:val="0"/>
              <w:keepLines w:val="0"/>
              <w:pageBreakBefore w:val="0"/>
              <w:widowControl w:val="0"/>
              <w:numPr>
                <w:ilvl w:val="0"/>
                <w:numId w:val="69"/>
              </w:numPr>
              <w:kinsoku/>
              <w:wordWrap/>
              <w:overflowPunct/>
              <w:topLinePunct w:val="0"/>
              <w:autoSpaceDE/>
              <w:autoSpaceDN/>
              <w:bidi w:val="0"/>
              <w:adjustRightInd/>
              <w:snapToGrid/>
              <w:spacing w:line="240" w:lineRule="auto"/>
              <w:ind w:left="425" w:leftChars="0" w:hanging="425" w:firstLineChars="0"/>
              <w:textAlignment w:val="auto"/>
              <w:rPr>
                <w:rFonts w:hint="eastAsia" w:ascii="楷体" w:hAnsi="楷体" w:eastAsia="楷体" w:cs="楷体"/>
                <w:b w:val="0"/>
                <w:bCs w:val="0"/>
                <w:sz w:val="24"/>
                <w:szCs w:val="24"/>
                <w:vertAlign w:val="baseline"/>
                <w:lang w:val="en-US" w:eastAsia="zh-CN"/>
              </w:rPr>
            </w:pPr>
            <w:r>
              <w:rPr>
                <w:rFonts w:hint="eastAsia" w:ascii="楷体" w:hAnsi="楷体" w:eastAsia="楷体" w:cs="楷体"/>
                <w:b w:val="0"/>
                <w:bCs w:val="0"/>
                <w:sz w:val="24"/>
                <w:szCs w:val="24"/>
                <w:vertAlign w:val="baseline"/>
                <w:lang w:val="en-US" w:eastAsia="zh-CN"/>
              </w:rPr>
              <w:t>绿色康养旅游消费新节点</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textAlignment w:val="auto"/>
              <w:rPr>
                <w:rFonts w:hint="eastAsia" w:ascii="楷体" w:hAnsi="楷体" w:eastAsia="楷体" w:cs="楷体"/>
                <w:b w:val="0"/>
                <w:bCs w:val="0"/>
                <w:sz w:val="24"/>
                <w:szCs w:val="24"/>
                <w:vertAlign w:val="baseline"/>
                <w:lang w:val="en-US" w:eastAsia="zh-CN"/>
              </w:rPr>
            </w:pPr>
            <w:r>
              <w:rPr>
                <w:rFonts w:hint="eastAsia" w:ascii="楷体" w:hAnsi="楷体" w:eastAsia="楷体" w:cs="楷体"/>
                <w:b w:val="0"/>
                <w:bCs w:val="0"/>
                <w:sz w:val="24"/>
                <w:szCs w:val="24"/>
                <w:vertAlign w:val="baseline"/>
                <w:lang w:val="en-US" w:eastAsia="zh-CN"/>
              </w:rPr>
              <w:t>（1）森林康养旅游：塑造森林康养旅游品牌</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textAlignment w:val="auto"/>
              <w:rPr>
                <w:rFonts w:hint="eastAsia" w:ascii="楷体" w:hAnsi="楷体" w:eastAsia="楷体" w:cs="楷体"/>
                <w:b w:val="0"/>
                <w:bCs w:val="0"/>
                <w:sz w:val="24"/>
                <w:szCs w:val="24"/>
                <w:vertAlign w:val="baseline"/>
                <w:lang w:val="en-US" w:eastAsia="zh-CN"/>
              </w:rPr>
            </w:pPr>
            <w:r>
              <w:rPr>
                <w:rFonts w:hint="eastAsia" w:ascii="楷体" w:hAnsi="楷体" w:eastAsia="楷体" w:cs="楷体"/>
                <w:b w:val="0"/>
                <w:bCs w:val="0"/>
                <w:sz w:val="24"/>
                <w:szCs w:val="24"/>
                <w:vertAlign w:val="baseline"/>
                <w:lang w:val="en-US" w:eastAsia="zh-CN"/>
              </w:rPr>
              <w:t>（2）中医健康旅游：打造中医健康特色小镇</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textAlignment w:val="auto"/>
              <w:rPr>
                <w:rFonts w:hint="eastAsia" w:ascii="楷体" w:hAnsi="楷体" w:eastAsia="楷体" w:cs="楷体"/>
                <w:b w:val="0"/>
                <w:bCs w:val="0"/>
                <w:sz w:val="24"/>
                <w:szCs w:val="24"/>
                <w:vertAlign w:val="baseline"/>
                <w:lang w:val="en-US" w:eastAsia="zh-CN"/>
              </w:rPr>
            </w:pPr>
            <w:r>
              <w:rPr>
                <w:rFonts w:hint="eastAsia" w:ascii="楷体" w:hAnsi="楷体" w:eastAsia="楷体" w:cs="楷体"/>
                <w:b w:val="0"/>
                <w:bCs w:val="0"/>
                <w:sz w:val="24"/>
                <w:szCs w:val="24"/>
                <w:vertAlign w:val="baseline"/>
                <w:lang w:val="en-US" w:eastAsia="zh-CN"/>
              </w:rPr>
              <w:t>（3）绿色研学旅游：建设绿色研学旅游基地</w:t>
            </w:r>
          </w:p>
          <w:p>
            <w:pPr>
              <w:keepNext w:val="0"/>
              <w:keepLines w:val="0"/>
              <w:pageBreakBefore w:val="0"/>
              <w:widowControl w:val="0"/>
              <w:numPr>
                <w:ilvl w:val="0"/>
                <w:numId w:val="69"/>
              </w:numPr>
              <w:kinsoku/>
              <w:wordWrap/>
              <w:overflowPunct/>
              <w:topLinePunct w:val="0"/>
              <w:autoSpaceDE/>
              <w:autoSpaceDN/>
              <w:bidi w:val="0"/>
              <w:adjustRightInd/>
              <w:snapToGrid/>
              <w:spacing w:line="240" w:lineRule="auto"/>
              <w:ind w:left="425" w:leftChars="0" w:hanging="425" w:firstLineChars="0"/>
              <w:textAlignment w:val="auto"/>
              <w:rPr>
                <w:rFonts w:hint="eastAsia" w:ascii="楷体" w:hAnsi="楷体" w:eastAsia="楷体" w:cs="楷体"/>
                <w:b w:val="0"/>
                <w:bCs w:val="0"/>
                <w:sz w:val="24"/>
                <w:szCs w:val="24"/>
                <w:vertAlign w:val="baseline"/>
                <w:lang w:val="en-US" w:eastAsia="zh-CN"/>
              </w:rPr>
            </w:pPr>
            <w:r>
              <w:rPr>
                <w:rFonts w:hint="eastAsia" w:ascii="楷体" w:hAnsi="楷体" w:eastAsia="楷体" w:cs="楷体"/>
                <w:b w:val="0"/>
                <w:bCs w:val="0"/>
                <w:sz w:val="24"/>
                <w:szCs w:val="24"/>
                <w:vertAlign w:val="baseline"/>
                <w:lang w:val="en-US" w:eastAsia="zh-CN"/>
              </w:rPr>
              <w:t>热带农科新品应用基地</w:t>
            </w:r>
          </w:p>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楷体" w:hAnsi="楷体" w:eastAsia="楷体" w:cs="楷体"/>
                <w:b w:val="0"/>
                <w:bCs w:val="0"/>
                <w:sz w:val="24"/>
                <w:szCs w:val="24"/>
                <w:vertAlign w:val="baseline"/>
                <w:lang w:val="en-US" w:eastAsia="zh-CN"/>
              </w:rPr>
            </w:pPr>
            <w:r>
              <w:rPr>
                <w:rFonts w:hint="eastAsia" w:ascii="楷体" w:hAnsi="楷体" w:eastAsia="楷体" w:cs="楷体"/>
                <w:b w:val="0"/>
                <w:bCs w:val="0"/>
                <w:sz w:val="24"/>
                <w:szCs w:val="24"/>
                <w:vertAlign w:val="baseline"/>
                <w:lang w:eastAsia="zh-CN"/>
              </w:rPr>
              <w:t>（</w:t>
            </w:r>
            <w:r>
              <w:rPr>
                <w:rFonts w:hint="eastAsia" w:ascii="楷体" w:hAnsi="楷体" w:eastAsia="楷体" w:cs="楷体"/>
                <w:b w:val="0"/>
                <w:bCs w:val="0"/>
                <w:sz w:val="24"/>
                <w:szCs w:val="24"/>
                <w:vertAlign w:val="baseline"/>
                <w:lang w:val="en-US" w:eastAsia="zh-CN"/>
              </w:rPr>
              <w:t>1</w:t>
            </w:r>
            <w:r>
              <w:rPr>
                <w:rFonts w:hint="eastAsia" w:ascii="楷体" w:hAnsi="楷体" w:eastAsia="楷体" w:cs="楷体"/>
                <w:b w:val="0"/>
                <w:bCs w:val="0"/>
                <w:sz w:val="24"/>
                <w:szCs w:val="24"/>
                <w:vertAlign w:val="baseline"/>
                <w:lang w:eastAsia="zh-CN"/>
              </w:rPr>
              <w:t>）</w:t>
            </w:r>
            <w:r>
              <w:rPr>
                <w:rFonts w:hint="eastAsia" w:ascii="楷体" w:hAnsi="楷体" w:eastAsia="楷体" w:cs="楷体"/>
                <w:b w:val="0"/>
                <w:bCs w:val="0"/>
                <w:sz w:val="24"/>
                <w:szCs w:val="24"/>
                <w:vertAlign w:val="baseline"/>
                <w:lang w:val="en-US" w:eastAsia="zh-CN"/>
              </w:rPr>
              <w:t>农业成果应用：联动全岛自贸先导项目</w:t>
            </w:r>
          </w:p>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楷体" w:hAnsi="楷体" w:eastAsia="楷体" w:cs="楷体"/>
                <w:b w:val="0"/>
                <w:bCs w:val="0"/>
                <w:sz w:val="24"/>
                <w:szCs w:val="24"/>
                <w:vertAlign w:val="baseline"/>
                <w:lang w:val="en-US" w:eastAsia="zh-CN"/>
              </w:rPr>
            </w:pPr>
            <w:r>
              <w:rPr>
                <w:rFonts w:hint="eastAsia" w:ascii="楷体" w:hAnsi="楷体" w:eastAsia="楷体" w:cs="楷体"/>
                <w:b w:val="0"/>
                <w:bCs w:val="0"/>
                <w:sz w:val="24"/>
                <w:szCs w:val="24"/>
                <w:vertAlign w:val="baseline"/>
                <w:lang w:val="en-US" w:eastAsia="zh-CN"/>
              </w:rPr>
              <w:t>（2）农业品牌孵化：打造农业品牌孵化平台</w:t>
            </w:r>
          </w:p>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楷体" w:hAnsi="楷体" w:eastAsia="楷体" w:cs="楷体"/>
                <w:b w:val="0"/>
                <w:bCs w:val="0"/>
                <w:sz w:val="24"/>
                <w:szCs w:val="24"/>
                <w:vertAlign w:val="baseline"/>
                <w:lang w:val="en-US" w:eastAsia="zh-CN"/>
              </w:rPr>
            </w:pPr>
            <w:r>
              <w:rPr>
                <w:rFonts w:hint="eastAsia" w:ascii="楷体" w:hAnsi="楷体" w:eastAsia="楷体" w:cs="楷体"/>
                <w:b w:val="0"/>
                <w:bCs w:val="0"/>
                <w:sz w:val="24"/>
                <w:szCs w:val="24"/>
                <w:vertAlign w:val="baseline"/>
                <w:lang w:val="en-US" w:eastAsia="zh-CN"/>
              </w:rPr>
              <w:t>（3）农产品加工与服务：践行一二三产联动</w:t>
            </w:r>
          </w:p>
        </w:tc>
      </w:tr>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397" w:hRule="atLeast"/>
          <w:jc w:val="center"/>
        </w:trPr>
        <w:tc>
          <w:tcPr>
            <w:tcW w:w="979"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楷体" w:hAnsi="楷体" w:eastAsia="楷体" w:cs="楷体"/>
                <w:b w:val="0"/>
                <w:bCs w:val="0"/>
                <w:sz w:val="24"/>
                <w:szCs w:val="24"/>
                <w:vertAlign w:val="baseline"/>
                <w:lang w:val="en-US" w:eastAsia="zh-CN"/>
              </w:rPr>
            </w:pPr>
            <w:r>
              <w:rPr>
                <w:rFonts w:hint="eastAsia" w:ascii="楷体" w:hAnsi="楷体" w:eastAsia="楷体" w:cs="楷体"/>
                <w:b w:val="0"/>
                <w:bCs w:val="0"/>
                <w:sz w:val="24"/>
                <w:szCs w:val="24"/>
                <w:vertAlign w:val="baseline"/>
                <w:lang w:val="en-US" w:eastAsia="zh-CN"/>
              </w:rPr>
              <w:t>海棠湾</w:t>
            </w:r>
          </w:p>
        </w:tc>
        <w:tc>
          <w:tcPr>
            <w:tcW w:w="2664" w:type="dxa"/>
            <w:gridSpan w:val="3"/>
            <w:vAlign w:val="top"/>
          </w:tcPr>
          <w:p>
            <w:pPr>
              <w:keepNext w:val="0"/>
              <w:keepLines w:val="0"/>
              <w:pageBreakBefore w:val="0"/>
              <w:widowControl w:val="0"/>
              <w:numPr>
                <w:ilvl w:val="0"/>
                <w:numId w:val="70"/>
              </w:numPr>
              <w:kinsoku/>
              <w:wordWrap/>
              <w:overflowPunct/>
              <w:topLinePunct w:val="0"/>
              <w:autoSpaceDE/>
              <w:autoSpaceDN/>
              <w:bidi w:val="0"/>
              <w:adjustRightInd/>
              <w:snapToGrid/>
              <w:spacing w:line="240" w:lineRule="auto"/>
              <w:ind w:left="425" w:leftChars="0" w:hanging="425" w:firstLineChars="0"/>
              <w:textAlignment w:val="auto"/>
              <w:rPr>
                <w:rFonts w:hint="eastAsia" w:ascii="楷体" w:hAnsi="楷体" w:eastAsia="楷体" w:cs="楷体"/>
                <w:b w:val="0"/>
                <w:bCs w:val="0"/>
                <w:sz w:val="24"/>
                <w:szCs w:val="24"/>
                <w:vertAlign w:val="baseline"/>
                <w:lang w:val="en-US" w:eastAsia="zh-CN"/>
              </w:rPr>
            </w:pPr>
            <w:r>
              <w:rPr>
                <w:rFonts w:hint="eastAsia" w:ascii="楷体" w:hAnsi="楷体" w:eastAsia="楷体" w:cs="楷体"/>
                <w:b w:val="0"/>
                <w:bCs w:val="0"/>
                <w:sz w:val="24"/>
                <w:szCs w:val="24"/>
                <w:vertAlign w:val="baseline"/>
                <w:lang w:val="en-US" w:eastAsia="zh-CN"/>
              </w:rPr>
              <w:t>中国（海南）自由贸易港的国际旅游消费中心引领区</w:t>
            </w:r>
          </w:p>
          <w:p>
            <w:pPr>
              <w:keepNext w:val="0"/>
              <w:keepLines w:val="0"/>
              <w:pageBreakBefore w:val="0"/>
              <w:widowControl w:val="0"/>
              <w:numPr>
                <w:ilvl w:val="0"/>
                <w:numId w:val="70"/>
              </w:numPr>
              <w:kinsoku/>
              <w:wordWrap/>
              <w:overflowPunct/>
              <w:topLinePunct w:val="0"/>
              <w:autoSpaceDE/>
              <w:autoSpaceDN/>
              <w:bidi w:val="0"/>
              <w:adjustRightInd/>
              <w:snapToGrid/>
              <w:spacing w:line="240" w:lineRule="auto"/>
              <w:ind w:left="425" w:leftChars="0" w:hanging="425" w:firstLineChars="0"/>
              <w:textAlignment w:val="auto"/>
              <w:rPr>
                <w:rFonts w:hint="eastAsia" w:ascii="楷体" w:hAnsi="楷体" w:eastAsia="楷体" w:cs="楷体"/>
                <w:b w:val="0"/>
                <w:bCs w:val="0"/>
                <w:sz w:val="24"/>
                <w:szCs w:val="24"/>
                <w:vertAlign w:val="baseline"/>
                <w:lang w:val="en-US" w:eastAsia="zh-CN"/>
              </w:rPr>
            </w:pPr>
            <w:r>
              <w:rPr>
                <w:rFonts w:hint="eastAsia" w:ascii="楷体" w:hAnsi="楷体" w:eastAsia="楷体" w:cs="楷体"/>
                <w:b w:val="0"/>
                <w:bCs w:val="0"/>
                <w:sz w:val="24"/>
                <w:szCs w:val="24"/>
                <w:vertAlign w:val="baseline"/>
                <w:lang w:val="en-US" w:eastAsia="zh-CN"/>
              </w:rPr>
              <w:t>国际化一站式旅游目的地</w:t>
            </w:r>
          </w:p>
        </w:tc>
        <w:tc>
          <w:tcPr>
            <w:tcW w:w="4879" w:type="dxa"/>
            <w:gridSpan w:val="3"/>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楷体" w:hAnsi="楷体" w:eastAsia="楷体" w:cs="楷体"/>
                <w:b w:val="0"/>
                <w:bCs w:val="0"/>
                <w:sz w:val="24"/>
                <w:szCs w:val="24"/>
                <w:vertAlign w:val="baseline"/>
                <w:lang w:val="en-US" w:eastAsia="zh-CN"/>
              </w:rPr>
            </w:pPr>
            <w:r>
              <w:rPr>
                <w:rFonts w:hint="eastAsia" w:ascii="楷体" w:hAnsi="楷体" w:eastAsia="楷体" w:cs="楷体"/>
                <w:b w:val="0"/>
                <w:bCs w:val="0"/>
                <w:sz w:val="24"/>
                <w:szCs w:val="24"/>
                <w:vertAlign w:val="baseline"/>
                <w:lang w:val="en-US" w:eastAsia="zh-CN"/>
              </w:rPr>
              <w:t>四大类体验产业功能体系：</w:t>
            </w:r>
          </w:p>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楷体" w:hAnsi="楷体" w:eastAsia="楷体" w:cs="楷体"/>
                <w:b w:val="0"/>
                <w:bCs w:val="0"/>
                <w:sz w:val="24"/>
                <w:szCs w:val="24"/>
                <w:vertAlign w:val="baseline"/>
                <w:lang w:val="en-US" w:eastAsia="zh-CN"/>
              </w:rPr>
            </w:pPr>
            <w:r>
              <w:rPr>
                <w:rFonts w:hint="eastAsia" w:ascii="楷体" w:hAnsi="楷体" w:eastAsia="楷体" w:cs="楷体"/>
                <w:b w:val="0"/>
                <w:bCs w:val="0"/>
                <w:sz w:val="24"/>
                <w:szCs w:val="24"/>
                <w:vertAlign w:val="baseline"/>
                <w:lang w:val="en-US" w:eastAsia="zh-CN"/>
              </w:rPr>
              <w:t>（1）购物娱乐消费：主题游乐、免税购物</w:t>
            </w:r>
          </w:p>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楷体" w:hAnsi="楷体" w:eastAsia="楷体" w:cs="楷体"/>
                <w:b w:val="0"/>
                <w:bCs w:val="0"/>
                <w:sz w:val="24"/>
                <w:szCs w:val="24"/>
                <w:vertAlign w:val="baseline"/>
                <w:lang w:val="en-US" w:eastAsia="zh-CN"/>
              </w:rPr>
            </w:pPr>
            <w:r>
              <w:rPr>
                <w:rFonts w:hint="eastAsia" w:ascii="楷体" w:hAnsi="楷体" w:eastAsia="楷体" w:cs="楷体"/>
                <w:b w:val="0"/>
                <w:bCs w:val="0"/>
                <w:sz w:val="24"/>
                <w:szCs w:val="24"/>
                <w:vertAlign w:val="baseline"/>
                <w:lang w:val="en-US" w:eastAsia="zh-CN"/>
              </w:rPr>
              <w:t>（2）健康医旅消费：养生保健、医疗康复</w:t>
            </w:r>
          </w:p>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楷体" w:hAnsi="楷体" w:eastAsia="楷体" w:cs="楷体"/>
                <w:b w:val="0"/>
                <w:bCs w:val="0"/>
                <w:sz w:val="24"/>
                <w:szCs w:val="24"/>
                <w:vertAlign w:val="baseline"/>
                <w:lang w:val="en-US" w:eastAsia="zh-CN"/>
              </w:rPr>
            </w:pPr>
            <w:r>
              <w:rPr>
                <w:rFonts w:hint="eastAsia" w:ascii="楷体" w:hAnsi="楷体" w:eastAsia="楷体" w:cs="楷体"/>
                <w:b w:val="0"/>
                <w:bCs w:val="0"/>
                <w:sz w:val="24"/>
                <w:szCs w:val="24"/>
                <w:vertAlign w:val="baseline"/>
                <w:lang w:val="en-US" w:eastAsia="zh-CN"/>
              </w:rPr>
              <w:t>（3）海洋主题消费：游艇体验、海洋休闲</w:t>
            </w:r>
          </w:p>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楷体" w:hAnsi="楷体" w:eastAsia="楷体" w:cs="楷体"/>
                <w:b w:val="0"/>
                <w:bCs w:val="0"/>
                <w:sz w:val="24"/>
                <w:szCs w:val="24"/>
                <w:vertAlign w:val="baseline"/>
                <w:lang w:val="en-US" w:eastAsia="zh-CN"/>
              </w:rPr>
            </w:pPr>
            <w:r>
              <w:rPr>
                <w:rFonts w:hint="eastAsia" w:ascii="楷体" w:hAnsi="楷体" w:eastAsia="楷体" w:cs="楷体"/>
                <w:b w:val="0"/>
                <w:bCs w:val="0"/>
                <w:sz w:val="24"/>
                <w:szCs w:val="24"/>
                <w:vertAlign w:val="baseline"/>
                <w:lang w:val="en-US" w:eastAsia="zh-CN"/>
              </w:rPr>
              <w:t>（4）主题会展消费：会议会展、创意研发</w:t>
            </w:r>
          </w:p>
        </w:tc>
      </w:tr>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397" w:hRule="atLeast"/>
          <w:jc w:val="center"/>
        </w:trPr>
        <w:tc>
          <w:tcPr>
            <w:tcW w:w="979"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楷体" w:hAnsi="楷体" w:eastAsia="楷体" w:cs="楷体"/>
                <w:b w:val="0"/>
                <w:bCs w:val="0"/>
                <w:sz w:val="24"/>
                <w:szCs w:val="24"/>
                <w:vertAlign w:val="baseline"/>
                <w:lang w:val="en-US" w:eastAsia="zh-CN"/>
              </w:rPr>
            </w:pPr>
            <w:r>
              <w:rPr>
                <w:rFonts w:hint="eastAsia" w:ascii="楷体" w:hAnsi="楷体" w:eastAsia="楷体" w:cs="楷体"/>
                <w:b w:val="0"/>
                <w:bCs w:val="0"/>
                <w:sz w:val="24"/>
                <w:szCs w:val="24"/>
                <w:vertAlign w:val="baseline"/>
                <w:lang w:val="en-US" w:eastAsia="zh-CN"/>
              </w:rPr>
              <w:t>崖州乡村振兴专规</w:t>
            </w:r>
          </w:p>
        </w:tc>
        <w:tc>
          <w:tcPr>
            <w:tcW w:w="7543" w:type="dxa"/>
            <w:gridSpan w:val="6"/>
            <w:vAlign w:val="top"/>
          </w:tcPr>
          <w:p>
            <w:pPr>
              <w:keepNext w:val="0"/>
              <w:keepLines w:val="0"/>
              <w:pageBreakBefore w:val="0"/>
              <w:widowControl w:val="0"/>
              <w:numPr>
                <w:ilvl w:val="0"/>
                <w:numId w:val="71"/>
              </w:numPr>
              <w:kinsoku/>
              <w:wordWrap/>
              <w:overflowPunct/>
              <w:topLinePunct w:val="0"/>
              <w:autoSpaceDE/>
              <w:autoSpaceDN/>
              <w:bidi w:val="0"/>
              <w:adjustRightInd/>
              <w:snapToGrid/>
              <w:spacing w:line="240" w:lineRule="auto"/>
              <w:ind w:left="425" w:leftChars="0" w:hanging="425" w:firstLineChars="0"/>
              <w:textAlignment w:val="auto"/>
              <w:rPr>
                <w:rFonts w:hint="eastAsia" w:ascii="楷体" w:hAnsi="楷体" w:eastAsia="楷体" w:cs="楷体"/>
                <w:b w:val="0"/>
                <w:bCs w:val="0"/>
                <w:sz w:val="24"/>
                <w:szCs w:val="24"/>
                <w:vertAlign w:val="baseline"/>
              </w:rPr>
            </w:pPr>
            <w:r>
              <w:rPr>
                <w:rFonts w:hint="eastAsia" w:ascii="楷体" w:hAnsi="楷体" w:eastAsia="楷体" w:cs="楷体"/>
                <w:b w:val="0"/>
                <w:bCs w:val="0"/>
                <w:sz w:val="24"/>
                <w:szCs w:val="24"/>
                <w:vertAlign w:val="baseline"/>
                <w:lang w:val="en-US" w:eastAsia="zh-CN"/>
              </w:rPr>
              <w:t>建成产业兴旺的活力乡村</w:t>
            </w:r>
          </w:p>
          <w:p>
            <w:pPr>
              <w:keepNext w:val="0"/>
              <w:keepLines w:val="0"/>
              <w:pageBreakBefore w:val="0"/>
              <w:widowControl w:val="0"/>
              <w:numPr>
                <w:ilvl w:val="0"/>
                <w:numId w:val="71"/>
              </w:numPr>
              <w:kinsoku/>
              <w:wordWrap/>
              <w:overflowPunct/>
              <w:topLinePunct w:val="0"/>
              <w:autoSpaceDE/>
              <w:autoSpaceDN/>
              <w:bidi w:val="0"/>
              <w:adjustRightInd/>
              <w:snapToGrid/>
              <w:spacing w:line="240" w:lineRule="auto"/>
              <w:ind w:left="425" w:leftChars="0" w:hanging="425" w:firstLineChars="0"/>
              <w:textAlignment w:val="auto"/>
              <w:rPr>
                <w:rFonts w:hint="eastAsia" w:ascii="楷体" w:hAnsi="楷体" w:eastAsia="楷体" w:cs="楷体"/>
                <w:b w:val="0"/>
                <w:bCs w:val="0"/>
                <w:sz w:val="24"/>
                <w:szCs w:val="24"/>
                <w:vertAlign w:val="baseline"/>
              </w:rPr>
            </w:pPr>
            <w:r>
              <w:rPr>
                <w:rFonts w:hint="eastAsia" w:ascii="楷体" w:hAnsi="楷体" w:eastAsia="楷体" w:cs="楷体"/>
                <w:b w:val="0"/>
                <w:bCs w:val="0"/>
                <w:sz w:val="24"/>
                <w:szCs w:val="24"/>
                <w:vertAlign w:val="baseline"/>
                <w:lang w:val="en-US" w:eastAsia="zh-CN"/>
              </w:rPr>
              <w:t>打造生态人文的魅力山水</w:t>
            </w:r>
          </w:p>
          <w:p>
            <w:pPr>
              <w:keepNext w:val="0"/>
              <w:keepLines w:val="0"/>
              <w:pageBreakBefore w:val="0"/>
              <w:widowControl w:val="0"/>
              <w:numPr>
                <w:ilvl w:val="0"/>
                <w:numId w:val="71"/>
              </w:numPr>
              <w:kinsoku/>
              <w:wordWrap/>
              <w:overflowPunct/>
              <w:topLinePunct w:val="0"/>
              <w:autoSpaceDE/>
              <w:autoSpaceDN/>
              <w:bidi w:val="0"/>
              <w:adjustRightInd/>
              <w:snapToGrid/>
              <w:spacing w:line="240" w:lineRule="auto"/>
              <w:ind w:left="425" w:leftChars="0" w:hanging="425" w:firstLineChars="0"/>
              <w:textAlignment w:val="auto"/>
              <w:rPr>
                <w:rFonts w:hint="eastAsia" w:ascii="楷体" w:hAnsi="楷体" w:eastAsia="楷体" w:cs="楷体"/>
                <w:b w:val="0"/>
                <w:bCs w:val="0"/>
                <w:sz w:val="24"/>
                <w:szCs w:val="24"/>
                <w:vertAlign w:val="baseline"/>
              </w:rPr>
            </w:pPr>
            <w:r>
              <w:rPr>
                <w:rFonts w:hint="eastAsia" w:ascii="楷体" w:hAnsi="楷体" w:eastAsia="楷体" w:cs="楷体"/>
                <w:b w:val="0"/>
                <w:bCs w:val="0"/>
                <w:sz w:val="24"/>
                <w:szCs w:val="24"/>
                <w:vertAlign w:val="baseline"/>
                <w:lang w:val="en-US" w:eastAsia="zh-CN"/>
              </w:rPr>
              <w:t>建设生态绿色的宜居家园</w:t>
            </w:r>
          </w:p>
        </w:tc>
      </w:tr>
      <w:tr>
        <w:tblPrEx>
          <w:tblBorders>
            <w:top w:val="thinThickSmallGap" w:color="A4A4A4" w:sz="12" w:space="0"/>
            <w:left w:val="none" w:color="auto" w:sz="0" w:space="0"/>
            <w:bottom w:val="thickThinSmallGap" w:color="A4A4A4" w:sz="12" w:space="0"/>
            <w:right w:val="none" w:color="auto" w:sz="0" w:space="0"/>
            <w:insideH w:val="single" w:color="A4A4A4" w:sz="4" w:space="0"/>
            <w:insideV w:val="single" w:color="A4A4A4" w:sz="4" w:space="0"/>
          </w:tblBorders>
          <w:tblCellMar>
            <w:top w:w="0" w:type="dxa"/>
            <w:left w:w="108" w:type="dxa"/>
            <w:bottom w:w="0" w:type="dxa"/>
            <w:right w:w="108" w:type="dxa"/>
          </w:tblCellMar>
        </w:tblPrEx>
        <w:trPr>
          <w:trHeight w:val="397" w:hRule="atLeast"/>
          <w:jc w:val="center"/>
        </w:trPr>
        <w:tc>
          <w:tcPr>
            <w:tcW w:w="979"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楷体" w:hAnsi="楷体" w:eastAsia="楷体" w:cs="楷体"/>
                <w:b w:val="0"/>
                <w:bCs w:val="0"/>
                <w:sz w:val="24"/>
                <w:szCs w:val="24"/>
                <w:vertAlign w:val="baseline"/>
              </w:rPr>
            </w:pPr>
            <w:r>
              <w:rPr>
                <w:rFonts w:hint="eastAsia" w:ascii="楷体" w:hAnsi="楷体" w:eastAsia="楷体" w:cs="楷体"/>
                <w:b w:val="0"/>
                <w:bCs w:val="0"/>
                <w:sz w:val="24"/>
                <w:szCs w:val="24"/>
                <w:vertAlign w:val="baseline"/>
              </w:rPr>
              <w:t>崖州湾科技城总体规划</w:t>
            </w:r>
          </w:p>
        </w:tc>
        <w:tc>
          <w:tcPr>
            <w:tcW w:w="3771" w:type="dxa"/>
            <w:gridSpan w:val="5"/>
            <w:vAlign w:val="top"/>
          </w:tcPr>
          <w:p>
            <w:pPr>
              <w:keepNext w:val="0"/>
              <w:keepLines w:val="0"/>
              <w:pageBreakBefore w:val="0"/>
              <w:widowControl w:val="0"/>
              <w:numPr>
                <w:ilvl w:val="0"/>
                <w:numId w:val="72"/>
              </w:numPr>
              <w:kinsoku/>
              <w:wordWrap/>
              <w:overflowPunct/>
              <w:topLinePunct w:val="0"/>
              <w:autoSpaceDE/>
              <w:autoSpaceDN/>
              <w:bidi w:val="0"/>
              <w:adjustRightInd/>
              <w:snapToGrid/>
              <w:spacing w:line="240" w:lineRule="auto"/>
              <w:ind w:left="425" w:leftChars="0" w:hanging="425" w:firstLineChars="0"/>
              <w:textAlignment w:val="auto"/>
              <w:rPr>
                <w:rFonts w:hint="eastAsia" w:ascii="楷体" w:hAnsi="楷体" w:eastAsia="楷体" w:cs="楷体"/>
                <w:b w:val="0"/>
                <w:bCs w:val="0"/>
                <w:sz w:val="24"/>
                <w:szCs w:val="24"/>
                <w:vertAlign w:val="baseline"/>
                <w:lang w:eastAsia="zh-CN"/>
              </w:rPr>
            </w:pPr>
            <w:r>
              <w:rPr>
                <w:rFonts w:hint="eastAsia" w:ascii="楷体" w:hAnsi="楷体" w:eastAsia="楷体" w:cs="楷体"/>
                <w:b w:val="0"/>
                <w:bCs w:val="0"/>
                <w:sz w:val="24"/>
                <w:szCs w:val="24"/>
                <w:vertAlign w:val="baseline"/>
                <w:lang w:eastAsia="zh-CN"/>
              </w:rPr>
              <w:t>生态文明的展示区</w:t>
            </w:r>
          </w:p>
          <w:p>
            <w:pPr>
              <w:keepNext w:val="0"/>
              <w:keepLines w:val="0"/>
              <w:pageBreakBefore w:val="0"/>
              <w:widowControl w:val="0"/>
              <w:numPr>
                <w:ilvl w:val="0"/>
                <w:numId w:val="72"/>
              </w:numPr>
              <w:kinsoku/>
              <w:wordWrap/>
              <w:overflowPunct/>
              <w:topLinePunct w:val="0"/>
              <w:autoSpaceDE/>
              <w:autoSpaceDN/>
              <w:bidi w:val="0"/>
              <w:adjustRightInd/>
              <w:snapToGrid/>
              <w:spacing w:line="240" w:lineRule="auto"/>
              <w:ind w:left="425" w:leftChars="0" w:hanging="425" w:firstLineChars="0"/>
              <w:textAlignment w:val="auto"/>
              <w:rPr>
                <w:rFonts w:hint="eastAsia" w:ascii="楷体" w:hAnsi="楷体" w:eastAsia="楷体" w:cs="楷体"/>
                <w:b w:val="0"/>
                <w:bCs w:val="0"/>
                <w:sz w:val="24"/>
                <w:szCs w:val="24"/>
                <w:vertAlign w:val="baseline"/>
                <w:lang w:eastAsia="zh-CN"/>
              </w:rPr>
            </w:pPr>
            <w:r>
              <w:rPr>
                <w:rFonts w:hint="eastAsia" w:ascii="楷体" w:hAnsi="楷体" w:eastAsia="楷体" w:cs="楷体"/>
                <w:b w:val="0"/>
                <w:bCs w:val="0"/>
                <w:sz w:val="24"/>
                <w:szCs w:val="24"/>
                <w:vertAlign w:val="baseline"/>
                <w:lang w:eastAsia="zh-CN"/>
              </w:rPr>
              <w:t>产城融合的先行区</w:t>
            </w:r>
          </w:p>
          <w:p>
            <w:pPr>
              <w:keepNext w:val="0"/>
              <w:keepLines w:val="0"/>
              <w:pageBreakBefore w:val="0"/>
              <w:widowControl w:val="0"/>
              <w:numPr>
                <w:ilvl w:val="0"/>
                <w:numId w:val="72"/>
              </w:numPr>
              <w:kinsoku/>
              <w:wordWrap/>
              <w:overflowPunct/>
              <w:topLinePunct w:val="0"/>
              <w:autoSpaceDE/>
              <w:autoSpaceDN/>
              <w:bidi w:val="0"/>
              <w:adjustRightInd/>
              <w:snapToGrid/>
              <w:spacing w:line="240" w:lineRule="auto"/>
              <w:ind w:left="425" w:leftChars="0" w:hanging="425" w:firstLineChars="0"/>
              <w:textAlignment w:val="auto"/>
              <w:rPr>
                <w:rFonts w:hint="eastAsia" w:ascii="楷体" w:hAnsi="楷体" w:eastAsia="楷体" w:cs="楷体"/>
                <w:b w:val="0"/>
                <w:bCs w:val="0"/>
                <w:sz w:val="24"/>
                <w:szCs w:val="24"/>
                <w:vertAlign w:val="baseline"/>
                <w:lang w:eastAsia="zh-CN"/>
              </w:rPr>
            </w:pPr>
            <w:r>
              <w:rPr>
                <w:rFonts w:hint="eastAsia" w:ascii="楷体" w:hAnsi="楷体" w:eastAsia="楷体" w:cs="楷体"/>
                <w:b w:val="0"/>
                <w:bCs w:val="0"/>
                <w:sz w:val="24"/>
                <w:szCs w:val="24"/>
                <w:vertAlign w:val="baseline"/>
                <w:lang w:eastAsia="zh-CN"/>
              </w:rPr>
              <w:t>拓展蓝色经济的产业地</w:t>
            </w:r>
          </w:p>
          <w:p>
            <w:pPr>
              <w:keepNext w:val="0"/>
              <w:keepLines w:val="0"/>
              <w:pageBreakBefore w:val="0"/>
              <w:widowControl w:val="0"/>
              <w:numPr>
                <w:ilvl w:val="0"/>
                <w:numId w:val="72"/>
              </w:numPr>
              <w:kinsoku/>
              <w:wordWrap/>
              <w:overflowPunct/>
              <w:topLinePunct w:val="0"/>
              <w:autoSpaceDE/>
              <w:autoSpaceDN/>
              <w:bidi w:val="0"/>
              <w:adjustRightInd/>
              <w:snapToGrid/>
              <w:spacing w:line="240" w:lineRule="auto"/>
              <w:ind w:left="425" w:leftChars="0" w:hanging="425" w:firstLineChars="0"/>
              <w:textAlignment w:val="auto"/>
              <w:rPr>
                <w:rFonts w:hint="eastAsia" w:ascii="楷体" w:hAnsi="楷体" w:eastAsia="楷体" w:cs="楷体"/>
                <w:b w:val="0"/>
                <w:bCs w:val="0"/>
                <w:sz w:val="24"/>
                <w:szCs w:val="24"/>
                <w:vertAlign w:val="baseline"/>
              </w:rPr>
            </w:pPr>
            <w:r>
              <w:rPr>
                <w:rFonts w:hint="eastAsia" w:ascii="楷体" w:hAnsi="楷体" w:eastAsia="楷体" w:cs="楷体"/>
                <w:b w:val="0"/>
                <w:bCs w:val="0"/>
                <w:sz w:val="24"/>
                <w:szCs w:val="24"/>
                <w:vertAlign w:val="baseline"/>
                <w:lang w:eastAsia="zh-CN"/>
              </w:rPr>
              <w:t>承载农业硅谷的开放地</w:t>
            </w:r>
          </w:p>
          <w:p>
            <w:pPr>
              <w:keepNext w:val="0"/>
              <w:keepLines w:val="0"/>
              <w:pageBreakBefore w:val="0"/>
              <w:widowControl w:val="0"/>
              <w:numPr>
                <w:ilvl w:val="0"/>
                <w:numId w:val="72"/>
              </w:numPr>
              <w:kinsoku/>
              <w:wordWrap/>
              <w:overflowPunct/>
              <w:topLinePunct w:val="0"/>
              <w:autoSpaceDE/>
              <w:autoSpaceDN/>
              <w:bidi w:val="0"/>
              <w:adjustRightInd/>
              <w:snapToGrid/>
              <w:spacing w:line="240" w:lineRule="auto"/>
              <w:ind w:left="425" w:leftChars="0" w:hanging="425" w:firstLineChars="0"/>
              <w:textAlignment w:val="auto"/>
              <w:rPr>
                <w:rFonts w:hint="eastAsia" w:ascii="楷体" w:hAnsi="楷体" w:eastAsia="楷体" w:cs="楷体"/>
                <w:b w:val="0"/>
                <w:bCs w:val="0"/>
                <w:sz w:val="24"/>
                <w:szCs w:val="24"/>
                <w:vertAlign w:val="baseline"/>
              </w:rPr>
            </w:pPr>
            <w:r>
              <w:rPr>
                <w:rFonts w:hint="eastAsia" w:ascii="楷体" w:hAnsi="楷体" w:eastAsia="楷体" w:cs="楷体"/>
                <w:b w:val="0"/>
                <w:bCs w:val="0"/>
                <w:sz w:val="24"/>
                <w:szCs w:val="24"/>
                <w:vertAlign w:val="baseline"/>
                <w:lang w:eastAsia="zh-CN"/>
              </w:rPr>
              <w:t>培育产学研的聚集地</w:t>
            </w:r>
          </w:p>
        </w:tc>
        <w:tc>
          <w:tcPr>
            <w:tcW w:w="3772" w:type="dxa"/>
            <w:vAlign w:val="top"/>
          </w:tcPr>
          <w:p>
            <w:pPr>
              <w:keepNext w:val="0"/>
              <w:keepLines w:val="0"/>
              <w:pageBreakBefore w:val="0"/>
              <w:widowControl w:val="0"/>
              <w:numPr>
                <w:ilvl w:val="0"/>
                <w:numId w:val="73"/>
              </w:numPr>
              <w:kinsoku/>
              <w:wordWrap/>
              <w:overflowPunct/>
              <w:topLinePunct w:val="0"/>
              <w:autoSpaceDE/>
              <w:autoSpaceDN/>
              <w:bidi w:val="0"/>
              <w:adjustRightInd/>
              <w:snapToGrid/>
              <w:spacing w:line="240" w:lineRule="auto"/>
              <w:ind w:left="425" w:leftChars="0" w:hanging="425" w:firstLineChars="0"/>
              <w:textAlignment w:val="auto"/>
              <w:rPr>
                <w:rFonts w:hint="eastAsia" w:ascii="楷体" w:hAnsi="楷体" w:eastAsia="楷体" w:cs="楷体"/>
                <w:b w:val="0"/>
                <w:bCs w:val="0"/>
                <w:sz w:val="24"/>
                <w:szCs w:val="24"/>
                <w:vertAlign w:val="baseline"/>
                <w:lang w:eastAsia="zh-CN"/>
              </w:rPr>
            </w:pPr>
            <w:r>
              <w:rPr>
                <w:rFonts w:hint="eastAsia" w:ascii="楷体" w:hAnsi="楷体" w:eastAsia="楷体" w:cs="楷体"/>
                <w:b w:val="0"/>
                <w:bCs w:val="0"/>
                <w:sz w:val="24"/>
                <w:szCs w:val="24"/>
                <w:vertAlign w:val="baseline"/>
                <w:lang w:eastAsia="zh-CN"/>
              </w:rPr>
              <w:t>深海科技</w:t>
            </w:r>
            <w:r>
              <w:rPr>
                <w:rFonts w:hint="eastAsia" w:ascii="楷体" w:hAnsi="楷体" w:eastAsia="楷体" w:cs="楷体"/>
                <w:b w:val="0"/>
                <w:bCs w:val="0"/>
                <w:sz w:val="24"/>
                <w:szCs w:val="24"/>
                <w:vertAlign w:val="baseline"/>
                <w:lang w:val="en-US" w:eastAsia="zh-CN"/>
              </w:rPr>
              <w:t>产业</w:t>
            </w:r>
          </w:p>
          <w:p>
            <w:pPr>
              <w:keepNext w:val="0"/>
              <w:keepLines w:val="0"/>
              <w:pageBreakBefore w:val="0"/>
              <w:widowControl w:val="0"/>
              <w:numPr>
                <w:ilvl w:val="0"/>
                <w:numId w:val="73"/>
              </w:numPr>
              <w:kinsoku/>
              <w:wordWrap/>
              <w:overflowPunct/>
              <w:topLinePunct w:val="0"/>
              <w:autoSpaceDE/>
              <w:autoSpaceDN/>
              <w:bidi w:val="0"/>
              <w:adjustRightInd/>
              <w:snapToGrid/>
              <w:spacing w:line="240" w:lineRule="auto"/>
              <w:ind w:left="425" w:leftChars="0" w:hanging="425" w:firstLineChars="0"/>
              <w:textAlignment w:val="auto"/>
              <w:rPr>
                <w:rFonts w:hint="eastAsia" w:ascii="楷体" w:hAnsi="楷体" w:eastAsia="楷体" w:cs="楷体"/>
                <w:b w:val="0"/>
                <w:bCs w:val="0"/>
                <w:sz w:val="24"/>
                <w:szCs w:val="24"/>
                <w:vertAlign w:val="baseline"/>
                <w:lang w:eastAsia="zh-CN"/>
              </w:rPr>
            </w:pPr>
            <w:r>
              <w:rPr>
                <w:rFonts w:hint="eastAsia" w:ascii="楷体" w:hAnsi="楷体" w:eastAsia="楷体" w:cs="楷体"/>
                <w:b w:val="0"/>
                <w:bCs w:val="0"/>
                <w:sz w:val="24"/>
                <w:szCs w:val="24"/>
                <w:vertAlign w:val="baseline"/>
                <w:lang w:eastAsia="zh-CN"/>
              </w:rPr>
              <w:t>科教研发</w:t>
            </w:r>
            <w:r>
              <w:rPr>
                <w:rFonts w:hint="eastAsia" w:ascii="楷体" w:hAnsi="楷体" w:eastAsia="楷体" w:cs="楷体"/>
                <w:b w:val="0"/>
                <w:bCs w:val="0"/>
                <w:sz w:val="24"/>
                <w:szCs w:val="24"/>
                <w:vertAlign w:val="baseline"/>
                <w:lang w:val="en-US" w:eastAsia="zh-CN"/>
              </w:rPr>
              <w:t>产业</w:t>
            </w:r>
          </w:p>
          <w:p>
            <w:pPr>
              <w:keepNext w:val="0"/>
              <w:keepLines w:val="0"/>
              <w:pageBreakBefore w:val="0"/>
              <w:widowControl w:val="0"/>
              <w:numPr>
                <w:ilvl w:val="0"/>
                <w:numId w:val="73"/>
              </w:numPr>
              <w:kinsoku/>
              <w:wordWrap/>
              <w:overflowPunct/>
              <w:topLinePunct w:val="0"/>
              <w:autoSpaceDE/>
              <w:autoSpaceDN/>
              <w:bidi w:val="0"/>
              <w:adjustRightInd/>
              <w:snapToGrid/>
              <w:spacing w:line="240" w:lineRule="auto"/>
              <w:ind w:left="425" w:leftChars="0" w:hanging="425" w:firstLineChars="0"/>
              <w:textAlignment w:val="auto"/>
              <w:rPr>
                <w:rFonts w:hint="eastAsia" w:ascii="楷体" w:hAnsi="楷体" w:eastAsia="楷体" w:cs="楷体"/>
                <w:b w:val="0"/>
                <w:bCs w:val="0"/>
                <w:sz w:val="24"/>
                <w:szCs w:val="24"/>
                <w:vertAlign w:val="baseline"/>
                <w:lang w:eastAsia="zh-CN"/>
              </w:rPr>
            </w:pPr>
            <w:r>
              <w:rPr>
                <w:rFonts w:hint="eastAsia" w:ascii="楷体" w:hAnsi="楷体" w:eastAsia="楷体" w:cs="楷体"/>
                <w:b w:val="0"/>
                <w:bCs w:val="0"/>
                <w:sz w:val="24"/>
                <w:szCs w:val="24"/>
                <w:vertAlign w:val="baseline"/>
                <w:lang w:eastAsia="zh-CN"/>
              </w:rPr>
              <w:t>南繁科技</w:t>
            </w:r>
            <w:r>
              <w:rPr>
                <w:rFonts w:hint="eastAsia" w:ascii="楷体" w:hAnsi="楷体" w:eastAsia="楷体" w:cs="楷体"/>
                <w:b w:val="0"/>
                <w:bCs w:val="0"/>
                <w:sz w:val="24"/>
                <w:szCs w:val="24"/>
                <w:vertAlign w:val="baseline"/>
                <w:lang w:val="en-US" w:eastAsia="zh-CN"/>
              </w:rPr>
              <w:t>产业</w:t>
            </w:r>
          </w:p>
          <w:p>
            <w:pPr>
              <w:keepNext w:val="0"/>
              <w:keepLines w:val="0"/>
              <w:pageBreakBefore w:val="0"/>
              <w:widowControl w:val="0"/>
              <w:numPr>
                <w:ilvl w:val="0"/>
                <w:numId w:val="73"/>
              </w:numPr>
              <w:kinsoku/>
              <w:wordWrap/>
              <w:overflowPunct/>
              <w:topLinePunct w:val="0"/>
              <w:autoSpaceDE/>
              <w:autoSpaceDN/>
              <w:bidi w:val="0"/>
              <w:adjustRightInd/>
              <w:snapToGrid/>
              <w:spacing w:line="240" w:lineRule="auto"/>
              <w:ind w:left="425" w:leftChars="0" w:hanging="425" w:firstLineChars="0"/>
              <w:textAlignment w:val="auto"/>
              <w:rPr>
                <w:rFonts w:hint="eastAsia" w:ascii="楷体" w:hAnsi="楷体" w:eastAsia="楷体" w:cs="楷体"/>
                <w:b w:val="0"/>
                <w:bCs w:val="0"/>
                <w:sz w:val="24"/>
                <w:szCs w:val="24"/>
                <w:vertAlign w:val="baseline"/>
                <w:lang w:eastAsia="zh-CN"/>
              </w:rPr>
            </w:pPr>
            <w:r>
              <w:rPr>
                <w:rFonts w:hint="eastAsia" w:ascii="楷体" w:hAnsi="楷体" w:eastAsia="楷体" w:cs="楷体"/>
                <w:b w:val="0"/>
                <w:bCs w:val="0"/>
                <w:sz w:val="24"/>
                <w:szCs w:val="24"/>
                <w:vertAlign w:val="baseline"/>
                <w:lang w:val="en-US" w:eastAsia="zh-CN"/>
              </w:rPr>
              <w:t>现代海洋渔业</w:t>
            </w:r>
          </w:p>
          <w:p>
            <w:pPr>
              <w:keepNext w:val="0"/>
              <w:keepLines w:val="0"/>
              <w:pageBreakBefore w:val="0"/>
              <w:widowControl w:val="0"/>
              <w:numPr>
                <w:ilvl w:val="0"/>
                <w:numId w:val="73"/>
              </w:numPr>
              <w:kinsoku/>
              <w:wordWrap/>
              <w:overflowPunct/>
              <w:topLinePunct w:val="0"/>
              <w:autoSpaceDE/>
              <w:autoSpaceDN/>
              <w:bidi w:val="0"/>
              <w:adjustRightInd/>
              <w:snapToGrid/>
              <w:spacing w:line="240" w:lineRule="auto"/>
              <w:ind w:left="425" w:leftChars="0" w:hanging="425" w:firstLineChars="0"/>
              <w:textAlignment w:val="auto"/>
              <w:rPr>
                <w:rFonts w:hint="eastAsia" w:ascii="楷体" w:hAnsi="楷体" w:eastAsia="楷体" w:cs="楷体"/>
                <w:b w:val="0"/>
                <w:bCs w:val="0"/>
                <w:sz w:val="24"/>
                <w:szCs w:val="24"/>
                <w:vertAlign w:val="baseline"/>
                <w:lang w:eastAsia="zh-CN"/>
              </w:rPr>
            </w:pPr>
            <w:r>
              <w:rPr>
                <w:rFonts w:hint="eastAsia" w:ascii="楷体" w:hAnsi="楷体" w:eastAsia="楷体" w:cs="楷体"/>
                <w:b w:val="0"/>
                <w:bCs w:val="0"/>
                <w:sz w:val="24"/>
                <w:szCs w:val="24"/>
                <w:vertAlign w:val="baseline"/>
                <w:lang w:val="en-US" w:eastAsia="zh-CN"/>
              </w:rPr>
              <w:t>特色旅游业</w:t>
            </w:r>
          </w:p>
        </w:tc>
      </w:tr>
    </w:tbl>
    <w:p>
      <w:pPr>
        <w:rPr>
          <w:rFonts w:hint="default"/>
          <w:lang w:val="en-US" w:eastAsia="zh-CN"/>
        </w:rPr>
      </w:pPr>
    </w:p>
    <w:sectPr>
      <w:pgSz w:w="11906" w:h="16838"/>
      <w:pgMar w:top="1440" w:right="1800" w:bottom="1440"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ind w:firstLine="640"/>
      </w:pPr>
      <w:r>
        <w:separator/>
      </w:r>
    </w:p>
  </w:endnote>
  <w:endnote w:type="continuationSeparator" w:id="1">
    <w:p>
      <w:pPr>
        <w:ind w:firstLine="64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embedRegular r:id="rId1" w:fontKey="{198D7669-952B-48D6-B1ED-868F21927CE4}"/>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_GB2312">
    <w:panose1 w:val="02010609030101010101"/>
    <w:charset w:val="86"/>
    <w:family w:val="auto"/>
    <w:pitch w:val="default"/>
    <w:sig w:usb0="00000001" w:usb1="080E0000" w:usb2="00000000" w:usb3="00000000" w:csb0="00040000" w:csb1="00000000"/>
    <w:embedRegular r:id="rId2" w:fontKey="{A048EE00-BC5F-41FB-9394-AAE9AE2A05A3}"/>
  </w:font>
  <w:font w:name="楷体">
    <w:panose1 w:val="02010609060101010101"/>
    <w:charset w:val="86"/>
    <w:family w:val="auto"/>
    <w:pitch w:val="default"/>
    <w:sig w:usb0="800002BF" w:usb1="38CF7CFA" w:usb2="00000016" w:usb3="00000000" w:csb0="00040001" w:csb1="00000000"/>
    <w:embedRegular r:id="rId3" w:fontKey="{0FCD8A5C-0512-435F-A529-43E406CD0078}"/>
  </w:font>
  <w:font w:name="STFangsong">
    <w:altName w:val="宋体"/>
    <w:panose1 w:val="00000000000000000000"/>
    <w:charset w:val="86"/>
    <w:family w:val="swiss"/>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方正楷体_GBK">
    <w:panose1 w:val="02000000000000000000"/>
    <w:charset w:val="86"/>
    <w:family w:val="auto"/>
    <w:pitch w:val="default"/>
    <w:sig w:usb0="800002BF" w:usb1="38CF7CFA" w:usb2="00000016" w:usb3="00000000" w:csb0="00040000" w:csb1="00000000"/>
    <w:embedRegular r:id="rId4" w:fontKey="{B91688A3-10F6-4D91-A25B-6C3E403D0DB5}"/>
  </w:font>
  <w:font w:name="方正仿宋_GBK">
    <w:panose1 w:val="02000000000000000000"/>
    <w:charset w:val="86"/>
    <w:family w:val="auto"/>
    <w:pitch w:val="default"/>
    <w:sig w:usb0="A00002BF" w:usb1="38CF7CFA" w:usb2="00082016" w:usb3="00000000" w:csb0="00040001" w:csb1="00000000"/>
    <w:embedRegular r:id="rId5" w:fontKey="{07AA32B3-02ED-4382-A96F-554D128EC5B2}"/>
  </w:font>
  <w:font w:name="MS PGothic">
    <w:panose1 w:val="020B0600070205080204"/>
    <w:charset w:val="80"/>
    <w:family w:val="auto"/>
    <w:pitch w:val="default"/>
    <w:sig w:usb0="E00002FF" w:usb1="6AC7FDFB" w:usb2="08000012" w:usb3="00000000" w:csb0="4002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ind w:firstLine="0" w:firstLineChars="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ind w:firstLine="0" w:firstLineChars="0"/>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1"/>
                            <w:ind w:firstLine="0" w:firstLineChars="0"/>
                            <w:jc w:val="center"/>
                            <w:rPr>
                              <w:rFonts w:hint="eastAsia" w:eastAsia="仿宋_GB2312"/>
                              <w:lang w:eastAsia="zh-CN"/>
                            </w:rPr>
                          </w:pPr>
                          <w:r>
                            <w:rPr>
                              <w:rFonts w:hint="eastAsia" w:asciiTheme="minorEastAsia" w:hAnsiTheme="minorEastAsia" w:eastAsiaTheme="minorEastAsia" w:cstheme="minorEastAsia"/>
                              <w:sz w:val="21"/>
                              <w:szCs w:val="21"/>
                              <w:lang w:eastAsia="zh-CN"/>
                            </w:rPr>
                            <w:fldChar w:fldCharType="begin"/>
                          </w:r>
                          <w:r>
                            <w:rPr>
                              <w:rFonts w:hint="eastAsia" w:asciiTheme="minorEastAsia" w:hAnsiTheme="minorEastAsia" w:eastAsiaTheme="minorEastAsia" w:cstheme="minorEastAsia"/>
                              <w:sz w:val="21"/>
                              <w:szCs w:val="21"/>
                              <w:lang w:eastAsia="zh-CN"/>
                            </w:rPr>
                            <w:instrText xml:space="preserve"> PAGE  \* MERGEFORMAT </w:instrText>
                          </w:r>
                          <w:r>
                            <w:rPr>
                              <w:rFonts w:hint="eastAsia" w:asciiTheme="minorEastAsia" w:hAnsiTheme="minorEastAsia" w:eastAsiaTheme="minorEastAsia" w:cstheme="minorEastAsia"/>
                              <w:sz w:val="21"/>
                              <w:szCs w:val="21"/>
                              <w:lang w:eastAsia="zh-CN"/>
                            </w:rPr>
                            <w:fldChar w:fldCharType="separate"/>
                          </w:r>
                          <w:r>
                            <w:rPr>
                              <w:rFonts w:hint="eastAsia" w:asciiTheme="minorEastAsia" w:hAnsiTheme="minorEastAsia" w:eastAsiaTheme="minorEastAsia" w:cstheme="minorEastAsia"/>
                              <w:sz w:val="21"/>
                              <w:szCs w:val="21"/>
                              <w:lang w:eastAsia="zh-CN"/>
                            </w:rPr>
                            <w:t>1</w:t>
                          </w:r>
                          <w:r>
                            <w:rPr>
                              <w:rFonts w:hint="eastAsia" w:asciiTheme="minorEastAsia" w:hAnsiTheme="minorEastAsia" w:eastAsiaTheme="minorEastAsia" w:cstheme="minorEastAsia"/>
                              <w:sz w:val="21"/>
                              <w:szCs w:val="21"/>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SCRrQxAgAAY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Akgka0MQIAAGEEAAAOAAAAAAAAAAEAIAAAAB8BAABkcnMvZTJvRG9jLnhtbFBLBQYA&#10;AAAABgAGAFkBAADCBQAAAAA=&#10;">
              <v:fill on="f" focussize="0,0"/>
              <v:stroke on="f" weight="0.5pt"/>
              <v:imagedata o:title=""/>
              <o:lock v:ext="edit" aspectratio="f"/>
              <v:textbox inset="0mm,0mm,0mm,0mm" style="mso-fit-shape-to-text:t;">
                <w:txbxContent>
                  <w:p>
                    <w:pPr>
                      <w:pStyle w:val="11"/>
                      <w:ind w:firstLine="0" w:firstLineChars="0"/>
                      <w:jc w:val="center"/>
                      <w:rPr>
                        <w:rFonts w:hint="eastAsia" w:eastAsia="仿宋_GB2312"/>
                        <w:lang w:eastAsia="zh-CN"/>
                      </w:rPr>
                    </w:pPr>
                    <w:r>
                      <w:rPr>
                        <w:rFonts w:hint="eastAsia" w:asciiTheme="minorEastAsia" w:hAnsiTheme="minorEastAsia" w:eastAsiaTheme="minorEastAsia" w:cstheme="minorEastAsia"/>
                        <w:sz w:val="21"/>
                        <w:szCs w:val="21"/>
                        <w:lang w:eastAsia="zh-CN"/>
                      </w:rPr>
                      <w:fldChar w:fldCharType="begin"/>
                    </w:r>
                    <w:r>
                      <w:rPr>
                        <w:rFonts w:hint="eastAsia" w:asciiTheme="minorEastAsia" w:hAnsiTheme="minorEastAsia" w:eastAsiaTheme="minorEastAsia" w:cstheme="minorEastAsia"/>
                        <w:sz w:val="21"/>
                        <w:szCs w:val="21"/>
                        <w:lang w:eastAsia="zh-CN"/>
                      </w:rPr>
                      <w:instrText xml:space="preserve"> PAGE  \* MERGEFORMAT </w:instrText>
                    </w:r>
                    <w:r>
                      <w:rPr>
                        <w:rFonts w:hint="eastAsia" w:asciiTheme="minorEastAsia" w:hAnsiTheme="minorEastAsia" w:eastAsiaTheme="minorEastAsia" w:cstheme="minorEastAsia"/>
                        <w:sz w:val="21"/>
                        <w:szCs w:val="21"/>
                        <w:lang w:eastAsia="zh-CN"/>
                      </w:rPr>
                      <w:fldChar w:fldCharType="separate"/>
                    </w:r>
                    <w:r>
                      <w:rPr>
                        <w:rFonts w:hint="eastAsia" w:asciiTheme="minorEastAsia" w:hAnsiTheme="minorEastAsia" w:eastAsiaTheme="minorEastAsia" w:cstheme="minorEastAsia"/>
                        <w:sz w:val="21"/>
                        <w:szCs w:val="21"/>
                        <w:lang w:eastAsia="zh-CN"/>
                      </w:rPr>
                      <w:t>1</w:t>
                    </w:r>
                    <w:r>
                      <w:rPr>
                        <w:rFonts w:hint="eastAsia" w:asciiTheme="minorEastAsia" w:hAnsiTheme="minorEastAsia" w:eastAsiaTheme="minorEastAsia" w:cstheme="minorEastAsia"/>
                        <w:sz w:val="21"/>
                        <w:szCs w:val="21"/>
                        <w:lang w:eastAsia="zh-CN"/>
                      </w:rP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ind w:firstLine="0" w:firstLineChars="0"/>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pStyle w:val="11"/>
                            <w:ind w:firstLine="0" w:firstLineChars="0"/>
                            <w:jc w:val="center"/>
                            <w:rPr>
                              <w:rFonts w:hint="eastAsia" w:eastAsia="仿宋_GB2312"/>
                              <w:lang w:eastAsia="zh-CN"/>
                            </w:rPr>
                          </w:pPr>
                          <w:r>
                            <w:rPr>
                              <w:rFonts w:hint="eastAsia" w:asciiTheme="minorEastAsia" w:hAnsiTheme="minorEastAsia" w:eastAsiaTheme="minorEastAsia" w:cstheme="minorEastAsia"/>
                              <w:sz w:val="21"/>
                              <w:szCs w:val="21"/>
                              <w:lang w:eastAsia="zh-CN"/>
                            </w:rPr>
                            <w:fldChar w:fldCharType="begin"/>
                          </w:r>
                          <w:r>
                            <w:rPr>
                              <w:rFonts w:hint="eastAsia" w:asciiTheme="minorEastAsia" w:hAnsiTheme="minorEastAsia" w:eastAsiaTheme="minorEastAsia" w:cstheme="minorEastAsia"/>
                              <w:sz w:val="21"/>
                              <w:szCs w:val="21"/>
                              <w:lang w:eastAsia="zh-CN"/>
                            </w:rPr>
                            <w:instrText xml:space="preserve"> PAGE  \* MERGEFORMAT </w:instrText>
                          </w:r>
                          <w:r>
                            <w:rPr>
                              <w:rFonts w:hint="eastAsia" w:asciiTheme="minorEastAsia" w:hAnsiTheme="minorEastAsia" w:eastAsiaTheme="minorEastAsia" w:cstheme="minorEastAsia"/>
                              <w:sz w:val="21"/>
                              <w:szCs w:val="21"/>
                              <w:lang w:eastAsia="zh-CN"/>
                            </w:rPr>
                            <w:fldChar w:fldCharType="separate"/>
                          </w:r>
                          <w:r>
                            <w:rPr>
                              <w:rFonts w:hint="eastAsia" w:asciiTheme="minorEastAsia" w:hAnsiTheme="minorEastAsia" w:eastAsiaTheme="minorEastAsia" w:cstheme="minorEastAsia"/>
                              <w:sz w:val="21"/>
                              <w:szCs w:val="21"/>
                              <w:lang w:eastAsia="zh-CN"/>
                            </w:rPr>
                            <w:t>1</w:t>
                          </w:r>
                          <w:r>
                            <w:rPr>
                              <w:rFonts w:hint="eastAsia" w:asciiTheme="minorEastAsia" w:hAnsiTheme="minorEastAsia" w:eastAsiaTheme="minorEastAsia" w:cstheme="minorEastAsia"/>
                              <w:sz w:val="21"/>
                              <w:szCs w:val="21"/>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10G3Y3AgAAbw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QxQHSzMMBESn3p0Qrtvh34&#10;7E1xBk1n+jnxlm9qlLJlPjwwh8FA+Xg64R5LKQ1SmsGipDLuy7/OYzz6BS8lDQYtpxrvihL5XqOP&#10;AAyj4UZjPxr6qO4MJhe9QS2diQsuyNEsnVGf8Z5WMQdcTHNkymkYzbvQDzveIxerVRd0tK4+VP0F&#10;TKFlYat3lsc0USpvV8cAaTvFo0C9KuhU3GAOu54NbyYO+p/7LurxP7H8D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LNJWO7QAAAABQEAAA8AAAAAAAAAAQAgAAAAIgAAAGRycy9kb3ducmV2LnhtbFBL&#10;AQIUABQAAAAIAIdO4kC9dBt2NwIAAG8EAAAOAAAAAAAAAAEAIAAAAB8BAABkcnMvZTJvRG9jLnht&#10;bFBLBQYAAAAABgAGAFkBAADIBQAAAAA=&#10;">
              <v:fill on="f" focussize="0,0"/>
              <v:stroke on="f" weight="0.5pt"/>
              <v:imagedata o:title=""/>
              <o:lock v:ext="edit" aspectratio="f"/>
              <v:textbox inset="0mm,0mm,0mm,0mm" style="mso-fit-shape-to-text:t;">
                <w:txbxContent>
                  <w:p>
                    <w:pPr>
                      <w:pStyle w:val="11"/>
                      <w:ind w:firstLine="0" w:firstLineChars="0"/>
                      <w:jc w:val="center"/>
                      <w:rPr>
                        <w:rFonts w:hint="eastAsia" w:eastAsia="仿宋_GB2312"/>
                        <w:lang w:eastAsia="zh-CN"/>
                      </w:rPr>
                    </w:pPr>
                    <w:r>
                      <w:rPr>
                        <w:rFonts w:hint="eastAsia" w:asciiTheme="minorEastAsia" w:hAnsiTheme="minorEastAsia" w:eastAsiaTheme="minorEastAsia" w:cstheme="minorEastAsia"/>
                        <w:sz w:val="21"/>
                        <w:szCs w:val="21"/>
                        <w:lang w:eastAsia="zh-CN"/>
                      </w:rPr>
                      <w:fldChar w:fldCharType="begin"/>
                    </w:r>
                    <w:r>
                      <w:rPr>
                        <w:rFonts w:hint="eastAsia" w:asciiTheme="minorEastAsia" w:hAnsiTheme="minorEastAsia" w:eastAsiaTheme="minorEastAsia" w:cstheme="minorEastAsia"/>
                        <w:sz w:val="21"/>
                        <w:szCs w:val="21"/>
                        <w:lang w:eastAsia="zh-CN"/>
                      </w:rPr>
                      <w:instrText xml:space="preserve"> PAGE  \* MERGEFORMAT </w:instrText>
                    </w:r>
                    <w:r>
                      <w:rPr>
                        <w:rFonts w:hint="eastAsia" w:asciiTheme="minorEastAsia" w:hAnsiTheme="minorEastAsia" w:eastAsiaTheme="minorEastAsia" w:cstheme="minorEastAsia"/>
                        <w:sz w:val="21"/>
                        <w:szCs w:val="21"/>
                        <w:lang w:eastAsia="zh-CN"/>
                      </w:rPr>
                      <w:fldChar w:fldCharType="separate"/>
                    </w:r>
                    <w:r>
                      <w:rPr>
                        <w:rFonts w:hint="eastAsia" w:asciiTheme="minorEastAsia" w:hAnsiTheme="minorEastAsia" w:eastAsiaTheme="minorEastAsia" w:cstheme="minorEastAsia"/>
                        <w:sz w:val="21"/>
                        <w:szCs w:val="21"/>
                        <w:lang w:eastAsia="zh-CN"/>
                      </w:rPr>
                      <w:t>1</w:t>
                    </w:r>
                    <w:r>
                      <w:rPr>
                        <w:rFonts w:hint="eastAsia" w:asciiTheme="minorEastAsia" w:hAnsiTheme="minorEastAsia" w:eastAsiaTheme="minorEastAsia" w:cstheme="minorEastAsia"/>
                        <w:sz w:val="21"/>
                        <w:szCs w:val="21"/>
                        <w:lang w:eastAsia="zh-CN"/>
                      </w:rP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8">
    <w:p>
      <w:pPr>
        <w:ind w:firstLine="640"/>
      </w:pPr>
      <w:r>
        <w:separator/>
      </w:r>
    </w:p>
  </w:footnote>
  <w:footnote w:type="continuationSeparator" w:id="9">
    <w:p>
      <w:pPr>
        <w:ind w:firstLine="640"/>
      </w:pPr>
      <w:r>
        <w:continuationSeparator/>
      </w:r>
    </w:p>
  </w:footnote>
  <w:footnote w:id="0">
    <w:p>
      <w:pPr>
        <w:pStyle w:val="15"/>
        <w:snapToGrid w:val="0"/>
        <w:ind w:left="0" w:leftChars="0" w:firstLine="0" w:firstLineChars="0"/>
        <w:rPr>
          <w:rFonts w:hint="default" w:ascii="楷体" w:hAnsi="楷体" w:eastAsia="楷体" w:cs="楷体"/>
          <w:sz w:val="21"/>
          <w:szCs w:val="21"/>
          <w:lang w:val="en-US" w:eastAsia="zh-CN"/>
        </w:rPr>
      </w:pPr>
      <w:r>
        <w:rPr>
          <w:rStyle w:val="27"/>
          <w:rFonts w:hint="eastAsia" w:ascii="楷体" w:hAnsi="楷体" w:eastAsia="楷体" w:cs="楷体"/>
          <w:sz w:val="21"/>
          <w:szCs w:val="21"/>
          <w:vertAlign w:val="baseline"/>
        </w:rPr>
        <w:footnoteRef/>
      </w:r>
      <w:r>
        <w:rPr>
          <w:rFonts w:hint="eastAsia" w:ascii="楷体" w:hAnsi="楷体" w:eastAsia="楷体" w:cs="楷体"/>
          <w:sz w:val="21"/>
          <w:szCs w:val="21"/>
        </w:rPr>
        <w:t xml:space="preserve"> </w:t>
      </w:r>
      <w:r>
        <w:rPr>
          <w:rFonts w:hint="eastAsia" w:ascii="楷体" w:hAnsi="楷体" w:eastAsia="楷体" w:cs="楷体"/>
          <w:sz w:val="21"/>
          <w:szCs w:val="21"/>
          <w:lang w:val="en-US" w:eastAsia="zh-CN"/>
        </w:rPr>
        <w:t>崖州区禁止养殖的陆地水域有抱古水库、只峨水库、岭落水库、茅彭水库及宁远河等。</w:t>
      </w:r>
    </w:p>
  </w:footnote>
  <w:footnote w:id="1">
    <w:p>
      <w:pPr>
        <w:pStyle w:val="15"/>
        <w:snapToGrid w:val="0"/>
        <w:rPr>
          <w:rFonts w:hint="default" w:ascii="楷体" w:hAnsi="楷体" w:eastAsia="楷体" w:cs="楷体"/>
          <w:sz w:val="21"/>
          <w:szCs w:val="21"/>
          <w:lang w:val="en-US"/>
        </w:rPr>
      </w:pPr>
      <w:r>
        <w:rPr>
          <w:rStyle w:val="27"/>
          <w:rFonts w:hint="eastAsia" w:ascii="楷体" w:hAnsi="楷体" w:eastAsia="楷体" w:cs="楷体"/>
          <w:sz w:val="21"/>
          <w:szCs w:val="21"/>
          <w:vertAlign w:val="baseline"/>
        </w:rPr>
        <w:footnoteRef/>
      </w:r>
      <w:r>
        <w:rPr>
          <w:rFonts w:hint="eastAsia" w:ascii="楷体" w:hAnsi="楷体" w:eastAsia="楷体" w:cs="楷体"/>
          <w:sz w:val="21"/>
          <w:szCs w:val="21"/>
        </w:rPr>
        <w:t xml:space="preserve"> </w:t>
      </w:r>
      <w:r>
        <w:rPr>
          <w:rFonts w:hint="eastAsia" w:ascii="楷体" w:hAnsi="楷体" w:eastAsia="楷体" w:cs="楷体"/>
          <w:sz w:val="21"/>
          <w:szCs w:val="21"/>
          <w:lang w:val="en-US" w:eastAsia="zh-CN"/>
        </w:rPr>
        <w:t>农产品加工业与农业总产值比=农产品加工业总产值/农业总产值，其中农产品加工业总产值以农产品加工业营业收入数据为基础计算。</w:t>
      </w:r>
    </w:p>
  </w:footnote>
  <w:footnote w:id="2">
    <w:p>
      <w:pPr>
        <w:pStyle w:val="15"/>
        <w:snapToGrid w:val="0"/>
        <w:rPr>
          <w:rFonts w:hint="eastAsia" w:ascii="楷体" w:hAnsi="楷体" w:eastAsia="楷体" w:cs="楷体"/>
          <w:sz w:val="21"/>
          <w:szCs w:val="32"/>
        </w:rPr>
      </w:pPr>
      <w:r>
        <w:rPr>
          <w:rStyle w:val="27"/>
          <w:rFonts w:hint="eastAsia" w:ascii="楷体" w:hAnsi="楷体" w:eastAsia="楷体" w:cs="楷体"/>
          <w:sz w:val="21"/>
          <w:szCs w:val="32"/>
          <w:vertAlign w:val="baseline"/>
        </w:rPr>
        <w:footnoteRef/>
      </w:r>
      <w:r>
        <w:rPr>
          <w:rFonts w:hint="eastAsia" w:ascii="楷体" w:hAnsi="楷体" w:eastAsia="楷体" w:cs="楷体"/>
          <w:sz w:val="21"/>
          <w:szCs w:val="32"/>
        </w:rPr>
        <w:t xml:space="preserve"> </w:t>
      </w:r>
      <w:r>
        <w:rPr>
          <w:rFonts w:hint="eastAsia" w:ascii="楷体" w:hAnsi="楷体" w:eastAsia="楷体" w:cs="楷体"/>
          <w:sz w:val="21"/>
          <w:szCs w:val="32"/>
          <w:lang w:val="en-US" w:eastAsia="zh-CN"/>
        </w:rPr>
        <w:t>IP（Intellectual Property）字面意思为“知识产权”，特指具有长期生命力和商业价值的跨媒介内容运营。</w:t>
      </w:r>
    </w:p>
  </w:footnote>
  <w:footnote w:id="3">
    <w:p>
      <w:pPr>
        <w:pStyle w:val="15"/>
        <w:snapToGrid w:val="0"/>
        <w:rPr>
          <w:rFonts w:hint="eastAsia" w:ascii="楷体" w:hAnsi="楷体" w:eastAsia="楷体" w:cs="楷体"/>
          <w:sz w:val="21"/>
          <w:szCs w:val="32"/>
          <w:lang w:val="en-US" w:eastAsia="zh-CN"/>
        </w:rPr>
      </w:pPr>
      <w:r>
        <w:rPr>
          <w:rFonts w:hint="eastAsia" w:ascii="楷体" w:hAnsi="楷体" w:eastAsia="楷体" w:cs="楷体"/>
          <w:sz w:val="21"/>
          <w:szCs w:val="32"/>
          <w:lang w:val="en-US" w:eastAsia="zh-CN"/>
        </w:rPr>
        <w:footnoteRef/>
      </w:r>
      <w:r>
        <w:rPr>
          <w:rFonts w:hint="eastAsia" w:ascii="楷体" w:hAnsi="楷体" w:eastAsia="楷体" w:cs="楷体"/>
          <w:sz w:val="21"/>
          <w:szCs w:val="32"/>
          <w:lang w:val="en-US" w:eastAsia="zh-CN"/>
        </w:rPr>
        <w:t xml:space="preserve"> UGC（User-generated Content）指用户生产内容，专业性较低，以“分享”为目的，用户既是浏览者、也是创作者。PGC（Professionally-generated Content）指专业生产内容，专业人士出于“爱好”义务贡献知识，很多大V属于PGC。OGC（Occupationally-generated Content）指职业生产内容，直接或间接出于“获利”的目的策划制作传播内容成果。在同一平台上，UGC、PGC和OGC会同时存在，UGC会向大V转化，大V会在PGC与OGC之间转化。</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ind w:left="0" w:leftChars="0" w:firstLine="0" w:firstLineChars="0"/>
      <w:rPr>
        <w:rFonts w:hint="eastAsia"/>
        <w:lang w:val="en-US" w:eastAsia="zh-CN"/>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6B2228E"/>
    <w:multiLevelType w:val="singleLevel"/>
    <w:tmpl w:val="86B2228E"/>
    <w:lvl w:ilvl="0" w:tentative="0">
      <w:start w:val="1"/>
      <w:numFmt w:val="decimalEnclosedCircleChinese"/>
      <w:suff w:val="nothing"/>
      <w:lvlText w:val="%1　"/>
      <w:lvlJc w:val="left"/>
      <w:pPr>
        <w:ind w:left="0" w:firstLine="400"/>
      </w:pPr>
      <w:rPr>
        <w:rFonts w:hint="eastAsia"/>
      </w:rPr>
    </w:lvl>
  </w:abstractNum>
  <w:abstractNum w:abstractNumId="1">
    <w:nsid w:val="897B10A5"/>
    <w:multiLevelType w:val="singleLevel"/>
    <w:tmpl w:val="897B10A5"/>
    <w:lvl w:ilvl="0" w:tentative="0">
      <w:start w:val="1"/>
      <w:numFmt w:val="decimalEnclosedCircleChinese"/>
      <w:suff w:val="nothing"/>
      <w:lvlText w:val="%1　"/>
      <w:lvlJc w:val="left"/>
      <w:pPr>
        <w:ind w:left="0" w:firstLine="0"/>
      </w:pPr>
      <w:rPr>
        <w:rFonts w:hint="eastAsia"/>
      </w:rPr>
    </w:lvl>
  </w:abstractNum>
  <w:abstractNum w:abstractNumId="2">
    <w:nsid w:val="8CBC6117"/>
    <w:multiLevelType w:val="singleLevel"/>
    <w:tmpl w:val="8CBC6117"/>
    <w:lvl w:ilvl="0" w:tentative="0">
      <w:start w:val="1"/>
      <w:numFmt w:val="decimal"/>
      <w:suff w:val="nothing"/>
      <w:lvlText w:val="%1．"/>
      <w:lvlJc w:val="left"/>
      <w:pPr>
        <w:ind w:left="0" w:firstLine="400"/>
      </w:pPr>
      <w:rPr>
        <w:rFonts w:hint="default"/>
      </w:rPr>
    </w:lvl>
  </w:abstractNum>
  <w:abstractNum w:abstractNumId="3">
    <w:nsid w:val="8F000AD6"/>
    <w:multiLevelType w:val="singleLevel"/>
    <w:tmpl w:val="8F000AD6"/>
    <w:lvl w:ilvl="0" w:tentative="0">
      <w:start w:val="1"/>
      <w:numFmt w:val="decimalEnclosedCircleChinese"/>
      <w:suff w:val="nothing"/>
      <w:lvlText w:val="%1　"/>
      <w:lvlJc w:val="left"/>
      <w:pPr>
        <w:ind w:left="0" w:firstLine="400"/>
      </w:pPr>
      <w:rPr>
        <w:rFonts w:hint="eastAsia"/>
      </w:rPr>
    </w:lvl>
  </w:abstractNum>
  <w:abstractNum w:abstractNumId="4">
    <w:nsid w:val="9368FBEE"/>
    <w:multiLevelType w:val="singleLevel"/>
    <w:tmpl w:val="9368FBEE"/>
    <w:lvl w:ilvl="0" w:tentative="0">
      <w:start w:val="1"/>
      <w:numFmt w:val="decimalEnclosedCircleChinese"/>
      <w:suff w:val="nothing"/>
      <w:lvlText w:val="%1　"/>
      <w:lvlJc w:val="left"/>
      <w:pPr>
        <w:ind w:left="0" w:firstLine="400"/>
      </w:pPr>
      <w:rPr>
        <w:rFonts w:hint="eastAsia"/>
      </w:rPr>
    </w:lvl>
  </w:abstractNum>
  <w:abstractNum w:abstractNumId="5">
    <w:nsid w:val="9F6F9C65"/>
    <w:multiLevelType w:val="singleLevel"/>
    <w:tmpl w:val="9F6F9C65"/>
    <w:lvl w:ilvl="0" w:tentative="0">
      <w:start w:val="1"/>
      <w:numFmt w:val="decimalEnclosedCircleChinese"/>
      <w:suff w:val="nothing"/>
      <w:lvlText w:val="%1　"/>
      <w:lvlJc w:val="left"/>
      <w:pPr>
        <w:ind w:left="0" w:firstLine="400"/>
      </w:pPr>
      <w:rPr>
        <w:rFonts w:hint="eastAsia"/>
      </w:rPr>
    </w:lvl>
  </w:abstractNum>
  <w:abstractNum w:abstractNumId="6">
    <w:nsid w:val="A357E361"/>
    <w:multiLevelType w:val="singleLevel"/>
    <w:tmpl w:val="A357E361"/>
    <w:lvl w:ilvl="0" w:tentative="0">
      <w:start w:val="1"/>
      <w:numFmt w:val="decimalEnclosedCircleChinese"/>
      <w:suff w:val="nothing"/>
      <w:lvlText w:val="%1　"/>
      <w:lvlJc w:val="left"/>
      <w:pPr>
        <w:ind w:left="0" w:firstLine="400"/>
      </w:pPr>
      <w:rPr>
        <w:rFonts w:hint="eastAsia"/>
      </w:rPr>
    </w:lvl>
  </w:abstractNum>
  <w:abstractNum w:abstractNumId="7">
    <w:nsid w:val="B062350F"/>
    <w:multiLevelType w:val="singleLevel"/>
    <w:tmpl w:val="B062350F"/>
    <w:lvl w:ilvl="0" w:tentative="0">
      <w:start w:val="1"/>
      <w:numFmt w:val="chineseCounting"/>
      <w:suff w:val="nothing"/>
      <w:lvlText w:val="%1、"/>
      <w:lvlJc w:val="left"/>
      <w:pPr>
        <w:ind w:left="0" w:firstLine="420"/>
      </w:pPr>
      <w:rPr>
        <w:rFonts w:hint="eastAsia"/>
      </w:rPr>
    </w:lvl>
  </w:abstractNum>
  <w:abstractNum w:abstractNumId="8">
    <w:nsid w:val="B41477A2"/>
    <w:multiLevelType w:val="singleLevel"/>
    <w:tmpl w:val="B41477A2"/>
    <w:lvl w:ilvl="0" w:tentative="0">
      <w:start w:val="1"/>
      <w:numFmt w:val="decimal"/>
      <w:suff w:val="nothing"/>
      <w:lvlText w:val="%1．"/>
      <w:lvlJc w:val="left"/>
      <w:pPr>
        <w:ind w:left="0" w:firstLine="400"/>
      </w:pPr>
      <w:rPr>
        <w:rFonts w:hint="default"/>
      </w:rPr>
    </w:lvl>
  </w:abstractNum>
  <w:abstractNum w:abstractNumId="9">
    <w:nsid w:val="B532D61A"/>
    <w:multiLevelType w:val="singleLevel"/>
    <w:tmpl w:val="B532D61A"/>
    <w:lvl w:ilvl="0" w:tentative="0">
      <w:start w:val="1"/>
      <w:numFmt w:val="decimalEnclosedCircleChinese"/>
      <w:suff w:val="nothing"/>
      <w:lvlText w:val="%1　"/>
      <w:lvlJc w:val="left"/>
      <w:pPr>
        <w:ind w:left="0" w:firstLine="400"/>
      </w:pPr>
      <w:rPr>
        <w:rFonts w:hint="eastAsia"/>
      </w:rPr>
    </w:lvl>
  </w:abstractNum>
  <w:abstractNum w:abstractNumId="10">
    <w:nsid w:val="B65AFE09"/>
    <w:multiLevelType w:val="singleLevel"/>
    <w:tmpl w:val="B65AFE09"/>
    <w:lvl w:ilvl="0" w:tentative="0">
      <w:start w:val="1"/>
      <w:numFmt w:val="decimal"/>
      <w:lvlText w:val="%1."/>
      <w:lvlJc w:val="left"/>
      <w:pPr>
        <w:ind w:left="425" w:hanging="425"/>
      </w:pPr>
      <w:rPr>
        <w:rFonts w:hint="default"/>
      </w:rPr>
    </w:lvl>
  </w:abstractNum>
  <w:abstractNum w:abstractNumId="11">
    <w:nsid w:val="B96654EA"/>
    <w:multiLevelType w:val="singleLevel"/>
    <w:tmpl w:val="B96654EA"/>
    <w:lvl w:ilvl="0" w:tentative="0">
      <w:start w:val="1"/>
      <w:numFmt w:val="decimal"/>
      <w:suff w:val="nothing"/>
      <w:lvlText w:val="%1．"/>
      <w:lvlJc w:val="left"/>
      <w:pPr>
        <w:ind w:left="0" w:firstLine="400"/>
      </w:pPr>
      <w:rPr>
        <w:rFonts w:hint="default"/>
      </w:rPr>
    </w:lvl>
  </w:abstractNum>
  <w:abstractNum w:abstractNumId="12">
    <w:nsid w:val="BB39E2D6"/>
    <w:multiLevelType w:val="singleLevel"/>
    <w:tmpl w:val="BB39E2D6"/>
    <w:lvl w:ilvl="0" w:tentative="0">
      <w:start w:val="1"/>
      <w:numFmt w:val="decimalEnclosedCircleChinese"/>
      <w:suff w:val="nothing"/>
      <w:lvlText w:val="%1　"/>
      <w:lvlJc w:val="left"/>
      <w:pPr>
        <w:ind w:left="0" w:firstLine="400"/>
      </w:pPr>
      <w:rPr>
        <w:rFonts w:hint="eastAsia"/>
      </w:rPr>
    </w:lvl>
  </w:abstractNum>
  <w:abstractNum w:abstractNumId="13">
    <w:nsid w:val="BDB593AB"/>
    <w:multiLevelType w:val="singleLevel"/>
    <w:tmpl w:val="BDB593AB"/>
    <w:lvl w:ilvl="0" w:tentative="0">
      <w:start w:val="1"/>
      <w:numFmt w:val="decimal"/>
      <w:suff w:val="nothing"/>
      <w:lvlText w:val="%1．"/>
      <w:lvlJc w:val="left"/>
      <w:pPr>
        <w:ind w:left="0" w:firstLine="400"/>
      </w:pPr>
      <w:rPr>
        <w:rFonts w:hint="default"/>
      </w:rPr>
    </w:lvl>
  </w:abstractNum>
  <w:abstractNum w:abstractNumId="14">
    <w:nsid w:val="BE8E230B"/>
    <w:multiLevelType w:val="singleLevel"/>
    <w:tmpl w:val="BE8E230B"/>
    <w:lvl w:ilvl="0" w:tentative="0">
      <w:start w:val="1"/>
      <w:numFmt w:val="decimalEnclosedCircleChinese"/>
      <w:suff w:val="nothing"/>
      <w:lvlText w:val="%1　"/>
      <w:lvlJc w:val="left"/>
      <w:pPr>
        <w:ind w:left="0" w:firstLine="400"/>
      </w:pPr>
      <w:rPr>
        <w:rFonts w:hint="eastAsia"/>
      </w:rPr>
    </w:lvl>
  </w:abstractNum>
  <w:abstractNum w:abstractNumId="15">
    <w:nsid w:val="C01904F3"/>
    <w:multiLevelType w:val="singleLevel"/>
    <w:tmpl w:val="C01904F3"/>
    <w:lvl w:ilvl="0" w:tentative="0">
      <w:start w:val="1"/>
      <w:numFmt w:val="decimalEnclosedCircleChinese"/>
      <w:suff w:val="nothing"/>
      <w:lvlText w:val="%1　"/>
      <w:lvlJc w:val="left"/>
      <w:pPr>
        <w:ind w:left="0" w:firstLine="400"/>
      </w:pPr>
      <w:rPr>
        <w:rFonts w:hint="eastAsia"/>
      </w:rPr>
    </w:lvl>
  </w:abstractNum>
  <w:abstractNum w:abstractNumId="16">
    <w:nsid w:val="C58BAE54"/>
    <w:multiLevelType w:val="singleLevel"/>
    <w:tmpl w:val="C58BAE54"/>
    <w:lvl w:ilvl="0" w:tentative="0">
      <w:start w:val="1"/>
      <w:numFmt w:val="decimal"/>
      <w:suff w:val="nothing"/>
      <w:lvlText w:val="%1．"/>
      <w:lvlJc w:val="left"/>
      <w:pPr>
        <w:ind w:left="0" w:firstLine="400"/>
      </w:pPr>
      <w:rPr>
        <w:rFonts w:hint="default"/>
      </w:rPr>
    </w:lvl>
  </w:abstractNum>
  <w:abstractNum w:abstractNumId="17">
    <w:nsid w:val="C7322A8C"/>
    <w:multiLevelType w:val="singleLevel"/>
    <w:tmpl w:val="C7322A8C"/>
    <w:lvl w:ilvl="0" w:tentative="0">
      <w:start w:val="1"/>
      <w:numFmt w:val="decimalEnclosedCircleChinese"/>
      <w:suff w:val="nothing"/>
      <w:lvlText w:val="%1　"/>
      <w:lvlJc w:val="left"/>
      <w:pPr>
        <w:ind w:left="0" w:firstLine="397"/>
      </w:pPr>
      <w:rPr>
        <w:rFonts w:hint="eastAsia"/>
      </w:rPr>
    </w:lvl>
  </w:abstractNum>
  <w:abstractNum w:abstractNumId="18">
    <w:nsid w:val="C94E60B8"/>
    <w:multiLevelType w:val="singleLevel"/>
    <w:tmpl w:val="C94E60B8"/>
    <w:lvl w:ilvl="0" w:tentative="0">
      <w:start w:val="1"/>
      <w:numFmt w:val="decimalEnclosedCircleChinese"/>
      <w:suff w:val="nothing"/>
      <w:lvlText w:val="%1　"/>
      <w:lvlJc w:val="left"/>
      <w:pPr>
        <w:ind w:left="0" w:firstLine="400"/>
      </w:pPr>
      <w:rPr>
        <w:rFonts w:hint="eastAsia"/>
      </w:rPr>
    </w:lvl>
  </w:abstractNum>
  <w:abstractNum w:abstractNumId="19">
    <w:nsid w:val="CA1531A5"/>
    <w:multiLevelType w:val="singleLevel"/>
    <w:tmpl w:val="CA1531A5"/>
    <w:lvl w:ilvl="0" w:tentative="0">
      <w:start w:val="1"/>
      <w:numFmt w:val="decimalEnclosedCircleChinese"/>
      <w:suff w:val="nothing"/>
      <w:lvlText w:val="%1　"/>
      <w:lvlJc w:val="left"/>
      <w:pPr>
        <w:ind w:left="0" w:firstLine="400"/>
      </w:pPr>
      <w:rPr>
        <w:rFonts w:hint="eastAsia"/>
      </w:rPr>
    </w:lvl>
  </w:abstractNum>
  <w:abstractNum w:abstractNumId="20">
    <w:nsid w:val="CB43296F"/>
    <w:multiLevelType w:val="singleLevel"/>
    <w:tmpl w:val="CB43296F"/>
    <w:lvl w:ilvl="0" w:tentative="0">
      <w:start w:val="1"/>
      <w:numFmt w:val="decimalEnclosedCircleChinese"/>
      <w:suff w:val="nothing"/>
      <w:lvlText w:val="%1　"/>
      <w:lvlJc w:val="left"/>
      <w:pPr>
        <w:ind w:left="0" w:firstLine="400"/>
      </w:pPr>
      <w:rPr>
        <w:rFonts w:hint="eastAsia"/>
      </w:rPr>
    </w:lvl>
  </w:abstractNum>
  <w:abstractNum w:abstractNumId="21">
    <w:nsid w:val="D0FF4775"/>
    <w:multiLevelType w:val="singleLevel"/>
    <w:tmpl w:val="D0FF4775"/>
    <w:lvl w:ilvl="0" w:tentative="0">
      <w:start w:val="1"/>
      <w:numFmt w:val="decimalEnclosedCircleChinese"/>
      <w:suff w:val="nothing"/>
      <w:lvlText w:val="%1　"/>
      <w:lvlJc w:val="left"/>
      <w:pPr>
        <w:ind w:left="0" w:firstLine="0"/>
      </w:pPr>
      <w:rPr>
        <w:rFonts w:hint="eastAsia"/>
      </w:rPr>
    </w:lvl>
  </w:abstractNum>
  <w:abstractNum w:abstractNumId="22">
    <w:nsid w:val="D2FE151D"/>
    <w:multiLevelType w:val="singleLevel"/>
    <w:tmpl w:val="D2FE151D"/>
    <w:lvl w:ilvl="0" w:tentative="0">
      <w:start w:val="1"/>
      <w:numFmt w:val="decimalEnclosedCircleChinese"/>
      <w:suff w:val="nothing"/>
      <w:lvlText w:val="%1　"/>
      <w:lvlJc w:val="left"/>
      <w:pPr>
        <w:ind w:left="0" w:firstLine="400"/>
      </w:pPr>
      <w:rPr>
        <w:rFonts w:hint="eastAsia"/>
      </w:rPr>
    </w:lvl>
  </w:abstractNum>
  <w:abstractNum w:abstractNumId="23">
    <w:nsid w:val="D737DACB"/>
    <w:multiLevelType w:val="singleLevel"/>
    <w:tmpl w:val="D737DACB"/>
    <w:lvl w:ilvl="0" w:tentative="0">
      <w:start w:val="1"/>
      <w:numFmt w:val="decimal"/>
      <w:suff w:val="nothing"/>
      <w:lvlText w:val="%1．"/>
      <w:lvlJc w:val="left"/>
      <w:pPr>
        <w:ind w:left="0" w:firstLine="400"/>
      </w:pPr>
      <w:rPr>
        <w:rFonts w:hint="default"/>
      </w:rPr>
    </w:lvl>
  </w:abstractNum>
  <w:abstractNum w:abstractNumId="24">
    <w:nsid w:val="D7928BC8"/>
    <w:multiLevelType w:val="singleLevel"/>
    <w:tmpl w:val="D7928BC8"/>
    <w:lvl w:ilvl="0" w:tentative="0">
      <w:start w:val="1"/>
      <w:numFmt w:val="decimalEnclosedCircleChinese"/>
      <w:suff w:val="nothing"/>
      <w:lvlText w:val="%1　"/>
      <w:lvlJc w:val="left"/>
      <w:pPr>
        <w:ind w:left="0" w:firstLine="400"/>
      </w:pPr>
      <w:rPr>
        <w:rFonts w:hint="eastAsia"/>
      </w:rPr>
    </w:lvl>
  </w:abstractNum>
  <w:abstractNum w:abstractNumId="25">
    <w:nsid w:val="D7D9313D"/>
    <w:multiLevelType w:val="singleLevel"/>
    <w:tmpl w:val="D7D9313D"/>
    <w:lvl w:ilvl="0" w:tentative="0">
      <w:start w:val="1"/>
      <w:numFmt w:val="decimalEnclosedCircleChinese"/>
      <w:suff w:val="nothing"/>
      <w:lvlText w:val="%1　"/>
      <w:lvlJc w:val="left"/>
      <w:pPr>
        <w:ind w:left="0" w:firstLine="400"/>
      </w:pPr>
      <w:rPr>
        <w:rFonts w:hint="eastAsia"/>
      </w:rPr>
    </w:lvl>
  </w:abstractNum>
  <w:abstractNum w:abstractNumId="26">
    <w:nsid w:val="E2CD0D74"/>
    <w:multiLevelType w:val="singleLevel"/>
    <w:tmpl w:val="E2CD0D74"/>
    <w:lvl w:ilvl="0" w:tentative="0">
      <w:start w:val="1"/>
      <w:numFmt w:val="decimal"/>
      <w:suff w:val="nothing"/>
      <w:lvlText w:val="%1．"/>
      <w:lvlJc w:val="left"/>
      <w:pPr>
        <w:ind w:left="0" w:firstLine="400"/>
      </w:pPr>
      <w:rPr>
        <w:rFonts w:hint="default"/>
      </w:rPr>
    </w:lvl>
  </w:abstractNum>
  <w:abstractNum w:abstractNumId="27">
    <w:nsid w:val="E385DAE4"/>
    <w:multiLevelType w:val="singleLevel"/>
    <w:tmpl w:val="E385DAE4"/>
    <w:lvl w:ilvl="0" w:tentative="0">
      <w:start w:val="1"/>
      <w:numFmt w:val="decimalEnclosedCircleChinese"/>
      <w:suff w:val="nothing"/>
      <w:lvlText w:val="%1　"/>
      <w:lvlJc w:val="left"/>
      <w:pPr>
        <w:ind w:left="0" w:firstLine="400"/>
      </w:pPr>
      <w:rPr>
        <w:rFonts w:hint="eastAsia"/>
      </w:rPr>
    </w:lvl>
  </w:abstractNum>
  <w:abstractNum w:abstractNumId="28">
    <w:nsid w:val="E39346A8"/>
    <w:multiLevelType w:val="singleLevel"/>
    <w:tmpl w:val="E39346A8"/>
    <w:lvl w:ilvl="0" w:tentative="0">
      <w:start w:val="1"/>
      <w:numFmt w:val="decimal"/>
      <w:lvlText w:val="%1."/>
      <w:lvlJc w:val="left"/>
      <w:pPr>
        <w:ind w:left="425" w:hanging="425"/>
      </w:pPr>
      <w:rPr>
        <w:rFonts w:hint="default"/>
      </w:rPr>
    </w:lvl>
  </w:abstractNum>
  <w:abstractNum w:abstractNumId="29">
    <w:nsid w:val="E835C75C"/>
    <w:multiLevelType w:val="singleLevel"/>
    <w:tmpl w:val="E835C75C"/>
    <w:lvl w:ilvl="0" w:tentative="0">
      <w:start w:val="1"/>
      <w:numFmt w:val="decimal"/>
      <w:suff w:val="nothing"/>
      <w:lvlText w:val="%1．"/>
      <w:lvlJc w:val="left"/>
      <w:pPr>
        <w:ind w:left="0" w:firstLine="400"/>
      </w:pPr>
      <w:rPr>
        <w:rFonts w:hint="default"/>
      </w:rPr>
    </w:lvl>
  </w:abstractNum>
  <w:abstractNum w:abstractNumId="30">
    <w:nsid w:val="ECF741F7"/>
    <w:multiLevelType w:val="singleLevel"/>
    <w:tmpl w:val="ECF741F7"/>
    <w:lvl w:ilvl="0" w:tentative="0">
      <w:start w:val="1"/>
      <w:numFmt w:val="decimal"/>
      <w:suff w:val="nothing"/>
      <w:lvlText w:val="%1．"/>
      <w:lvlJc w:val="left"/>
      <w:pPr>
        <w:ind w:left="0" w:firstLine="400"/>
      </w:pPr>
      <w:rPr>
        <w:rFonts w:hint="default"/>
      </w:rPr>
    </w:lvl>
  </w:abstractNum>
  <w:abstractNum w:abstractNumId="31">
    <w:nsid w:val="EE838551"/>
    <w:multiLevelType w:val="singleLevel"/>
    <w:tmpl w:val="EE838551"/>
    <w:lvl w:ilvl="0" w:tentative="0">
      <w:start w:val="1"/>
      <w:numFmt w:val="bullet"/>
      <w:lvlText w:val=""/>
      <w:lvlJc w:val="left"/>
      <w:pPr>
        <w:ind w:left="420" w:hanging="420"/>
      </w:pPr>
      <w:rPr>
        <w:rFonts w:hint="default" w:ascii="Wingdings" w:hAnsi="Wingdings"/>
      </w:rPr>
    </w:lvl>
  </w:abstractNum>
  <w:abstractNum w:abstractNumId="32">
    <w:nsid w:val="F3040217"/>
    <w:multiLevelType w:val="singleLevel"/>
    <w:tmpl w:val="F3040217"/>
    <w:lvl w:ilvl="0" w:tentative="0">
      <w:start w:val="1"/>
      <w:numFmt w:val="chineseCounting"/>
      <w:suff w:val="nothing"/>
      <w:lvlText w:val="%1、"/>
      <w:lvlJc w:val="left"/>
      <w:pPr>
        <w:ind w:left="0" w:firstLine="420"/>
      </w:pPr>
      <w:rPr>
        <w:rFonts w:hint="eastAsia"/>
      </w:rPr>
    </w:lvl>
  </w:abstractNum>
  <w:abstractNum w:abstractNumId="33">
    <w:nsid w:val="F39C6525"/>
    <w:multiLevelType w:val="singleLevel"/>
    <w:tmpl w:val="F39C6525"/>
    <w:lvl w:ilvl="0" w:tentative="0">
      <w:start w:val="1"/>
      <w:numFmt w:val="decimal"/>
      <w:lvlText w:val="%1."/>
      <w:lvlJc w:val="left"/>
      <w:pPr>
        <w:ind w:left="425" w:hanging="425"/>
      </w:pPr>
      <w:rPr>
        <w:rFonts w:hint="default"/>
      </w:rPr>
    </w:lvl>
  </w:abstractNum>
  <w:abstractNum w:abstractNumId="34">
    <w:nsid w:val="F904AC41"/>
    <w:multiLevelType w:val="singleLevel"/>
    <w:tmpl w:val="F904AC41"/>
    <w:lvl w:ilvl="0" w:tentative="0">
      <w:start w:val="1"/>
      <w:numFmt w:val="decimal"/>
      <w:lvlText w:val="(%1)"/>
      <w:lvlJc w:val="left"/>
      <w:pPr>
        <w:ind w:left="425" w:hanging="425"/>
      </w:pPr>
      <w:rPr>
        <w:rFonts w:hint="default"/>
      </w:rPr>
    </w:lvl>
  </w:abstractNum>
  <w:abstractNum w:abstractNumId="35">
    <w:nsid w:val="F95B9F62"/>
    <w:multiLevelType w:val="singleLevel"/>
    <w:tmpl w:val="F95B9F62"/>
    <w:lvl w:ilvl="0" w:tentative="0">
      <w:start w:val="1"/>
      <w:numFmt w:val="decimalEnclosedCircleChinese"/>
      <w:suff w:val="nothing"/>
      <w:lvlText w:val="%1　"/>
      <w:lvlJc w:val="left"/>
      <w:pPr>
        <w:ind w:left="0" w:firstLine="400"/>
      </w:pPr>
      <w:rPr>
        <w:rFonts w:hint="eastAsia"/>
      </w:rPr>
    </w:lvl>
  </w:abstractNum>
  <w:abstractNum w:abstractNumId="36">
    <w:nsid w:val="01AFF64E"/>
    <w:multiLevelType w:val="singleLevel"/>
    <w:tmpl w:val="01AFF64E"/>
    <w:lvl w:ilvl="0" w:tentative="0">
      <w:start w:val="1"/>
      <w:numFmt w:val="decimal"/>
      <w:lvlText w:val="%1."/>
      <w:lvlJc w:val="left"/>
      <w:pPr>
        <w:ind w:left="425" w:hanging="425"/>
      </w:pPr>
      <w:rPr>
        <w:rFonts w:hint="default"/>
      </w:rPr>
    </w:lvl>
  </w:abstractNum>
  <w:abstractNum w:abstractNumId="37">
    <w:nsid w:val="01D65722"/>
    <w:multiLevelType w:val="singleLevel"/>
    <w:tmpl w:val="01D65722"/>
    <w:lvl w:ilvl="0" w:tentative="0">
      <w:start w:val="1"/>
      <w:numFmt w:val="decimalEnclosedCircleChinese"/>
      <w:suff w:val="nothing"/>
      <w:lvlText w:val="%1　"/>
      <w:lvlJc w:val="left"/>
      <w:pPr>
        <w:ind w:left="0" w:firstLine="400"/>
      </w:pPr>
      <w:rPr>
        <w:rFonts w:hint="eastAsia"/>
      </w:rPr>
    </w:lvl>
  </w:abstractNum>
  <w:abstractNum w:abstractNumId="38">
    <w:nsid w:val="0A80F899"/>
    <w:multiLevelType w:val="singleLevel"/>
    <w:tmpl w:val="0A80F899"/>
    <w:lvl w:ilvl="0" w:tentative="0">
      <w:start w:val="1"/>
      <w:numFmt w:val="decimalEnclosedCircleChinese"/>
      <w:suff w:val="nothing"/>
      <w:lvlText w:val="%1　"/>
      <w:lvlJc w:val="left"/>
      <w:pPr>
        <w:ind w:left="0" w:firstLine="0"/>
      </w:pPr>
      <w:rPr>
        <w:rFonts w:hint="eastAsia"/>
      </w:rPr>
    </w:lvl>
  </w:abstractNum>
  <w:abstractNum w:abstractNumId="39">
    <w:nsid w:val="0ACF895F"/>
    <w:multiLevelType w:val="singleLevel"/>
    <w:tmpl w:val="0ACF895F"/>
    <w:lvl w:ilvl="0" w:tentative="0">
      <w:start w:val="1"/>
      <w:numFmt w:val="decimalEnclosedCircleChinese"/>
      <w:suff w:val="nothing"/>
      <w:lvlText w:val="%1　"/>
      <w:lvlJc w:val="left"/>
      <w:pPr>
        <w:ind w:left="0" w:firstLine="0"/>
      </w:pPr>
      <w:rPr>
        <w:rFonts w:hint="eastAsia"/>
      </w:rPr>
    </w:lvl>
  </w:abstractNum>
  <w:abstractNum w:abstractNumId="40">
    <w:nsid w:val="0E797FF9"/>
    <w:multiLevelType w:val="singleLevel"/>
    <w:tmpl w:val="0E797FF9"/>
    <w:lvl w:ilvl="0" w:tentative="0">
      <w:start w:val="1"/>
      <w:numFmt w:val="decimal"/>
      <w:lvlText w:val="%1."/>
      <w:lvlJc w:val="left"/>
      <w:pPr>
        <w:ind w:left="425" w:hanging="425"/>
      </w:pPr>
      <w:rPr>
        <w:rFonts w:hint="default"/>
      </w:rPr>
    </w:lvl>
  </w:abstractNum>
  <w:abstractNum w:abstractNumId="41">
    <w:nsid w:val="12CBB29E"/>
    <w:multiLevelType w:val="singleLevel"/>
    <w:tmpl w:val="12CBB29E"/>
    <w:lvl w:ilvl="0" w:tentative="0">
      <w:start w:val="1"/>
      <w:numFmt w:val="decimal"/>
      <w:lvlText w:val="%1."/>
      <w:lvlJc w:val="left"/>
      <w:pPr>
        <w:ind w:left="425" w:hanging="425"/>
      </w:pPr>
      <w:rPr>
        <w:rFonts w:hint="default"/>
      </w:rPr>
    </w:lvl>
  </w:abstractNum>
  <w:abstractNum w:abstractNumId="42">
    <w:nsid w:val="1655B2F1"/>
    <w:multiLevelType w:val="singleLevel"/>
    <w:tmpl w:val="1655B2F1"/>
    <w:lvl w:ilvl="0" w:tentative="0">
      <w:start w:val="1"/>
      <w:numFmt w:val="decimal"/>
      <w:lvlText w:val="%1."/>
      <w:lvlJc w:val="left"/>
      <w:pPr>
        <w:ind w:left="425" w:hanging="425"/>
      </w:pPr>
      <w:rPr>
        <w:rFonts w:hint="default"/>
      </w:rPr>
    </w:lvl>
  </w:abstractNum>
  <w:abstractNum w:abstractNumId="43">
    <w:nsid w:val="16BCC4A8"/>
    <w:multiLevelType w:val="singleLevel"/>
    <w:tmpl w:val="16BCC4A8"/>
    <w:lvl w:ilvl="0" w:tentative="0">
      <w:start w:val="1"/>
      <w:numFmt w:val="decimalEnclosedCircleChinese"/>
      <w:suff w:val="nothing"/>
      <w:lvlText w:val="%1　"/>
      <w:lvlJc w:val="left"/>
      <w:pPr>
        <w:ind w:left="0" w:firstLine="400"/>
      </w:pPr>
      <w:rPr>
        <w:rFonts w:hint="eastAsia"/>
      </w:rPr>
    </w:lvl>
  </w:abstractNum>
  <w:abstractNum w:abstractNumId="44">
    <w:nsid w:val="1C31F766"/>
    <w:multiLevelType w:val="singleLevel"/>
    <w:tmpl w:val="1C31F766"/>
    <w:lvl w:ilvl="0" w:tentative="0">
      <w:start w:val="1"/>
      <w:numFmt w:val="chineseCounting"/>
      <w:suff w:val="nothing"/>
      <w:lvlText w:val="%1、"/>
      <w:lvlJc w:val="left"/>
      <w:pPr>
        <w:ind w:left="0" w:firstLine="420"/>
      </w:pPr>
      <w:rPr>
        <w:rFonts w:hint="eastAsia"/>
      </w:rPr>
    </w:lvl>
  </w:abstractNum>
  <w:abstractNum w:abstractNumId="45">
    <w:nsid w:val="1CC00894"/>
    <w:multiLevelType w:val="singleLevel"/>
    <w:tmpl w:val="1CC00894"/>
    <w:lvl w:ilvl="0" w:tentative="0">
      <w:start w:val="1"/>
      <w:numFmt w:val="decimalEnclosedCircleChinese"/>
      <w:suff w:val="nothing"/>
      <w:lvlText w:val="%1　"/>
      <w:lvlJc w:val="left"/>
      <w:pPr>
        <w:ind w:left="0" w:firstLine="400"/>
      </w:pPr>
      <w:rPr>
        <w:rFonts w:hint="eastAsia"/>
      </w:rPr>
    </w:lvl>
  </w:abstractNum>
  <w:abstractNum w:abstractNumId="46">
    <w:nsid w:val="2079AEAF"/>
    <w:multiLevelType w:val="singleLevel"/>
    <w:tmpl w:val="2079AEAF"/>
    <w:lvl w:ilvl="0" w:tentative="0">
      <w:start w:val="1"/>
      <w:numFmt w:val="decimalEnclosedCircleChinese"/>
      <w:suff w:val="nothing"/>
      <w:lvlText w:val="%1　"/>
      <w:lvlJc w:val="left"/>
      <w:pPr>
        <w:ind w:left="0" w:firstLine="400"/>
      </w:pPr>
      <w:rPr>
        <w:rFonts w:hint="eastAsia"/>
      </w:rPr>
    </w:lvl>
  </w:abstractNum>
  <w:abstractNum w:abstractNumId="47">
    <w:nsid w:val="211F1D0B"/>
    <w:multiLevelType w:val="singleLevel"/>
    <w:tmpl w:val="211F1D0B"/>
    <w:lvl w:ilvl="0" w:tentative="0">
      <w:start w:val="1"/>
      <w:numFmt w:val="decimal"/>
      <w:suff w:val="nothing"/>
      <w:lvlText w:val="%1．"/>
      <w:lvlJc w:val="left"/>
      <w:pPr>
        <w:ind w:left="0" w:firstLine="624"/>
      </w:pPr>
      <w:rPr>
        <w:rFonts w:hint="default"/>
      </w:rPr>
    </w:lvl>
  </w:abstractNum>
  <w:abstractNum w:abstractNumId="48">
    <w:nsid w:val="2973BE2F"/>
    <w:multiLevelType w:val="singleLevel"/>
    <w:tmpl w:val="2973BE2F"/>
    <w:lvl w:ilvl="0" w:tentative="0">
      <w:start w:val="1"/>
      <w:numFmt w:val="decimal"/>
      <w:lvlText w:val="%1."/>
      <w:lvlJc w:val="left"/>
      <w:pPr>
        <w:ind w:left="425" w:hanging="425"/>
      </w:pPr>
      <w:rPr>
        <w:rFonts w:hint="default"/>
      </w:rPr>
    </w:lvl>
  </w:abstractNum>
  <w:abstractNum w:abstractNumId="49">
    <w:nsid w:val="2A72BC3C"/>
    <w:multiLevelType w:val="singleLevel"/>
    <w:tmpl w:val="2A72BC3C"/>
    <w:lvl w:ilvl="0" w:tentative="0">
      <w:start w:val="1"/>
      <w:numFmt w:val="decimal"/>
      <w:suff w:val="nothing"/>
      <w:lvlText w:val="%1．"/>
      <w:lvlJc w:val="left"/>
      <w:pPr>
        <w:ind w:left="0" w:firstLine="400"/>
      </w:pPr>
      <w:rPr>
        <w:rFonts w:hint="default"/>
      </w:rPr>
    </w:lvl>
  </w:abstractNum>
  <w:abstractNum w:abstractNumId="50">
    <w:nsid w:val="2BD1201F"/>
    <w:multiLevelType w:val="singleLevel"/>
    <w:tmpl w:val="2BD1201F"/>
    <w:lvl w:ilvl="0" w:tentative="0">
      <w:start w:val="1"/>
      <w:numFmt w:val="decimal"/>
      <w:lvlText w:val="%1."/>
      <w:lvlJc w:val="left"/>
      <w:pPr>
        <w:ind w:left="425" w:hanging="425"/>
      </w:pPr>
      <w:rPr>
        <w:rFonts w:hint="default"/>
      </w:rPr>
    </w:lvl>
  </w:abstractNum>
  <w:abstractNum w:abstractNumId="51">
    <w:nsid w:val="2E783A86"/>
    <w:multiLevelType w:val="singleLevel"/>
    <w:tmpl w:val="2E783A86"/>
    <w:lvl w:ilvl="0" w:tentative="0">
      <w:start w:val="1"/>
      <w:numFmt w:val="decimalEnclosedCircleChinese"/>
      <w:suff w:val="nothing"/>
      <w:lvlText w:val="%1　"/>
      <w:lvlJc w:val="left"/>
      <w:pPr>
        <w:ind w:left="0" w:firstLine="400"/>
      </w:pPr>
      <w:rPr>
        <w:rFonts w:hint="eastAsia"/>
      </w:rPr>
    </w:lvl>
  </w:abstractNum>
  <w:abstractNum w:abstractNumId="52">
    <w:nsid w:val="336B92E1"/>
    <w:multiLevelType w:val="singleLevel"/>
    <w:tmpl w:val="336B92E1"/>
    <w:lvl w:ilvl="0" w:tentative="0">
      <w:start w:val="1"/>
      <w:numFmt w:val="decimalEnclosedCircleChinese"/>
      <w:suff w:val="nothing"/>
      <w:lvlText w:val="%1　"/>
      <w:lvlJc w:val="left"/>
      <w:pPr>
        <w:ind w:left="0" w:firstLine="400"/>
      </w:pPr>
      <w:rPr>
        <w:rFonts w:hint="eastAsia"/>
      </w:rPr>
    </w:lvl>
  </w:abstractNum>
  <w:abstractNum w:abstractNumId="53">
    <w:nsid w:val="33C9C189"/>
    <w:multiLevelType w:val="singleLevel"/>
    <w:tmpl w:val="33C9C189"/>
    <w:lvl w:ilvl="0" w:tentative="0">
      <w:start w:val="1"/>
      <w:numFmt w:val="decimal"/>
      <w:suff w:val="nothing"/>
      <w:lvlText w:val="%1．"/>
      <w:lvlJc w:val="left"/>
      <w:pPr>
        <w:ind w:left="0" w:firstLine="400"/>
      </w:pPr>
      <w:rPr>
        <w:rFonts w:hint="default"/>
      </w:rPr>
    </w:lvl>
  </w:abstractNum>
  <w:abstractNum w:abstractNumId="54">
    <w:nsid w:val="3E3F0FD1"/>
    <w:multiLevelType w:val="singleLevel"/>
    <w:tmpl w:val="3E3F0FD1"/>
    <w:lvl w:ilvl="0" w:tentative="0">
      <w:start w:val="1"/>
      <w:numFmt w:val="decimalEnclosedCircleChinese"/>
      <w:suff w:val="nothing"/>
      <w:lvlText w:val="%1　"/>
      <w:lvlJc w:val="left"/>
      <w:pPr>
        <w:ind w:left="0" w:firstLine="400"/>
      </w:pPr>
      <w:rPr>
        <w:rFonts w:hint="eastAsia"/>
      </w:rPr>
    </w:lvl>
  </w:abstractNum>
  <w:abstractNum w:abstractNumId="55">
    <w:nsid w:val="481AD9C7"/>
    <w:multiLevelType w:val="singleLevel"/>
    <w:tmpl w:val="481AD9C7"/>
    <w:lvl w:ilvl="0" w:tentative="0">
      <w:start w:val="1"/>
      <w:numFmt w:val="decimal"/>
      <w:suff w:val="nothing"/>
      <w:lvlText w:val="%1．"/>
      <w:lvlJc w:val="left"/>
      <w:pPr>
        <w:ind w:left="0" w:firstLine="400"/>
      </w:pPr>
      <w:rPr>
        <w:rFonts w:hint="default"/>
      </w:rPr>
    </w:lvl>
  </w:abstractNum>
  <w:abstractNum w:abstractNumId="56">
    <w:nsid w:val="4E3576F2"/>
    <w:multiLevelType w:val="singleLevel"/>
    <w:tmpl w:val="4E3576F2"/>
    <w:lvl w:ilvl="0" w:tentative="0">
      <w:start w:val="1"/>
      <w:numFmt w:val="bullet"/>
      <w:lvlText w:val=""/>
      <w:lvlJc w:val="left"/>
      <w:pPr>
        <w:ind w:left="420" w:hanging="420"/>
      </w:pPr>
      <w:rPr>
        <w:rFonts w:hint="default" w:ascii="Wingdings" w:hAnsi="Wingdings"/>
      </w:rPr>
    </w:lvl>
  </w:abstractNum>
  <w:abstractNum w:abstractNumId="57">
    <w:nsid w:val="4FB82DCD"/>
    <w:multiLevelType w:val="singleLevel"/>
    <w:tmpl w:val="4FB82DCD"/>
    <w:lvl w:ilvl="0" w:tentative="0">
      <w:start w:val="1"/>
      <w:numFmt w:val="decimal"/>
      <w:suff w:val="nothing"/>
      <w:lvlText w:val="%1．"/>
      <w:lvlJc w:val="left"/>
      <w:pPr>
        <w:ind w:left="0" w:firstLine="400"/>
      </w:pPr>
      <w:rPr>
        <w:rFonts w:hint="default"/>
      </w:rPr>
    </w:lvl>
  </w:abstractNum>
  <w:abstractNum w:abstractNumId="58">
    <w:nsid w:val="511EC90C"/>
    <w:multiLevelType w:val="singleLevel"/>
    <w:tmpl w:val="511EC90C"/>
    <w:lvl w:ilvl="0" w:tentative="0">
      <w:start w:val="1"/>
      <w:numFmt w:val="decimal"/>
      <w:suff w:val="nothing"/>
      <w:lvlText w:val="%1．"/>
      <w:lvlJc w:val="left"/>
      <w:pPr>
        <w:ind w:left="0" w:firstLine="403"/>
      </w:pPr>
      <w:rPr>
        <w:rFonts w:hint="default"/>
      </w:rPr>
    </w:lvl>
  </w:abstractNum>
  <w:abstractNum w:abstractNumId="59">
    <w:nsid w:val="5869D23C"/>
    <w:multiLevelType w:val="singleLevel"/>
    <w:tmpl w:val="5869D23C"/>
    <w:lvl w:ilvl="0" w:tentative="0">
      <w:start w:val="1"/>
      <w:numFmt w:val="decimalEnclosedCircleChinese"/>
      <w:suff w:val="nothing"/>
      <w:lvlText w:val="%1　"/>
      <w:lvlJc w:val="left"/>
      <w:pPr>
        <w:ind w:left="0" w:firstLine="0"/>
      </w:pPr>
      <w:rPr>
        <w:rFonts w:hint="eastAsia"/>
      </w:rPr>
    </w:lvl>
  </w:abstractNum>
  <w:abstractNum w:abstractNumId="60">
    <w:nsid w:val="599B0E8C"/>
    <w:multiLevelType w:val="singleLevel"/>
    <w:tmpl w:val="599B0E8C"/>
    <w:lvl w:ilvl="0" w:tentative="0">
      <w:start w:val="1"/>
      <w:numFmt w:val="decimal"/>
      <w:lvlText w:val="%1."/>
      <w:lvlJc w:val="left"/>
      <w:pPr>
        <w:ind w:left="425" w:hanging="425"/>
      </w:pPr>
      <w:rPr>
        <w:rFonts w:hint="default"/>
      </w:rPr>
    </w:lvl>
  </w:abstractNum>
  <w:abstractNum w:abstractNumId="61">
    <w:nsid w:val="5A65B888"/>
    <w:multiLevelType w:val="singleLevel"/>
    <w:tmpl w:val="5A65B888"/>
    <w:lvl w:ilvl="0" w:tentative="0">
      <w:start w:val="1"/>
      <w:numFmt w:val="bullet"/>
      <w:lvlText w:val=""/>
      <w:lvlJc w:val="left"/>
      <w:pPr>
        <w:ind w:left="420" w:hanging="420"/>
      </w:pPr>
      <w:rPr>
        <w:rFonts w:hint="default" w:ascii="Wingdings" w:hAnsi="Wingdings"/>
      </w:rPr>
    </w:lvl>
  </w:abstractNum>
  <w:abstractNum w:abstractNumId="62">
    <w:nsid w:val="5BF9151E"/>
    <w:multiLevelType w:val="singleLevel"/>
    <w:tmpl w:val="5BF9151E"/>
    <w:lvl w:ilvl="0" w:tentative="0">
      <w:start w:val="1"/>
      <w:numFmt w:val="decimalEnclosedCircleChinese"/>
      <w:suff w:val="nothing"/>
      <w:lvlText w:val="%1　"/>
      <w:lvlJc w:val="left"/>
      <w:pPr>
        <w:ind w:left="0" w:firstLine="0"/>
      </w:pPr>
      <w:rPr>
        <w:rFonts w:hint="eastAsia"/>
      </w:rPr>
    </w:lvl>
  </w:abstractNum>
  <w:abstractNum w:abstractNumId="63">
    <w:nsid w:val="5D9CAEA0"/>
    <w:multiLevelType w:val="singleLevel"/>
    <w:tmpl w:val="5D9CAEA0"/>
    <w:lvl w:ilvl="0" w:tentative="0">
      <w:start w:val="1"/>
      <w:numFmt w:val="decimal"/>
      <w:suff w:val="nothing"/>
      <w:lvlText w:val="%1．"/>
      <w:lvlJc w:val="left"/>
      <w:pPr>
        <w:ind w:left="0" w:firstLine="400"/>
      </w:pPr>
      <w:rPr>
        <w:rFonts w:hint="default"/>
      </w:rPr>
    </w:lvl>
  </w:abstractNum>
  <w:abstractNum w:abstractNumId="64">
    <w:nsid w:val="5DCA05EC"/>
    <w:multiLevelType w:val="singleLevel"/>
    <w:tmpl w:val="5DCA05EC"/>
    <w:lvl w:ilvl="0" w:tentative="0">
      <w:start w:val="1"/>
      <w:numFmt w:val="decimal"/>
      <w:suff w:val="nothing"/>
      <w:lvlText w:val="%1．"/>
      <w:lvlJc w:val="left"/>
      <w:pPr>
        <w:ind w:left="0" w:firstLine="400"/>
      </w:pPr>
      <w:rPr>
        <w:rFonts w:hint="default"/>
      </w:rPr>
    </w:lvl>
  </w:abstractNum>
  <w:abstractNum w:abstractNumId="65">
    <w:nsid w:val="606A5EC2"/>
    <w:multiLevelType w:val="singleLevel"/>
    <w:tmpl w:val="606A5EC2"/>
    <w:lvl w:ilvl="0" w:tentative="0">
      <w:start w:val="1"/>
      <w:numFmt w:val="decimal"/>
      <w:suff w:val="nothing"/>
      <w:lvlText w:val="%1．"/>
      <w:lvlJc w:val="left"/>
      <w:pPr>
        <w:ind w:left="0" w:firstLine="400"/>
      </w:pPr>
      <w:rPr>
        <w:rFonts w:hint="default"/>
      </w:rPr>
    </w:lvl>
  </w:abstractNum>
  <w:abstractNum w:abstractNumId="66">
    <w:nsid w:val="649D73EE"/>
    <w:multiLevelType w:val="singleLevel"/>
    <w:tmpl w:val="649D73EE"/>
    <w:lvl w:ilvl="0" w:tentative="0">
      <w:start w:val="1"/>
      <w:numFmt w:val="chineseCounting"/>
      <w:suff w:val="nothing"/>
      <w:lvlText w:val="%1、"/>
      <w:lvlJc w:val="left"/>
      <w:pPr>
        <w:ind w:left="0" w:firstLine="420"/>
      </w:pPr>
      <w:rPr>
        <w:rFonts w:hint="eastAsia"/>
      </w:rPr>
    </w:lvl>
  </w:abstractNum>
  <w:abstractNum w:abstractNumId="67">
    <w:nsid w:val="65723120"/>
    <w:multiLevelType w:val="singleLevel"/>
    <w:tmpl w:val="65723120"/>
    <w:lvl w:ilvl="0" w:tentative="0">
      <w:start w:val="1"/>
      <w:numFmt w:val="decimal"/>
      <w:suff w:val="nothing"/>
      <w:lvlText w:val="%1．"/>
      <w:lvlJc w:val="left"/>
      <w:pPr>
        <w:ind w:left="0" w:firstLine="400"/>
      </w:pPr>
      <w:rPr>
        <w:rFonts w:hint="default"/>
      </w:rPr>
    </w:lvl>
  </w:abstractNum>
  <w:abstractNum w:abstractNumId="68">
    <w:nsid w:val="6C03AF8B"/>
    <w:multiLevelType w:val="singleLevel"/>
    <w:tmpl w:val="6C03AF8B"/>
    <w:lvl w:ilvl="0" w:tentative="0">
      <w:start w:val="1"/>
      <w:numFmt w:val="decimal"/>
      <w:suff w:val="nothing"/>
      <w:lvlText w:val="%1．"/>
      <w:lvlJc w:val="left"/>
      <w:pPr>
        <w:ind w:left="0" w:firstLine="400"/>
      </w:pPr>
      <w:rPr>
        <w:rFonts w:hint="default"/>
      </w:rPr>
    </w:lvl>
  </w:abstractNum>
  <w:abstractNum w:abstractNumId="69">
    <w:nsid w:val="6E849273"/>
    <w:multiLevelType w:val="singleLevel"/>
    <w:tmpl w:val="6E849273"/>
    <w:lvl w:ilvl="0" w:tentative="0">
      <w:start w:val="1"/>
      <w:numFmt w:val="decimal"/>
      <w:lvlText w:val="%1."/>
      <w:lvlJc w:val="left"/>
      <w:pPr>
        <w:ind w:left="425" w:hanging="425"/>
      </w:pPr>
      <w:rPr>
        <w:rFonts w:hint="default"/>
      </w:rPr>
    </w:lvl>
  </w:abstractNum>
  <w:abstractNum w:abstractNumId="70">
    <w:nsid w:val="719A0F47"/>
    <w:multiLevelType w:val="singleLevel"/>
    <w:tmpl w:val="719A0F47"/>
    <w:lvl w:ilvl="0" w:tentative="0">
      <w:start w:val="1"/>
      <w:numFmt w:val="decimal"/>
      <w:suff w:val="nothing"/>
      <w:lvlText w:val="%1．"/>
      <w:lvlJc w:val="left"/>
      <w:pPr>
        <w:ind w:left="0" w:firstLine="400"/>
      </w:pPr>
      <w:rPr>
        <w:rFonts w:hint="default"/>
      </w:rPr>
    </w:lvl>
  </w:abstractNum>
  <w:abstractNum w:abstractNumId="71">
    <w:nsid w:val="7973B061"/>
    <w:multiLevelType w:val="singleLevel"/>
    <w:tmpl w:val="7973B061"/>
    <w:lvl w:ilvl="0" w:tentative="0">
      <w:start w:val="1"/>
      <w:numFmt w:val="decimalEnclosedCircleChinese"/>
      <w:suff w:val="nothing"/>
      <w:lvlText w:val="%1　"/>
      <w:lvlJc w:val="left"/>
      <w:pPr>
        <w:ind w:left="0" w:firstLine="400"/>
      </w:pPr>
      <w:rPr>
        <w:rFonts w:hint="eastAsia"/>
      </w:rPr>
    </w:lvl>
  </w:abstractNum>
  <w:abstractNum w:abstractNumId="72">
    <w:nsid w:val="7DC69414"/>
    <w:multiLevelType w:val="singleLevel"/>
    <w:tmpl w:val="7DC69414"/>
    <w:lvl w:ilvl="0" w:tentative="0">
      <w:start w:val="1"/>
      <w:numFmt w:val="decimalEnclosedCircleChinese"/>
      <w:suff w:val="nothing"/>
      <w:lvlText w:val="%1　"/>
      <w:lvlJc w:val="left"/>
      <w:pPr>
        <w:ind w:left="0" w:firstLine="400"/>
      </w:pPr>
      <w:rPr>
        <w:rFonts w:hint="eastAsia"/>
      </w:rPr>
    </w:lvl>
  </w:abstractNum>
  <w:num w:numId="1">
    <w:abstractNumId w:val="7"/>
  </w:num>
  <w:num w:numId="2">
    <w:abstractNumId w:val="44"/>
  </w:num>
  <w:num w:numId="3">
    <w:abstractNumId w:val="61"/>
  </w:num>
  <w:num w:numId="4">
    <w:abstractNumId w:val="70"/>
  </w:num>
  <w:num w:numId="5">
    <w:abstractNumId w:val="13"/>
  </w:num>
  <w:num w:numId="6">
    <w:abstractNumId w:val="16"/>
  </w:num>
  <w:num w:numId="7">
    <w:abstractNumId w:val="8"/>
  </w:num>
  <w:num w:numId="8">
    <w:abstractNumId w:val="31"/>
  </w:num>
  <w:num w:numId="9">
    <w:abstractNumId w:val="32"/>
  </w:num>
  <w:num w:numId="10">
    <w:abstractNumId w:val="11"/>
  </w:num>
  <w:num w:numId="11">
    <w:abstractNumId w:val="3"/>
  </w:num>
  <w:num w:numId="12">
    <w:abstractNumId w:val="68"/>
  </w:num>
  <w:num w:numId="13">
    <w:abstractNumId w:val="65"/>
  </w:num>
  <w:num w:numId="14">
    <w:abstractNumId w:val="47"/>
  </w:num>
  <w:num w:numId="15">
    <w:abstractNumId w:val="17"/>
  </w:num>
  <w:num w:numId="16">
    <w:abstractNumId w:val="39"/>
  </w:num>
  <w:num w:numId="17">
    <w:abstractNumId w:val="62"/>
  </w:num>
  <w:num w:numId="18">
    <w:abstractNumId w:val="21"/>
  </w:num>
  <w:num w:numId="19">
    <w:abstractNumId w:val="22"/>
  </w:num>
  <w:num w:numId="20">
    <w:abstractNumId w:val="71"/>
  </w:num>
  <w:num w:numId="21">
    <w:abstractNumId w:val="1"/>
  </w:num>
  <w:num w:numId="22">
    <w:abstractNumId w:val="24"/>
  </w:num>
  <w:num w:numId="23">
    <w:abstractNumId w:val="49"/>
  </w:num>
  <w:num w:numId="24">
    <w:abstractNumId w:val="26"/>
  </w:num>
  <w:num w:numId="25">
    <w:abstractNumId w:val="53"/>
  </w:num>
  <w:num w:numId="26">
    <w:abstractNumId w:val="35"/>
  </w:num>
  <w:num w:numId="27">
    <w:abstractNumId w:val="18"/>
  </w:num>
  <w:num w:numId="28">
    <w:abstractNumId w:val="19"/>
  </w:num>
  <w:num w:numId="29">
    <w:abstractNumId w:val="72"/>
  </w:num>
  <w:num w:numId="30">
    <w:abstractNumId w:val="45"/>
  </w:num>
  <w:num w:numId="31">
    <w:abstractNumId w:val="6"/>
  </w:num>
  <w:num w:numId="32">
    <w:abstractNumId w:val="12"/>
  </w:num>
  <w:num w:numId="33">
    <w:abstractNumId w:val="27"/>
  </w:num>
  <w:num w:numId="34">
    <w:abstractNumId w:val="20"/>
  </w:num>
  <w:num w:numId="35">
    <w:abstractNumId w:val="37"/>
  </w:num>
  <w:num w:numId="36">
    <w:abstractNumId w:val="46"/>
  </w:num>
  <w:num w:numId="37">
    <w:abstractNumId w:val="58"/>
  </w:num>
  <w:num w:numId="38">
    <w:abstractNumId w:val="23"/>
  </w:num>
  <w:num w:numId="39">
    <w:abstractNumId w:val="57"/>
  </w:num>
  <w:num w:numId="40">
    <w:abstractNumId w:val="56"/>
  </w:num>
  <w:num w:numId="41">
    <w:abstractNumId w:val="43"/>
  </w:num>
  <w:num w:numId="42">
    <w:abstractNumId w:val="4"/>
  </w:num>
  <w:num w:numId="43">
    <w:abstractNumId w:val="54"/>
  </w:num>
  <w:num w:numId="44">
    <w:abstractNumId w:val="5"/>
  </w:num>
  <w:num w:numId="45">
    <w:abstractNumId w:val="9"/>
  </w:num>
  <w:num w:numId="46">
    <w:abstractNumId w:val="59"/>
  </w:num>
  <w:num w:numId="47">
    <w:abstractNumId w:val="38"/>
  </w:num>
  <w:num w:numId="48">
    <w:abstractNumId w:val="51"/>
  </w:num>
  <w:num w:numId="49">
    <w:abstractNumId w:val="14"/>
  </w:num>
  <w:num w:numId="50">
    <w:abstractNumId w:val="15"/>
  </w:num>
  <w:num w:numId="51">
    <w:abstractNumId w:val="0"/>
  </w:num>
  <w:num w:numId="52">
    <w:abstractNumId w:val="52"/>
  </w:num>
  <w:num w:numId="53">
    <w:abstractNumId w:val="25"/>
  </w:num>
  <w:num w:numId="54">
    <w:abstractNumId w:val="66"/>
  </w:num>
  <w:num w:numId="55">
    <w:abstractNumId w:val="64"/>
  </w:num>
  <w:num w:numId="56">
    <w:abstractNumId w:val="55"/>
  </w:num>
  <w:num w:numId="57">
    <w:abstractNumId w:val="63"/>
  </w:num>
  <w:num w:numId="58">
    <w:abstractNumId w:val="30"/>
  </w:num>
  <w:num w:numId="59">
    <w:abstractNumId w:val="2"/>
  </w:num>
  <w:num w:numId="60">
    <w:abstractNumId w:val="67"/>
  </w:num>
  <w:num w:numId="61">
    <w:abstractNumId w:val="29"/>
  </w:num>
  <w:num w:numId="62">
    <w:abstractNumId w:val="28"/>
  </w:num>
  <w:num w:numId="63">
    <w:abstractNumId w:val="36"/>
  </w:num>
  <w:num w:numId="64">
    <w:abstractNumId w:val="34"/>
  </w:num>
  <w:num w:numId="65">
    <w:abstractNumId w:val="33"/>
  </w:num>
  <w:num w:numId="66">
    <w:abstractNumId w:val="41"/>
  </w:num>
  <w:num w:numId="67">
    <w:abstractNumId w:val="10"/>
  </w:num>
  <w:num w:numId="68">
    <w:abstractNumId w:val="40"/>
  </w:num>
  <w:num w:numId="69">
    <w:abstractNumId w:val="69"/>
  </w:num>
  <w:num w:numId="70">
    <w:abstractNumId w:val="42"/>
  </w:num>
  <w:num w:numId="71">
    <w:abstractNumId w:val="50"/>
  </w:num>
  <w:num w:numId="72">
    <w:abstractNumId w:val="48"/>
  </w:num>
  <w:num w:numId="73">
    <w:abstractNumId w:val="6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TrueTypeFonts/>
  <w:saveSubset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hdrShapeDefaults>
    <o:shapelayout v:ext="edit">
      <o:idmap v:ext="edit" data="3,4"/>
    </o:shapelayout>
  </w:hdrShapeDefaults>
  <w:footnotePr>
    <w:footnote w:id="8"/>
    <w:footnote w:id="9"/>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A27"/>
    <w:rsid w:val="00011782"/>
    <w:rsid w:val="00014875"/>
    <w:rsid w:val="00020464"/>
    <w:rsid w:val="00036304"/>
    <w:rsid w:val="00051AF2"/>
    <w:rsid w:val="000854D7"/>
    <w:rsid w:val="00160377"/>
    <w:rsid w:val="001637E5"/>
    <w:rsid w:val="00246A3B"/>
    <w:rsid w:val="00266966"/>
    <w:rsid w:val="00277D76"/>
    <w:rsid w:val="002D340A"/>
    <w:rsid w:val="00310567"/>
    <w:rsid w:val="003263CE"/>
    <w:rsid w:val="003A131C"/>
    <w:rsid w:val="003A779F"/>
    <w:rsid w:val="003E7B73"/>
    <w:rsid w:val="00407ACF"/>
    <w:rsid w:val="00416ECF"/>
    <w:rsid w:val="0043792E"/>
    <w:rsid w:val="004A5690"/>
    <w:rsid w:val="004B4943"/>
    <w:rsid w:val="004C79D4"/>
    <w:rsid w:val="004D39B3"/>
    <w:rsid w:val="004F62B0"/>
    <w:rsid w:val="00565208"/>
    <w:rsid w:val="00582409"/>
    <w:rsid w:val="005E563F"/>
    <w:rsid w:val="005F05B2"/>
    <w:rsid w:val="006651A0"/>
    <w:rsid w:val="00671266"/>
    <w:rsid w:val="00694D8C"/>
    <w:rsid w:val="006B77BF"/>
    <w:rsid w:val="0074171A"/>
    <w:rsid w:val="007417B9"/>
    <w:rsid w:val="00742372"/>
    <w:rsid w:val="00746366"/>
    <w:rsid w:val="00755B00"/>
    <w:rsid w:val="00771924"/>
    <w:rsid w:val="007C28D4"/>
    <w:rsid w:val="007E3D1F"/>
    <w:rsid w:val="00867A18"/>
    <w:rsid w:val="00871E28"/>
    <w:rsid w:val="00872F0B"/>
    <w:rsid w:val="00875B0E"/>
    <w:rsid w:val="0088594D"/>
    <w:rsid w:val="008B15BC"/>
    <w:rsid w:val="008F4013"/>
    <w:rsid w:val="0093016B"/>
    <w:rsid w:val="009601D0"/>
    <w:rsid w:val="00991927"/>
    <w:rsid w:val="009C61E5"/>
    <w:rsid w:val="00A1221D"/>
    <w:rsid w:val="00A52D6A"/>
    <w:rsid w:val="00A542EF"/>
    <w:rsid w:val="00A86104"/>
    <w:rsid w:val="00AA17EE"/>
    <w:rsid w:val="00AA395A"/>
    <w:rsid w:val="00AB1853"/>
    <w:rsid w:val="00AB474C"/>
    <w:rsid w:val="00B0390B"/>
    <w:rsid w:val="00B424F7"/>
    <w:rsid w:val="00B43BB1"/>
    <w:rsid w:val="00BA662C"/>
    <w:rsid w:val="00C8525D"/>
    <w:rsid w:val="00CA42F4"/>
    <w:rsid w:val="00CA4565"/>
    <w:rsid w:val="00CA6A98"/>
    <w:rsid w:val="00CB6B36"/>
    <w:rsid w:val="00CF2B64"/>
    <w:rsid w:val="00D46C0C"/>
    <w:rsid w:val="00D747BD"/>
    <w:rsid w:val="00D9467E"/>
    <w:rsid w:val="00E00546"/>
    <w:rsid w:val="00E1362D"/>
    <w:rsid w:val="00E14EE1"/>
    <w:rsid w:val="00E322C3"/>
    <w:rsid w:val="00E35888"/>
    <w:rsid w:val="00E42952"/>
    <w:rsid w:val="00E44E68"/>
    <w:rsid w:val="00E668AC"/>
    <w:rsid w:val="00E92452"/>
    <w:rsid w:val="00EB09CE"/>
    <w:rsid w:val="00EB6DDA"/>
    <w:rsid w:val="00F34DBD"/>
    <w:rsid w:val="00F67F3D"/>
    <w:rsid w:val="00F93AD4"/>
    <w:rsid w:val="00FF5DA5"/>
    <w:rsid w:val="01023FE7"/>
    <w:rsid w:val="01034F62"/>
    <w:rsid w:val="010953FE"/>
    <w:rsid w:val="010A30D7"/>
    <w:rsid w:val="010C60AD"/>
    <w:rsid w:val="010D3023"/>
    <w:rsid w:val="010E365B"/>
    <w:rsid w:val="010E4F1E"/>
    <w:rsid w:val="01117568"/>
    <w:rsid w:val="01124AE3"/>
    <w:rsid w:val="011531E1"/>
    <w:rsid w:val="0116671A"/>
    <w:rsid w:val="0118285D"/>
    <w:rsid w:val="011B4FD0"/>
    <w:rsid w:val="011D661C"/>
    <w:rsid w:val="011F3909"/>
    <w:rsid w:val="0121185E"/>
    <w:rsid w:val="0122471B"/>
    <w:rsid w:val="01256224"/>
    <w:rsid w:val="01262EC9"/>
    <w:rsid w:val="012A12C8"/>
    <w:rsid w:val="012B13F1"/>
    <w:rsid w:val="012B4697"/>
    <w:rsid w:val="012B5113"/>
    <w:rsid w:val="012C2ADD"/>
    <w:rsid w:val="0130237C"/>
    <w:rsid w:val="01345BE5"/>
    <w:rsid w:val="0135168A"/>
    <w:rsid w:val="01370AAE"/>
    <w:rsid w:val="013A0563"/>
    <w:rsid w:val="013D3C1A"/>
    <w:rsid w:val="013E20C4"/>
    <w:rsid w:val="013F6932"/>
    <w:rsid w:val="01422133"/>
    <w:rsid w:val="014473F9"/>
    <w:rsid w:val="014A03C4"/>
    <w:rsid w:val="014E2267"/>
    <w:rsid w:val="015C5A08"/>
    <w:rsid w:val="015D0330"/>
    <w:rsid w:val="015D33B9"/>
    <w:rsid w:val="01616649"/>
    <w:rsid w:val="01644C14"/>
    <w:rsid w:val="016829DA"/>
    <w:rsid w:val="01686EC6"/>
    <w:rsid w:val="016A2641"/>
    <w:rsid w:val="016C1BDD"/>
    <w:rsid w:val="016C5EC5"/>
    <w:rsid w:val="016E0AD4"/>
    <w:rsid w:val="01712554"/>
    <w:rsid w:val="017B2319"/>
    <w:rsid w:val="017C3728"/>
    <w:rsid w:val="01844B95"/>
    <w:rsid w:val="0185182B"/>
    <w:rsid w:val="01855ED9"/>
    <w:rsid w:val="01864F0B"/>
    <w:rsid w:val="018B2511"/>
    <w:rsid w:val="019733A6"/>
    <w:rsid w:val="01977801"/>
    <w:rsid w:val="019B316D"/>
    <w:rsid w:val="019D4674"/>
    <w:rsid w:val="01A542AE"/>
    <w:rsid w:val="01A72D3A"/>
    <w:rsid w:val="01A77D05"/>
    <w:rsid w:val="01AF426F"/>
    <w:rsid w:val="01B155B2"/>
    <w:rsid w:val="01BA72D2"/>
    <w:rsid w:val="01BB2EB9"/>
    <w:rsid w:val="01BB6730"/>
    <w:rsid w:val="01C17936"/>
    <w:rsid w:val="01C23D35"/>
    <w:rsid w:val="01C3236E"/>
    <w:rsid w:val="01CB1A0B"/>
    <w:rsid w:val="01CD506A"/>
    <w:rsid w:val="01D7504C"/>
    <w:rsid w:val="01DC03C0"/>
    <w:rsid w:val="01DD6CD3"/>
    <w:rsid w:val="01DE797D"/>
    <w:rsid w:val="01E07DD7"/>
    <w:rsid w:val="01E2498A"/>
    <w:rsid w:val="01E516BD"/>
    <w:rsid w:val="01E96356"/>
    <w:rsid w:val="01EA70F7"/>
    <w:rsid w:val="01EE7C7F"/>
    <w:rsid w:val="01F3253C"/>
    <w:rsid w:val="01F635EC"/>
    <w:rsid w:val="01FE1991"/>
    <w:rsid w:val="01FE29E9"/>
    <w:rsid w:val="01FE7565"/>
    <w:rsid w:val="02005BAE"/>
    <w:rsid w:val="0208496F"/>
    <w:rsid w:val="020F41A6"/>
    <w:rsid w:val="020F7EB4"/>
    <w:rsid w:val="02111E48"/>
    <w:rsid w:val="02183A03"/>
    <w:rsid w:val="021A37EF"/>
    <w:rsid w:val="021B260B"/>
    <w:rsid w:val="021D2EF6"/>
    <w:rsid w:val="021F6CA1"/>
    <w:rsid w:val="02213B51"/>
    <w:rsid w:val="02215CF5"/>
    <w:rsid w:val="0222585A"/>
    <w:rsid w:val="02241D56"/>
    <w:rsid w:val="02266548"/>
    <w:rsid w:val="02277983"/>
    <w:rsid w:val="022D1876"/>
    <w:rsid w:val="022F76CF"/>
    <w:rsid w:val="02313DC4"/>
    <w:rsid w:val="02320BF4"/>
    <w:rsid w:val="0233021A"/>
    <w:rsid w:val="02383708"/>
    <w:rsid w:val="023E2796"/>
    <w:rsid w:val="023E6BAF"/>
    <w:rsid w:val="02403CE7"/>
    <w:rsid w:val="02421CDE"/>
    <w:rsid w:val="02430A6F"/>
    <w:rsid w:val="02431412"/>
    <w:rsid w:val="02447DBA"/>
    <w:rsid w:val="02450FF1"/>
    <w:rsid w:val="024734C1"/>
    <w:rsid w:val="02484D83"/>
    <w:rsid w:val="0249183E"/>
    <w:rsid w:val="024C566B"/>
    <w:rsid w:val="024E1C07"/>
    <w:rsid w:val="02574DE0"/>
    <w:rsid w:val="02574FEF"/>
    <w:rsid w:val="025D0251"/>
    <w:rsid w:val="025E5FDC"/>
    <w:rsid w:val="02612C67"/>
    <w:rsid w:val="026215EB"/>
    <w:rsid w:val="02680DF2"/>
    <w:rsid w:val="026915BF"/>
    <w:rsid w:val="02710C7A"/>
    <w:rsid w:val="02736A03"/>
    <w:rsid w:val="02737AB4"/>
    <w:rsid w:val="0279759A"/>
    <w:rsid w:val="027A4927"/>
    <w:rsid w:val="027C27A5"/>
    <w:rsid w:val="027F3F0D"/>
    <w:rsid w:val="02841DDF"/>
    <w:rsid w:val="02862F0F"/>
    <w:rsid w:val="02881D58"/>
    <w:rsid w:val="028A3C89"/>
    <w:rsid w:val="028A6B14"/>
    <w:rsid w:val="028D1C6D"/>
    <w:rsid w:val="028F2CED"/>
    <w:rsid w:val="029E1C80"/>
    <w:rsid w:val="02A200E2"/>
    <w:rsid w:val="02A25EDE"/>
    <w:rsid w:val="02A461A6"/>
    <w:rsid w:val="02A54DD4"/>
    <w:rsid w:val="02AC27DE"/>
    <w:rsid w:val="02B8024D"/>
    <w:rsid w:val="02B82EB3"/>
    <w:rsid w:val="02B864C2"/>
    <w:rsid w:val="02BA6B19"/>
    <w:rsid w:val="02BF5B18"/>
    <w:rsid w:val="02C024B2"/>
    <w:rsid w:val="02C34427"/>
    <w:rsid w:val="02C44770"/>
    <w:rsid w:val="02C70D00"/>
    <w:rsid w:val="02C87A2E"/>
    <w:rsid w:val="02CA4A0E"/>
    <w:rsid w:val="02CC0671"/>
    <w:rsid w:val="02DB26AE"/>
    <w:rsid w:val="02DB42CF"/>
    <w:rsid w:val="02E21027"/>
    <w:rsid w:val="02E26935"/>
    <w:rsid w:val="02E6794C"/>
    <w:rsid w:val="02EA24AB"/>
    <w:rsid w:val="02EA6DB0"/>
    <w:rsid w:val="02EB050B"/>
    <w:rsid w:val="02F02021"/>
    <w:rsid w:val="02F111C8"/>
    <w:rsid w:val="02F201E6"/>
    <w:rsid w:val="02F43E3D"/>
    <w:rsid w:val="02F72581"/>
    <w:rsid w:val="02FA043A"/>
    <w:rsid w:val="02FC4701"/>
    <w:rsid w:val="02FC56A5"/>
    <w:rsid w:val="0300610F"/>
    <w:rsid w:val="03011C30"/>
    <w:rsid w:val="030212BE"/>
    <w:rsid w:val="03075FCD"/>
    <w:rsid w:val="030963BB"/>
    <w:rsid w:val="030A6E1C"/>
    <w:rsid w:val="030B1178"/>
    <w:rsid w:val="030D3A14"/>
    <w:rsid w:val="030E1730"/>
    <w:rsid w:val="030E5162"/>
    <w:rsid w:val="03163090"/>
    <w:rsid w:val="03172E69"/>
    <w:rsid w:val="031B082D"/>
    <w:rsid w:val="031E2EC9"/>
    <w:rsid w:val="031E6493"/>
    <w:rsid w:val="031E7914"/>
    <w:rsid w:val="03204080"/>
    <w:rsid w:val="0325648E"/>
    <w:rsid w:val="032A6E78"/>
    <w:rsid w:val="0331777C"/>
    <w:rsid w:val="0336669B"/>
    <w:rsid w:val="0339389E"/>
    <w:rsid w:val="033C0B22"/>
    <w:rsid w:val="033F27F9"/>
    <w:rsid w:val="033F4FD1"/>
    <w:rsid w:val="03423B1F"/>
    <w:rsid w:val="034246B1"/>
    <w:rsid w:val="03432190"/>
    <w:rsid w:val="0344592B"/>
    <w:rsid w:val="03457426"/>
    <w:rsid w:val="03484F92"/>
    <w:rsid w:val="034C6AB5"/>
    <w:rsid w:val="034D3BE1"/>
    <w:rsid w:val="03503C9C"/>
    <w:rsid w:val="03506341"/>
    <w:rsid w:val="035A26DF"/>
    <w:rsid w:val="03642BC7"/>
    <w:rsid w:val="036B73EF"/>
    <w:rsid w:val="036C7041"/>
    <w:rsid w:val="036F5BAF"/>
    <w:rsid w:val="0372530C"/>
    <w:rsid w:val="037672B3"/>
    <w:rsid w:val="0379709E"/>
    <w:rsid w:val="037F603F"/>
    <w:rsid w:val="03806DF3"/>
    <w:rsid w:val="03825AB5"/>
    <w:rsid w:val="03827AE4"/>
    <w:rsid w:val="03847805"/>
    <w:rsid w:val="038666A8"/>
    <w:rsid w:val="038939F6"/>
    <w:rsid w:val="038978B9"/>
    <w:rsid w:val="038A12B9"/>
    <w:rsid w:val="038C26C9"/>
    <w:rsid w:val="038C3CD2"/>
    <w:rsid w:val="038F4EBA"/>
    <w:rsid w:val="039027A1"/>
    <w:rsid w:val="039238D3"/>
    <w:rsid w:val="03937B4A"/>
    <w:rsid w:val="03963B7A"/>
    <w:rsid w:val="039A1150"/>
    <w:rsid w:val="039A1202"/>
    <w:rsid w:val="039B0E3E"/>
    <w:rsid w:val="039E0CB8"/>
    <w:rsid w:val="03A153C6"/>
    <w:rsid w:val="03A4335C"/>
    <w:rsid w:val="03A5230F"/>
    <w:rsid w:val="03A651FF"/>
    <w:rsid w:val="03AE1CB9"/>
    <w:rsid w:val="03AF2014"/>
    <w:rsid w:val="03B21E39"/>
    <w:rsid w:val="03B7216D"/>
    <w:rsid w:val="03B90955"/>
    <w:rsid w:val="03B909E8"/>
    <w:rsid w:val="03BB4B75"/>
    <w:rsid w:val="03C46C8E"/>
    <w:rsid w:val="03C96998"/>
    <w:rsid w:val="03CE3A9F"/>
    <w:rsid w:val="03CF09A5"/>
    <w:rsid w:val="03D13614"/>
    <w:rsid w:val="03D20C16"/>
    <w:rsid w:val="03D234D5"/>
    <w:rsid w:val="03D329C3"/>
    <w:rsid w:val="03D903B9"/>
    <w:rsid w:val="03E12831"/>
    <w:rsid w:val="03E238C1"/>
    <w:rsid w:val="03E607F5"/>
    <w:rsid w:val="03E641A5"/>
    <w:rsid w:val="03E67B8C"/>
    <w:rsid w:val="03E71A4B"/>
    <w:rsid w:val="03EC1972"/>
    <w:rsid w:val="03EF2678"/>
    <w:rsid w:val="03F21A97"/>
    <w:rsid w:val="03F430F8"/>
    <w:rsid w:val="03F87F01"/>
    <w:rsid w:val="03F93499"/>
    <w:rsid w:val="03FD74FB"/>
    <w:rsid w:val="04001C88"/>
    <w:rsid w:val="04046EE8"/>
    <w:rsid w:val="040E1D69"/>
    <w:rsid w:val="040E4D29"/>
    <w:rsid w:val="04182525"/>
    <w:rsid w:val="041A3362"/>
    <w:rsid w:val="041E4993"/>
    <w:rsid w:val="041F7ECE"/>
    <w:rsid w:val="04203167"/>
    <w:rsid w:val="042455DB"/>
    <w:rsid w:val="042B70F8"/>
    <w:rsid w:val="0434086F"/>
    <w:rsid w:val="04356256"/>
    <w:rsid w:val="043657DD"/>
    <w:rsid w:val="04380DFB"/>
    <w:rsid w:val="043D13C2"/>
    <w:rsid w:val="043F20F7"/>
    <w:rsid w:val="04447598"/>
    <w:rsid w:val="04452826"/>
    <w:rsid w:val="04454207"/>
    <w:rsid w:val="04460103"/>
    <w:rsid w:val="04494E62"/>
    <w:rsid w:val="044A606C"/>
    <w:rsid w:val="044D0CB6"/>
    <w:rsid w:val="044D7101"/>
    <w:rsid w:val="044F51F2"/>
    <w:rsid w:val="04510393"/>
    <w:rsid w:val="04536A19"/>
    <w:rsid w:val="045666A0"/>
    <w:rsid w:val="04576D79"/>
    <w:rsid w:val="045B41D0"/>
    <w:rsid w:val="045D7E2F"/>
    <w:rsid w:val="045F0CF2"/>
    <w:rsid w:val="04605855"/>
    <w:rsid w:val="04635DD8"/>
    <w:rsid w:val="04641531"/>
    <w:rsid w:val="0465078F"/>
    <w:rsid w:val="0466678E"/>
    <w:rsid w:val="046D207D"/>
    <w:rsid w:val="046D31C1"/>
    <w:rsid w:val="046F3E79"/>
    <w:rsid w:val="04722DE2"/>
    <w:rsid w:val="047263D9"/>
    <w:rsid w:val="04735D9A"/>
    <w:rsid w:val="0474067A"/>
    <w:rsid w:val="04760CD2"/>
    <w:rsid w:val="04776047"/>
    <w:rsid w:val="047A1B61"/>
    <w:rsid w:val="047B51DC"/>
    <w:rsid w:val="047D5B39"/>
    <w:rsid w:val="047E64F2"/>
    <w:rsid w:val="047F430C"/>
    <w:rsid w:val="04860817"/>
    <w:rsid w:val="048909DC"/>
    <w:rsid w:val="048A3D46"/>
    <w:rsid w:val="048E3FFB"/>
    <w:rsid w:val="04903468"/>
    <w:rsid w:val="04904825"/>
    <w:rsid w:val="0492648F"/>
    <w:rsid w:val="049426E9"/>
    <w:rsid w:val="04961883"/>
    <w:rsid w:val="04977198"/>
    <w:rsid w:val="049971FD"/>
    <w:rsid w:val="049A4E13"/>
    <w:rsid w:val="049C41C3"/>
    <w:rsid w:val="049E184E"/>
    <w:rsid w:val="04AC002C"/>
    <w:rsid w:val="04AD2D73"/>
    <w:rsid w:val="04AD75B2"/>
    <w:rsid w:val="04AF1FDB"/>
    <w:rsid w:val="04B72883"/>
    <w:rsid w:val="04B73712"/>
    <w:rsid w:val="04B91873"/>
    <w:rsid w:val="04BA633F"/>
    <w:rsid w:val="04BB16FB"/>
    <w:rsid w:val="04BB3C74"/>
    <w:rsid w:val="04BE3184"/>
    <w:rsid w:val="04BE4599"/>
    <w:rsid w:val="04C53AFC"/>
    <w:rsid w:val="04C56B9C"/>
    <w:rsid w:val="04CA7613"/>
    <w:rsid w:val="04CD72D7"/>
    <w:rsid w:val="04D17D5E"/>
    <w:rsid w:val="04D51196"/>
    <w:rsid w:val="04D64790"/>
    <w:rsid w:val="04D91F4C"/>
    <w:rsid w:val="04D94EC7"/>
    <w:rsid w:val="04DA6B04"/>
    <w:rsid w:val="04DA7EEA"/>
    <w:rsid w:val="04DD1BD3"/>
    <w:rsid w:val="04DD1CC0"/>
    <w:rsid w:val="04DD2B3A"/>
    <w:rsid w:val="04E208B3"/>
    <w:rsid w:val="04E6750F"/>
    <w:rsid w:val="04EB251F"/>
    <w:rsid w:val="04F87266"/>
    <w:rsid w:val="04FB2154"/>
    <w:rsid w:val="04FF3D8E"/>
    <w:rsid w:val="05010EC7"/>
    <w:rsid w:val="0501215E"/>
    <w:rsid w:val="050248F0"/>
    <w:rsid w:val="05045121"/>
    <w:rsid w:val="0507596E"/>
    <w:rsid w:val="05085C7D"/>
    <w:rsid w:val="05123F61"/>
    <w:rsid w:val="05191DAB"/>
    <w:rsid w:val="05194562"/>
    <w:rsid w:val="051A77C2"/>
    <w:rsid w:val="051D03B3"/>
    <w:rsid w:val="051D6A10"/>
    <w:rsid w:val="05244503"/>
    <w:rsid w:val="052D3D17"/>
    <w:rsid w:val="052E7E7B"/>
    <w:rsid w:val="053300EE"/>
    <w:rsid w:val="053A50A3"/>
    <w:rsid w:val="053E46AB"/>
    <w:rsid w:val="05431BAD"/>
    <w:rsid w:val="05446377"/>
    <w:rsid w:val="054844F6"/>
    <w:rsid w:val="05496BF0"/>
    <w:rsid w:val="054B25F9"/>
    <w:rsid w:val="05536990"/>
    <w:rsid w:val="05540CF7"/>
    <w:rsid w:val="05566FB9"/>
    <w:rsid w:val="055C69F3"/>
    <w:rsid w:val="05612B5F"/>
    <w:rsid w:val="05665D43"/>
    <w:rsid w:val="05670373"/>
    <w:rsid w:val="05671FAF"/>
    <w:rsid w:val="05685108"/>
    <w:rsid w:val="05692EF8"/>
    <w:rsid w:val="056935DD"/>
    <w:rsid w:val="056A0118"/>
    <w:rsid w:val="056A3686"/>
    <w:rsid w:val="056B391F"/>
    <w:rsid w:val="05706A2F"/>
    <w:rsid w:val="05722A6F"/>
    <w:rsid w:val="05725711"/>
    <w:rsid w:val="05726162"/>
    <w:rsid w:val="05740E9A"/>
    <w:rsid w:val="05777702"/>
    <w:rsid w:val="05782561"/>
    <w:rsid w:val="0579630D"/>
    <w:rsid w:val="057D1207"/>
    <w:rsid w:val="057E3DB3"/>
    <w:rsid w:val="05856BC3"/>
    <w:rsid w:val="05865B3B"/>
    <w:rsid w:val="058D0B4E"/>
    <w:rsid w:val="058D2683"/>
    <w:rsid w:val="05930167"/>
    <w:rsid w:val="0593672D"/>
    <w:rsid w:val="059861B1"/>
    <w:rsid w:val="0599752C"/>
    <w:rsid w:val="059A206C"/>
    <w:rsid w:val="059A5414"/>
    <w:rsid w:val="059C1A6F"/>
    <w:rsid w:val="05A05656"/>
    <w:rsid w:val="05A070C5"/>
    <w:rsid w:val="05A91CD3"/>
    <w:rsid w:val="05AE4FC1"/>
    <w:rsid w:val="05AF2837"/>
    <w:rsid w:val="05B07752"/>
    <w:rsid w:val="05B50B60"/>
    <w:rsid w:val="05B5256D"/>
    <w:rsid w:val="05B74941"/>
    <w:rsid w:val="05B90598"/>
    <w:rsid w:val="05B921B8"/>
    <w:rsid w:val="05B92E55"/>
    <w:rsid w:val="05C5464B"/>
    <w:rsid w:val="05C575BE"/>
    <w:rsid w:val="05CC44F2"/>
    <w:rsid w:val="05CD62E5"/>
    <w:rsid w:val="05CE4FC8"/>
    <w:rsid w:val="05CE6EAC"/>
    <w:rsid w:val="05CF537D"/>
    <w:rsid w:val="05D51311"/>
    <w:rsid w:val="05D562EF"/>
    <w:rsid w:val="05DD3CB5"/>
    <w:rsid w:val="05E2331E"/>
    <w:rsid w:val="05E309E6"/>
    <w:rsid w:val="05E43A7E"/>
    <w:rsid w:val="05E5537C"/>
    <w:rsid w:val="05E6537A"/>
    <w:rsid w:val="05EB03A2"/>
    <w:rsid w:val="05F04AB8"/>
    <w:rsid w:val="05F3069A"/>
    <w:rsid w:val="05F40777"/>
    <w:rsid w:val="05FB0668"/>
    <w:rsid w:val="05FB27D0"/>
    <w:rsid w:val="05FE0CE7"/>
    <w:rsid w:val="06016D8C"/>
    <w:rsid w:val="060406AF"/>
    <w:rsid w:val="06041004"/>
    <w:rsid w:val="0605743E"/>
    <w:rsid w:val="06063068"/>
    <w:rsid w:val="06072122"/>
    <w:rsid w:val="060863F5"/>
    <w:rsid w:val="060A156C"/>
    <w:rsid w:val="060C1B30"/>
    <w:rsid w:val="060E4650"/>
    <w:rsid w:val="060F351A"/>
    <w:rsid w:val="060F4470"/>
    <w:rsid w:val="060F625B"/>
    <w:rsid w:val="0610030B"/>
    <w:rsid w:val="06114264"/>
    <w:rsid w:val="061257F3"/>
    <w:rsid w:val="06151342"/>
    <w:rsid w:val="061556B8"/>
    <w:rsid w:val="06171FE5"/>
    <w:rsid w:val="061773AB"/>
    <w:rsid w:val="061C5BB9"/>
    <w:rsid w:val="061D3E78"/>
    <w:rsid w:val="061E4DEE"/>
    <w:rsid w:val="061F72C4"/>
    <w:rsid w:val="06201F92"/>
    <w:rsid w:val="06225A6C"/>
    <w:rsid w:val="062C7898"/>
    <w:rsid w:val="0636749A"/>
    <w:rsid w:val="06390A23"/>
    <w:rsid w:val="063E28ED"/>
    <w:rsid w:val="064137FC"/>
    <w:rsid w:val="064225C0"/>
    <w:rsid w:val="06443BDF"/>
    <w:rsid w:val="06452C31"/>
    <w:rsid w:val="064957AB"/>
    <w:rsid w:val="064A1A6E"/>
    <w:rsid w:val="064B2591"/>
    <w:rsid w:val="064C13B8"/>
    <w:rsid w:val="06537F3F"/>
    <w:rsid w:val="065A6E8F"/>
    <w:rsid w:val="065C4D3D"/>
    <w:rsid w:val="065E2CC6"/>
    <w:rsid w:val="0666547D"/>
    <w:rsid w:val="066842D0"/>
    <w:rsid w:val="066B4135"/>
    <w:rsid w:val="066E2A49"/>
    <w:rsid w:val="06791457"/>
    <w:rsid w:val="067927FC"/>
    <w:rsid w:val="067E75A6"/>
    <w:rsid w:val="0684028A"/>
    <w:rsid w:val="06852820"/>
    <w:rsid w:val="06857C21"/>
    <w:rsid w:val="06865CD6"/>
    <w:rsid w:val="06893C43"/>
    <w:rsid w:val="0690735A"/>
    <w:rsid w:val="06946809"/>
    <w:rsid w:val="06964FE7"/>
    <w:rsid w:val="0697090E"/>
    <w:rsid w:val="069755AF"/>
    <w:rsid w:val="0699081D"/>
    <w:rsid w:val="06A03080"/>
    <w:rsid w:val="06A1109B"/>
    <w:rsid w:val="06A20D80"/>
    <w:rsid w:val="06A22C50"/>
    <w:rsid w:val="06A37280"/>
    <w:rsid w:val="06A41FCB"/>
    <w:rsid w:val="06A602E7"/>
    <w:rsid w:val="06A61E45"/>
    <w:rsid w:val="06A72F0F"/>
    <w:rsid w:val="06AD549B"/>
    <w:rsid w:val="06B74F2E"/>
    <w:rsid w:val="06BA08A5"/>
    <w:rsid w:val="06BB0A12"/>
    <w:rsid w:val="06BB4BEE"/>
    <w:rsid w:val="06BD0992"/>
    <w:rsid w:val="06C04AE9"/>
    <w:rsid w:val="06C256CF"/>
    <w:rsid w:val="06C31175"/>
    <w:rsid w:val="06C453E6"/>
    <w:rsid w:val="06C859AE"/>
    <w:rsid w:val="06C872E1"/>
    <w:rsid w:val="06C91EED"/>
    <w:rsid w:val="06CA5A26"/>
    <w:rsid w:val="06D24391"/>
    <w:rsid w:val="06D34586"/>
    <w:rsid w:val="06D6247A"/>
    <w:rsid w:val="06DA724B"/>
    <w:rsid w:val="06E1532A"/>
    <w:rsid w:val="06E15C35"/>
    <w:rsid w:val="06E4713E"/>
    <w:rsid w:val="06E716AA"/>
    <w:rsid w:val="06EC6DE4"/>
    <w:rsid w:val="06ED05EB"/>
    <w:rsid w:val="06EE48DB"/>
    <w:rsid w:val="06EE7AFD"/>
    <w:rsid w:val="06F266AA"/>
    <w:rsid w:val="06F45532"/>
    <w:rsid w:val="06F73806"/>
    <w:rsid w:val="06FB5470"/>
    <w:rsid w:val="06FE77D6"/>
    <w:rsid w:val="070A2DC6"/>
    <w:rsid w:val="070D366B"/>
    <w:rsid w:val="070E4C34"/>
    <w:rsid w:val="07126C14"/>
    <w:rsid w:val="07144271"/>
    <w:rsid w:val="07167D1C"/>
    <w:rsid w:val="071902A6"/>
    <w:rsid w:val="071967BA"/>
    <w:rsid w:val="071C0A89"/>
    <w:rsid w:val="071C5979"/>
    <w:rsid w:val="071E1DF0"/>
    <w:rsid w:val="071F0E01"/>
    <w:rsid w:val="071F60D4"/>
    <w:rsid w:val="07206DA4"/>
    <w:rsid w:val="072266B9"/>
    <w:rsid w:val="07284573"/>
    <w:rsid w:val="072A0841"/>
    <w:rsid w:val="07345165"/>
    <w:rsid w:val="073662A9"/>
    <w:rsid w:val="07375C4A"/>
    <w:rsid w:val="073C2AF5"/>
    <w:rsid w:val="07410A0C"/>
    <w:rsid w:val="07444E55"/>
    <w:rsid w:val="074C2F75"/>
    <w:rsid w:val="074D3D03"/>
    <w:rsid w:val="074F54CD"/>
    <w:rsid w:val="074F6249"/>
    <w:rsid w:val="07504F72"/>
    <w:rsid w:val="07524A76"/>
    <w:rsid w:val="075466D7"/>
    <w:rsid w:val="07603078"/>
    <w:rsid w:val="07685A07"/>
    <w:rsid w:val="0770172D"/>
    <w:rsid w:val="077337AF"/>
    <w:rsid w:val="07734857"/>
    <w:rsid w:val="077557BB"/>
    <w:rsid w:val="077637F8"/>
    <w:rsid w:val="077B2F78"/>
    <w:rsid w:val="077C0DE6"/>
    <w:rsid w:val="07825181"/>
    <w:rsid w:val="07862A95"/>
    <w:rsid w:val="078B5973"/>
    <w:rsid w:val="078C2125"/>
    <w:rsid w:val="078E4737"/>
    <w:rsid w:val="07904DE7"/>
    <w:rsid w:val="07932D6C"/>
    <w:rsid w:val="07945D29"/>
    <w:rsid w:val="079875D7"/>
    <w:rsid w:val="079A21F6"/>
    <w:rsid w:val="079B28B1"/>
    <w:rsid w:val="079C7883"/>
    <w:rsid w:val="079E4BF9"/>
    <w:rsid w:val="07AA736B"/>
    <w:rsid w:val="07AE000B"/>
    <w:rsid w:val="07AF71FF"/>
    <w:rsid w:val="07B11B87"/>
    <w:rsid w:val="07B16551"/>
    <w:rsid w:val="07B17973"/>
    <w:rsid w:val="07B22946"/>
    <w:rsid w:val="07B65349"/>
    <w:rsid w:val="07B74EEF"/>
    <w:rsid w:val="07B97E9A"/>
    <w:rsid w:val="07BA5FAF"/>
    <w:rsid w:val="07BB77C7"/>
    <w:rsid w:val="07BE0400"/>
    <w:rsid w:val="07C01E5A"/>
    <w:rsid w:val="07C02405"/>
    <w:rsid w:val="07C1484B"/>
    <w:rsid w:val="07C16941"/>
    <w:rsid w:val="07CC2F38"/>
    <w:rsid w:val="07CC4B12"/>
    <w:rsid w:val="07CE0E39"/>
    <w:rsid w:val="07CE29A7"/>
    <w:rsid w:val="07CE5DEF"/>
    <w:rsid w:val="07D6247A"/>
    <w:rsid w:val="07E07388"/>
    <w:rsid w:val="07E14C1B"/>
    <w:rsid w:val="07E74A6E"/>
    <w:rsid w:val="07E76CEE"/>
    <w:rsid w:val="07F11DE6"/>
    <w:rsid w:val="07F72F11"/>
    <w:rsid w:val="07F74D36"/>
    <w:rsid w:val="08022DC0"/>
    <w:rsid w:val="08027019"/>
    <w:rsid w:val="08046C29"/>
    <w:rsid w:val="080825CB"/>
    <w:rsid w:val="08095A6B"/>
    <w:rsid w:val="080A301C"/>
    <w:rsid w:val="080C1EA0"/>
    <w:rsid w:val="080D165B"/>
    <w:rsid w:val="080E531A"/>
    <w:rsid w:val="08113EEC"/>
    <w:rsid w:val="08117662"/>
    <w:rsid w:val="08127AC7"/>
    <w:rsid w:val="081344E5"/>
    <w:rsid w:val="08142DAD"/>
    <w:rsid w:val="0818206C"/>
    <w:rsid w:val="081F1FE3"/>
    <w:rsid w:val="08202F88"/>
    <w:rsid w:val="08210273"/>
    <w:rsid w:val="082278ED"/>
    <w:rsid w:val="08246D9F"/>
    <w:rsid w:val="0829743B"/>
    <w:rsid w:val="08310492"/>
    <w:rsid w:val="08317DE6"/>
    <w:rsid w:val="083331A1"/>
    <w:rsid w:val="083427E5"/>
    <w:rsid w:val="08370EF9"/>
    <w:rsid w:val="08383E3C"/>
    <w:rsid w:val="083B1B0C"/>
    <w:rsid w:val="083F7950"/>
    <w:rsid w:val="084103AF"/>
    <w:rsid w:val="08421380"/>
    <w:rsid w:val="08425F94"/>
    <w:rsid w:val="08473B5A"/>
    <w:rsid w:val="084950D9"/>
    <w:rsid w:val="084B1F1F"/>
    <w:rsid w:val="08515AE9"/>
    <w:rsid w:val="08547729"/>
    <w:rsid w:val="08567B14"/>
    <w:rsid w:val="085E1C80"/>
    <w:rsid w:val="08611FBB"/>
    <w:rsid w:val="08612138"/>
    <w:rsid w:val="08617F55"/>
    <w:rsid w:val="08620E98"/>
    <w:rsid w:val="086608EB"/>
    <w:rsid w:val="086D4668"/>
    <w:rsid w:val="087036EF"/>
    <w:rsid w:val="08730BCF"/>
    <w:rsid w:val="0874737C"/>
    <w:rsid w:val="087549AE"/>
    <w:rsid w:val="08797B89"/>
    <w:rsid w:val="087E66ED"/>
    <w:rsid w:val="08826BF4"/>
    <w:rsid w:val="0883156B"/>
    <w:rsid w:val="08846F0D"/>
    <w:rsid w:val="088A4F5F"/>
    <w:rsid w:val="088B5CCE"/>
    <w:rsid w:val="088E5322"/>
    <w:rsid w:val="088F599E"/>
    <w:rsid w:val="08900846"/>
    <w:rsid w:val="08933925"/>
    <w:rsid w:val="08A02B2C"/>
    <w:rsid w:val="08A31B21"/>
    <w:rsid w:val="08A50654"/>
    <w:rsid w:val="08A67FAD"/>
    <w:rsid w:val="08A75C8C"/>
    <w:rsid w:val="08A80C43"/>
    <w:rsid w:val="08A9367F"/>
    <w:rsid w:val="08AB593B"/>
    <w:rsid w:val="08AD1FBD"/>
    <w:rsid w:val="08AD48AF"/>
    <w:rsid w:val="08AE5969"/>
    <w:rsid w:val="08B224CD"/>
    <w:rsid w:val="08B23F5D"/>
    <w:rsid w:val="08BA5642"/>
    <w:rsid w:val="08BB681E"/>
    <w:rsid w:val="08BC2101"/>
    <w:rsid w:val="08C43ECA"/>
    <w:rsid w:val="08C73E2C"/>
    <w:rsid w:val="08D30AB9"/>
    <w:rsid w:val="08D4245E"/>
    <w:rsid w:val="08D55537"/>
    <w:rsid w:val="08D610E7"/>
    <w:rsid w:val="08D66AA2"/>
    <w:rsid w:val="08DB09C0"/>
    <w:rsid w:val="08DB28DD"/>
    <w:rsid w:val="08DE05C4"/>
    <w:rsid w:val="08E004A4"/>
    <w:rsid w:val="08E06D9C"/>
    <w:rsid w:val="08E16204"/>
    <w:rsid w:val="08E16252"/>
    <w:rsid w:val="08E44FE3"/>
    <w:rsid w:val="08E65463"/>
    <w:rsid w:val="08EA3630"/>
    <w:rsid w:val="08EF6F90"/>
    <w:rsid w:val="08F123F0"/>
    <w:rsid w:val="08F31CBE"/>
    <w:rsid w:val="08F33ADD"/>
    <w:rsid w:val="08F4381C"/>
    <w:rsid w:val="08F97105"/>
    <w:rsid w:val="08FA035D"/>
    <w:rsid w:val="08FD4A77"/>
    <w:rsid w:val="09046994"/>
    <w:rsid w:val="09065BBA"/>
    <w:rsid w:val="09074B9E"/>
    <w:rsid w:val="09085E72"/>
    <w:rsid w:val="09090DF6"/>
    <w:rsid w:val="090B6FCB"/>
    <w:rsid w:val="090B78E7"/>
    <w:rsid w:val="090F6969"/>
    <w:rsid w:val="09101C99"/>
    <w:rsid w:val="0912770D"/>
    <w:rsid w:val="0914233D"/>
    <w:rsid w:val="09146639"/>
    <w:rsid w:val="0916584D"/>
    <w:rsid w:val="091A6E49"/>
    <w:rsid w:val="091B16E6"/>
    <w:rsid w:val="091B6A6C"/>
    <w:rsid w:val="091C61FF"/>
    <w:rsid w:val="091E133E"/>
    <w:rsid w:val="091E31E8"/>
    <w:rsid w:val="091E6C0B"/>
    <w:rsid w:val="091E7D8D"/>
    <w:rsid w:val="0920286E"/>
    <w:rsid w:val="092815A1"/>
    <w:rsid w:val="092C212B"/>
    <w:rsid w:val="092E71E8"/>
    <w:rsid w:val="09300569"/>
    <w:rsid w:val="09332289"/>
    <w:rsid w:val="09347D34"/>
    <w:rsid w:val="09356466"/>
    <w:rsid w:val="09364570"/>
    <w:rsid w:val="09367561"/>
    <w:rsid w:val="093B3312"/>
    <w:rsid w:val="093E2682"/>
    <w:rsid w:val="09413FB0"/>
    <w:rsid w:val="09414147"/>
    <w:rsid w:val="0943594F"/>
    <w:rsid w:val="09460F3B"/>
    <w:rsid w:val="09491F8A"/>
    <w:rsid w:val="094C3C93"/>
    <w:rsid w:val="09510F86"/>
    <w:rsid w:val="0954454D"/>
    <w:rsid w:val="0959527D"/>
    <w:rsid w:val="095D79AE"/>
    <w:rsid w:val="095E57ED"/>
    <w:rsid w:val="09622231"/>
    <w:rsid w:val="096448CA"/>
    <w:rsid w:val="09646D1E"/>
    <w:rsid w:val="09664B97"/>
    <w:rsid w:val="096867D6"/>
    <w:rsid w:val="096B207E"/>
    <w:rsid w:val="096B69E9"/>
    <w:rsid w:val="097042D1"/>
    <w:rsid w:val="0973728C"/>
    <w:rsid w:val="097F466E"/>
    <w:rsid w:val="09823405"/>
    <w:rsid w:val="098362B5"/>
    <w:rsid w:val="098528EC"/>
    <w:rsid w:val="09874A1C"/>
    <w:rsid w:val="09875278"/>
    <w:rsid w:val="098B24C9"/>
    <w:rsid w:val="098B63EF"/>
    <w:rsid w:val="098E6CF3"/>
    <w:rsid w:val="099066C4"/>
    <w:rsid w:val="0993371E"/>
    <w:rsid w:val="099579F6"/>
    <w:rsid w:val="099646C3"/>
    <w:rsid w:val="0998558C"/>
    <w:rsid w:val="09991A5E"/>
    <w:rsid w:val="099A22A1"/>
    <w:rsid w:val="099C780D"/>
    <w:rsid w:val="09A56DE3"/>
    <w:rsid w:val="09A60157"/>
    <w:rsid w:val="09A9785F"/>
    <w:rsid w:val="09B01468"/>
    <w:rsid w:val="09B314C7"/>
    <w:rsid w:val="09B561AE"/>
    <w:rsid w:val="09B66A5E"/>
    <w:rsid w:val="09B66C13"/>
    <w:rsid w:val="09BA35C1"/>
    <w:rsid w:val="09BA5236"/>
    <w:rsid w:val="09BB3C31"/>
    <w:rsid w:val="09BD630D"/>
    <w:rsid w:val="09C00E5E"/>
    <w:rsid w:val="09C42233"/>
    <w:rsid w:val="09C4353C"/>
    <w:rsid w:val="09C6115A"/>
    <w:rsid w:val="09C87416"/>
    <w:rsid w:val="09D141BF"/>
    <w:rsid w:val="09D27BD1"/>
    <w:rsid w:val="09D764B1"/>
    <w:rsid w:val="09D919AB"/>
    <w:rsid w:val="09DE1C5F"/>
    <w:rsid w:val="09DF45FC"/>
    <w:rsid w:val="09E067EE"/>
    <w:rsid w:val="09E26E29"/>
    <w:rsid w:val="09E320EF"/>
    <w:rsid w:val="09E33EAC"/>
    <w:rsid w:val="09E456A1"/>
    <w:rsid w:val="09EC7EB1"/>
    <w:rsid w:val="09F3205E"/>
    <w:rsid w:val="09F60471"/>
    <w:rsid w:val="09F64D01"/>
    <w:rsid w:val="09F662F4"/>
    <w:rsid w:val="09F76B7B"/>
    <w:rsid w:val="09F9563A"/>
    <w:rsid w:val="09FF664E"/>
    <w:rsid w:val="0A002005"/>
    <w:rsid w:val="0A0501A2"/>
    <w:rsid w:val="0A05397F"/>
    <w:rsid w:val="0A065C05"/>
    <w:rsid w:val="0A08309B"/>
    <w:rsid w:val="0A0F3E59"/>
    <w:rsid w:val="0A1433B8"/>
    <w:rsid w:val="0A172EE8"/>
    <w:rsid w:val="0A1A5F50"/>
    <w:rsid w:val="0A1C1FBE"/>
    <w:rsid w:val="0A21240E"/>
    <w:rsid w:val="0A232D86"/>
    <w:rsid w:val="0A2469F8"/>
    <w:rsid w:val="0A2550CC"/>
    <w:rsid w:val="0A2A7B77"/>
    <w:rsid w:val="0A2F24D7"/>
    <w:rsid w:val="0A337E3A"/>
    <w:rsid w:val="0A370F7E"/>
    <w:rsid w:val="0A3751A8"/>
    <w:rsid w:val="0A3B1BB3"/>
    <w:rsid w:val="0A3E7720"/>
    <w:rsid w:val="0A442D0E"/>
    <w:rsid w:val="0A4A309A"/>
    <w:rsid w:val="0A4A6F90"/>
    <w:rsid w:val="0A521EE0"/>
    <w:rsid w:val="0A523E79"/>
    <w:rsid w:val="0A57343C"/>
    <w:rsid w:val="0A575C9D"/>
    <w:rsid w:val="0A591867"/>
    <w:rsid w:val="0A59319A"/>
    <w:rsid w:val="0A5A33CA"/>
    <w:rsid w:val="0A5B63A6"/>
    <w:rsid w:val="0A6318A8"/>
    <w:rsid w:val="0A644AB7"/>
    <w:rsid w:val="0A682A16"/>
    <w:rsid w:val="0A692323"/>
    <w:rsid w:val="0A6A4430"/>
    <w:rsid w:val="0A6A780C"/>
    <w:rsid w:val="0A6A7FE5"/>
    <w:rsid w:val="0A6C56AB"/>
    <w:rsid w:val="0A6E1AAB"/>
    <w:rsid w:val="0A6E36D4"/>
    <w:rsid w:val="0A720EB3"/>
    <w:rsid w:val="0A734DC7"/>
    <w:rsid w:val="0A744FD2"/>
    <w:rsid w:val="0A753E97"/>
    <w:rsid w:val="0A78240A"/>
    <w:rsid w:val="0A783333"/>
    <w:rsid w:val="0A78656B"/>
    <w:rsid w:val="0A7A2510"/>
    <w:rsid w:val="0A7A2C29"/>
    <w:rsid w:val="0A7C70BB"/>
    <w:rsid w:val="0A7E7A9D"/>
    <w:rsid w:val="0A8458D8"/>
    <w:rsid w:val="0A8937F9"/>
    <w:rsid w:val="0A8D322F"/>
    <w:rsid w:val="0A942D0B"/>
    <w:rsid w:val="0A9430C2"/>
    <w:rsid w:val="0A957ECD"/>
    <w:rsid w:val="0A9669EE"/>
    <w:rsid w:val="0A970102"/>
    <w:rsid w:val="0A990882"/>
    <w:rsid w:val="0A99442B"/>
    <w:rsid w:val="0A9A623C"/>
    <w:rsid w:val="0A9B52F4"/>
    <w:rsid w:val="0AA72092"/>
    <w:rsid w:val="0AA9092D"/>
    <w:rsid w:val="0AA921E1"/>
    <w:rsid w:val="0AB01226"/>
    <w:rsid w:val="0AB105B8"/>
    <w:rsid w:val="0AB438D5"/>
    <w:rsid w:val="0ABB147F"/>
    <w:rsid w:val="0ABB2FEE"/>
    <w:rsid w:val="0ABC34D5"/>
    <w:rsid w:val="0ABF74E1"/>
    <w:rsid w:val="0AC8523D"/>
    <w:rsid w:val="0AC87097"/>
    <w:rsid w:val="0AD33D01"/>
    <w:rsid w:val="0AD71D18"/>
    <w:rsid w:val="0AD732B2"/>
    <w:rsid w:val="0ADE18A8"/>
    <w:rsid w:val="0AE34834"/>
    <w:rsid w:val="0AE35215"/>
    <w:rsid w:val="0AE55C9B"/>
    <w:rsid w:val="0AE562B3"/>
    <w:rsid w:val="0AED5E6D"/>
    <w:rsid w:val="0AED6986"/>
    <w:rsid w:val="0AF107A1"/>
    <w:rsid w:val="0AF11333"/>
    <w:rsid w:val="0AF11E64"/>
    <w:rsid w:val="0AF5256D"/>
    <w:rsid w:val="0AF71D1C"/>
    <w:rsid w:val="0AF84E58"/>
    <w:rsid w:val="0AFA2FC3"/>
    <w:rsid w:val="0B045494"/>
    <w:rsid w:val="0B0500DD"/>
    <w:rsid w:val="0B094E99"/>
    <w:rsid w:val="0B0D64DB"/>
    <w:rsid w:val="0B0E2690"/>
    <w:rsid w:val="0B145AB3"/>
    <w:rsid w:val="0B174143"/>
    <w:rsid w:val="0B1A01D7"/>
    <w:rsid w:val="0B1A2E42"/>
    <w:rsid w:val="0B1A4B06"/>
    <w:rsid w:val="0B1D08B7"/>
    <w:rsid w:val="0B1E0E8B"/>
    <w:rsid w:val="0B200E0C"/>
    <w:rsid w:val="0B203D40"/>
    <w:rsid w:val="0B231648"/>
    <w:rsid w:val="0B262864"/>
    <w:rsid w:val="0B276A68"/>
    <w:rsid w:val="0B285812"/>
    <w:rsid w:val="0B2B458B"/>
    <w:rsid w:val="0B2E59A6"/>
    <w:rsid w:val="0B323C48"/>
    <w:rsid w:val="0B324811"/>
    <w:rsid w:val="0B341600"/>
    <w:rsid w:val="0B346B1E"/>
    <w:rsid w:val="0B363CAB"/>
    <w:rsid w:val="0B3758BC"/>
    <w:rsid w:val="0B377BB4"/>
    <w:rsid w:val="0B3843BD"/>
    <w:rsid w:val="0B3F446A"/>
    <w:rsid w:val="0B42410B"/>
    <w:rsid w:val="0B476D5E"/>
    <w:rsid w:val="0B477A77"/>
    <w:rsid w:val="0B4A0FFF"/>
    <w:rsid w:val="0B4F045F"/>
    <w:rsid w:val="0B50279C"/>
    <w:rsid w:val="0B5071F0"/>
    <w:rsid w:val="0B514074"/>
    <w:rsid w:val="0B514D19"/>
    <w:rsid w:val="0B55706E"/>
    <w:rsid w:val="0B5C08C7"/>
    <w:rsid w:val="0B5D1484"/>
    <w:rsid w:val="0B5F1163"/>
    <w:rsid w:val="0B6936B4"/>
    <w:rsid w:val="0B6F287D"/>
    <w:rsid w:val="0B7908FB"/>
    <w:rsid w:val="0B794FD9"/>
    <w:rsid w:val="0B7966C5"/>
    <w:rsid w:val="0B7F4410"/>
    <w:rsid w:val="0B800DF9"/>
    <w:rsid w:val="0B8024B4"/>
    <w:rsid w:val="0B893545"/>
    <w:rsid w:val="0B89617E"/>
    <w:rsid w:val="0B8F56E5"/>
    <w:rsid w:val="0B9130E9"/>
    <w:rsid w:val="0B92514A"/>
    <w:rsid w:val="0B931A0C"/>
    <w:rsid w:val="0B952A97"/>
    <w:rsid w:val="0B995385"/>
    <w:rsid w:val="0B9A18F8"/>
    <w:rsid w:val="0B9E1A28"/>
    <w:rsid w:val="0B9E4B16"/>
    <w:rsid w:val="0BA40948"/>
    <w:rsid w:val="0BA53DA8"/>
    <w:rsid w:val="0BA654F1"/>
    <w:rsid w:val="0BAC1260"/>
    <w:rsid w:val="0BB35AE6"/>
    <w:rsid w:val="0BB5596C"/>
    <w:rsid w:val="0BB67A42"/>
    <w:rsid w:val="0BB806D9"/>
    <w:rsid w:val="0BB87981"/>
    <w:rsid w:val="0BB94D5A"/>
    <w:rsid w:val="0BBE0FE6"/>
    <w:rsid w:val="0BC205EF"/>
    <w:rsid w:val="0BC332A1"/>
    <w:rsid w:val="0BC90142"/>
    <w:rsid w:val="0BCA0402"/>
    <w:rsid w:val="0BCD752A"/>
    <w:rsid w:val="0BCD7DDB"/>
    <w:rsid w:val="0BD01C0B"/>
    <w:rsid w:val="0BD219FB"/>
    <w:rsid w:val="0BD31202"/>
    <w:rsid w:val="0BD4682C"/>
    <w:rsid w:val="0BD75775"/>
    <w:rsid w:val="0BD7674D"/>
    <w:rsid w:val="0BDB6E1B"/>
    <w:rsid w:val="0BE22CE3"/>
    <w:rsid w:val="0BE2473B"/>
    <w:rsid w:val="0BE37281"/>
    <w:rsid w:val="0BE90305"/>
    <w:rsid w:val="0BED2BCB"/>
    <w:rsid w:val="0BEF6849"/>
    <w:rsid w:val="0BF14E84"/>
    <w:rsid w:val="0BF3464B"/>
    <w:rsid w:val="0BF56C48"/>
    <w:rsid w:val="0BF65710"/>
    <w:rsid w:val="0BF96B43"/>
    <w:rsid w:val="0BFB2D82"/>
    <w:rsid w:val="0BFC0872"/>
    <w:rsid w:val="0BFC45A0"/>
    <w:rsid w:val="0BFF2CC6"/>
    <w:rsid w:val="0C006458"/>
    <w:rsid w:val="0C007794"/>
    <w:rsid w:val="0C0130E1"/>
    <w:rsid w:val="0C0141E4"/>
    <w:rsid w:val="0C026743"/>
    <w:rsid w:val="0C0C6AA5"/>
    <w:rsid w:val="0C0D3DAD"/>
    <w:rsid w:val="0C152198"/>
    <w:rsid w:val="0C1614E2"/>
    <w:rsid w:val="0C190378"/>
    <w:rsid w:val="0C1B58C3"/>
    <w:rsid w:val="0C1D0E7C"/>
    <w:rsid w:val="0C202C07"/>
    <w:rsid w:val="0C261D74"/>
    <w:rsid w:val="0C2B2804"/>
    <w:rsid w:val="0C2D7525"/>
    <w:rsid w:val="0C345CFE"/>
    <w:rsid w:val="0C354A17"/>
    <w:rsid w:val="0C3761ED"/>
    <w:rsid w:val="0C3973AB"/>
    <w:rsid w:val="0C3B02F1"/>
    <w:rsid w:val="0C3F084F"/>
    <w:rsid w:val="0C427B7F"/>
    <w:rsid w:val="0C455DF8"/>
    <w:rsid w:val="0C495B67"/>
    <w:rsid w:val="0C521E93"/>
    <w:rsid w:val="0C5322CE"/>
    <w:rsid w:val="0C552282"/>
    <w:rsid w:val="0C567F57"/>
    <w:rsid w:val="0C5E3F0C"/>
    <w:rsid w:val="0C5F76D4"/>
    <w:rsid w:val="0C6039DD"/>
    <w:rsid w:val="0C63088A"/>
    <w:rsid w:val="0C6352E3"/>
    <w:rsid w:val="0C652C6B"/>
    <w:rsid w:val="0C6A700B"/>
    <w:rsid w:val="0C6C01C4"/>
    <w:rsid w:val="0C6D0748"/>
    <w:rsid w:val="0C6D37E6"/>
    <w:rsid w:val="0C6E18D3"/>
    <w:rsid w:val="0C7347C0"/>
    <w:rsid w:val="0C7617D1"/>
    <w:rsid w:val="0C78315E"/>
    <w:rsid w:val="0C7854B3"/>
    <w:rsid w:val="0C7A4BDC"/>
    <w:rsid w:val="0C7F763C"/>
    <w:rsid w:val="0C815101"/>
    <w:rsid w:val="0C825126"/>
    <w:rsid w:val="0C8575B5"/>
    <w:rsid w:val="0C8654E2"/>
    <w:rsid w:val="0C867C1E"/>
    <w:rsid w:val="0C8A6512"/>
    <w:rsid w:val="0C8D6A5A"/>
    <w:rsid w:val="0C8E440A"/>
    <w:rsid w:val="0C907E11"/>
    <w:rsid w:val="0C950909"/>
    <w:rsid w:val="0C954718"/>
    <w:rsid w:val="0C957831"/>
    <w:rsid w:val="0C977585"/>
    <w:rsid w:val="0C9E20A4"/>
    <w:rsid w:val="0CA33FE3"/>
    <w:rsid w:val="0CA72251"/>
    <w:rsid w:val="0CA95B60"/>
    <w:rsid w:val="0CAE5E14"/>
    <w:rsid w:val="0CB11BF3"/>
    <w:rsid w:val="0CB2678B"/>
    <w:rsid w:val="0CB71A24"/>
    <w:rsid w:val="0CB83330"/>
    <w:rsid w:val="0CB86887"/>
    <w:rsid w:val="0CB86C0A"/>
    <w:rsid w:val="0CBB4478"/>
    <w:rsid w:val="0CC95592"/>
    <w:rsid w:val="0CCD3482"/>
    <w:rsid w:val="0CCF2742"/>
    <w:rsid w:val="0CD342CF"/>
    <w:rsid w:val="0CE212DE"/>
    <w:rsid w:val="0CE36933"/>
    <w:rsid w:val="0CE51680"/>
    <w:rsid w:val="0CE53D9C"/>
    <w:rsid w:val="0CEB1E21"/>
    <w:rsid w:val="0CEB41DF"/>
    <w:rsid w:val="0CF00D6A"/>
    <w:rsid w:val="0CF2489B"/>
    <w:rsid w:val="0CF6110E"/>
    <w:rsid w:val="0CF75F00"/>
    <w:rsid w:val="0CFD1097"/>
    <w:rsid w:val="0D014E69"/>
    <w:rsid w:val="0D0B438C"/>
    <w:rsid w:val="0D0D61DE"/>
    <w:rsid w:val="0D0D6F83"/>
    <w:rsid w:val="0D0E42A5"/>
    <w:rsid w:val="0D102C50"/>
    <w:rsid w:val="0D105788"/>
    <w:rsid w:val="0D107D96"/>
    <w:rsid w:val="0D113A0C"/>
    <w:rsid w:val="0D116E3F"/>
    <w:rsid w:val="0D122601"/>
    <w:rsid w:val="0D192E80"/>
    <w:rsid w:val="0D1B6763"/>
    <w:rsid w:val="0D2612AE"/>
    <w:rsid w:val="0D2A5A65"/>
    <w:rsid w:val="0D2A5DFF"/>
    <w:rsid w:val="0D2F2136"/>
    <w:rsid w:val="0D2F4391"/>
    <w:rsid w:val="0D3017F9"/>
    <w:rsid w:val="0D3109FF"/>
    <w:rsid w:val="0D335944"/>
    <w:rsid w:val="0D357097"/>
    <w:rsid w:val="0D361AF6"/>
    <w:rsid w:val="0D3A2D03"/>
    <w:rsid w:val="0D3B44F9"/>
    <w:rsid w:val="0D3D75D7"/>
    <w:rsid w:val="0D3E4FE0"/>
    <w:rsid w:val="0D3F7485"/>
    <w:rsid w:val="0D48325A"/>
    <w:rsid w:val="0D485659"/>
    <w:rsid w:val="0D4B354B"/>
    <w:rsid w:val="0D4C14B8"/>
    <w:rsid w:val="0D4D54FD"/>
    <w:rsid w:val="0D504092"/>
    <w:rsid w:val="0D520572"/>
    <w:rsid w:val="0D536F7B"/>
    <w:rsid w:val="0D567BF0"/>
    <w:rsid w:val="0D58003F"/>
    <w:rsid w:val="0D59179E"/>
    <w:rsid w:val="0D5C2A05"/>
    <w:rsid w:val="0D5E01D9"/>
    <w:rsid w:val="0D625FC5"/>
    <w:rsid w:val="0D654D28"/>
    <w:rsid w:val="0D6B5F6A"/>
    <w:rsid w:val="0D6C73B2"/>
    <w:rsid w:val="0D6E3A7B"/>
    <w:rsid w:val="0D6E7989"/>
    <w:rsid w:val="0D6F30AF"/>
    <w:rsid w:val="0D70568A"/>
    <w:rsid w:val="0D734C7B"/>
    <w:rsid w:val="0D751CD9"/>
    <w:rsid w:val="0D7A3D41"/>
    <w:rsid w:val="0D7A4C38"/>
    <w:rsid w:val="0D7A7508"/>
    <w:rsid w:val="0D895915"/>
    <w:rsid w:val="0D8A5118"/>
    <w:rsid w:val="0D8C7B04"/>
    <w:rsid w:val="0D8D09DF"/>
    <w:rsid w:val="0D8F717F"/>
    <w:rsid w:val="0D930F0E"/>
    <w:rsid w:val="0D933B24"/>
    <w:rsid w:val="0D9530AE"/>
    <w:rsid w:val="0D987650"/>
    <w:rsid w:val="0D991A82"/>
    <w:rsid w:val="0D9922B4"/>
    <w:rsid w:val="0D9C707C"/>
    <w:rsid w:val="0D9C7D71"/>
    <w:rsid w:val="0DA00567"/>
    <w:rsid w:val="0DA60D71"/>
    <w:rsid w:val="0DA717AB"/>
    <w:rsid w:val="0DA74725"/>
    <w:rsid w:val="0DAB1614"/>
    <w:rsid w:val="0DB7023E"/>
    <w:rsid w:val="0DBA3B63"/>
    <w:rsid w:val="0DBA3CAB"/>
    <w:rsid w:val="0DBE4401"/>
    <w:rsid w:val="0DC04EA7"/>
    <w:rsid w:val="0DC0637F"/>
    <w:rsid w:val="0DC42DB3"/>
    <w:rsid w:val="0DC72D9E"/>
    <w:rsid w:val="0DC74F00"/>
    <w:rsid w:val="0DCA0485"/>
    <w:rsid w:val="0DCA3760"/>
    <w:rsid w:val="0DCC7F74"/>
    <w:rsid w:val="0DD04929"/>
    <w:rsid w:val="0DD202A1"/>
    <w:rsid w:val="0DD73478"/>
    <w:rsid w:val="0DDC7FC8"/>
    <w:rsid w:val="0DDF2BE8"/>
    <w:rsid w:val="0DE12D80"/>
    <w:rsid w:val="0DE9206F"/>
    <w:rsid w:val="0DE93250"/>
    <w:rsid w:val="0DE9367B"/>
    <w:rsid w:val="0DEC638F"/>
    <w:rsid w:val="0DED5E77"/>
    <w:rsid w:val="0DF1416C"/>
    <w:rsid w:val="0DF3059D"/>
    <w:rsid w:val="0DF56016"/>
    <w:rsid w:val="0DF652D8"/>
    <w:rsid w:val="0DFC5BA0"/>
    <w:rsid w:val="0DFF1630"/>
    <w:rsid w:val="0E02288D"/>
    <w:rsid w:val="0E0B39FA"/>
    <w:rsid w:val="0E0E5572"/>
    <w:rsid w:val="0E180125"/>
    <w:rsid w:val="0E1C173D"/>
    <w:rsid w:val="0E2104D9"/>
    <w:rsid w:val="0E237D0A"/>
    <w:rsid w:val="0E246063"/>
    <w:rsid w:val="0E284C05"/>
    <w:rsid w:val="0E2A4E9A"/>
    <w:rsid w:val="0E2E02F9"/>
    <w:rsid w:val="0E2F32F1"/>
    <w:rsid w:val="0E310DF9"/>
    <w:rsid w:val="0E325BB1"/>
    <w:rsid w:val="0E350D90"/>
    <w:rsid w:val="0E354DAB"/>
    <w:rsid w:val="0E3B6470"/>
    <w:rsid w:val="0E426AED"/>
    <w:rsid w:val="0E4616C2"/>
    <w:rsid w:val="0E491129"/>
    <w:rsid w:val="0E4E4987"/>
    <w:rsid w:val="0E5207E2"/>
    <w:rsid w:val="0E554720"/>
    <w:rsid w:val="0E571632"/>
    <w:rsid w:val="0E5A6267"/>
    <w:rsid w:val="0E5B1A89"/>
    <w:rsid w:val="0E5C4334"/>
    <w:rsid w:val="0E5D0857"/>
    <w:rsid w:val="0E666824"/>
    <w:rsid w:val="0E6B6759"/>
    <w:rsid w:val="0E7005AD"/>
    <w:rsid w:val="0E711F06"/>
    <w:rsid w:val="0E78263E"/>
    <w:rsid w:val="0E7837F2"/>
    <w:rsid w:val="0E7A3C14"/>
    <w:rsid w:val="0E806E73"/>
    <w:rsid w:val="0E8519BC"/>
    <w:rsid w:val="0E890602"/>
    <w:rsid w:val="0E8C1DD9"/>
    <w:rsid w:val="0E901933"/>
    <w:rsid w:val="0E9147F6"/>
    <w:rsid w:val="0E931092"/>
    <w:rsid w:val="0E9805CB"/>
    <w:rsid w:val="0E980DF8"/>
    <w:rsid w:val="0E9B1762"/>
    <w:rsid w:val="0E9B3D91"/>
    <w:rsid w:val="0E9D50F9"/>
    <w:rsid w:val="0E9F31FC"/>
    <w:rsid w:val="0EA91870"/>
    <w:rsid w:val="0EB1730A"/>
    <w:rsid w:val="0EB2035C"/>
    <w:rsid w:val="0EB26DA3"/>
    <w:rsid w:val="0EB44609"/>
    <w:rsid w:val="0EB916E9"/>
    <w:rsid w:val="0EC327B3"/>
    <w:rsid w:val="0EC4019A"/>
    <w:rsid w:val="0ECB1C6B"/>
    <w:rsid w:val="0ECD2C95"/>
    <w:rsid w:val="0ED01442"/>
    <w:rsid w:val="0ED02FC0"/>
    <w:rsid w:val="0ED25B27"/>
    <w:rsid w:val="0ED46BBA"/>
    <w:rsid w:val="0EDC5ED9"/>
    <w:rsid w:val="0EDD4775"/>
    <w:rsid w:val="0EDE245C"/>
    <w:rsid w:val="0EE1423F"/>
    <w:rsid w:val="0EE402FB"/>
    <w:rsid w:val="0EEB62A4"/>
    <w:rsid w:val="0EED6E6E"/>
    <w:rsid w:val="0EEE6D09"/>
    <w:rsid w:val="0EF1010A"/>
    <w:rsid w:val="0EF10F87"/>
    <w:rsid w:val="0EF2496D"/>
    <w:rsid w:val="0EF32F62"/>
    <w:rsid w:val="0EF7040F"/>
    <w:rsid w:val="0EF84917"/>
    <w:rsid w:val="0EF8501F"/>
    <w:rsid w:val="0EF90F06"/>
    <w:rsid w:val="0EFF2BD5"/>
    <w:rsid w:val="0EFF7715"/>
    <w:rsid w:val="0F003520"/>
    <w:rsid w:val="0F06118E"/>
    <w:rsid w:val="0F084044"/>
    <w:rsid w:val="0F0D51D6"/>
    <w:rsid w:val="0F0E20E1"/>
    <w:rsid w:val="0F0F4155"/>
    <w:rsid w:val="0F103D3B"/>
    <w:rsid w:val="0F154534"/>
    <w:rsid w:val="0F16197D"/>
    <w:rsid w:val="0F1B61B5"/>
    <w:rsid w:val="0F1D31A3"/>
    <w:rsid w:val="0F1F7A6A"/>
    <w:rsid w:val="0F247BCA"/>
    <w:rsid w:val="0F277D98"/>
    <w:rsid w:val="0F280D7E"/>
    <w:rsid w:val="0F2C745B"/>
    <w:rsid w:val="0F313B96"/>
    <w:rsid w:val="0F31656C"/>
    <w:rsid w:val="0F332ABC"/>
    <w:rsid w:val="0F334259"/>
    <w:rsid w:val="0F335258"/>
    <w:rsid w:val="0F3A7B43"/>
    <w:rsid w:val="0F3B50C3"/>
    <w:rsid w:val="0F3D06A6"/>
    <w:rsid w:val="0F3E5436"/>
    <w:rsid w:val="0F3F509B"/>
    <w:rsid w:val="0F422127"/>
    <w:rsid w:val="0F424A55"/>
    <w:rsid w:val="0F43184D"/>
    <w:rsid w:val="0F4B2621"/>
    <w:rsid w:val="0F4E5F6B"/>
    <w:rsid w:val="0F5056B5"/>
    <w:rsid w:val="0F5B6E4B"/>
    <w:rsid w:val="0F5C26AB"/>
    <w:rsid w:val="0F5C667B"/>
    <w:rsid w:val="0F5E58DE"/>
    <w:rsid w:val="0F601C74"/>
    <w:rsid w:val="0F61183B"/>
    <w:rsid w:val="0F680BAA"/>
    <w:rsid w:val="0F6B086D"/>
    <w:rsid w:val="0F703BCB"/>
    <w:rsid w:val="0F752405"/>
    <w:rsid w:val="0F774BF9"/>
    <w:rsid w:val="0F787FA3"/>
    <w:rsid w:val="0F7B5844"/>
    <w:rsid w:val="0F7C30D4"/>
    <w:rsid w:val="0F7E39A9"/>
    <w:rsid w:val="0F8176AB"/>
    <w:rsid w:val="0F823E57"/>
    <w:rsid w:val="0F8631A9"/>
    <w:rsid w:val="0F870D28"/>
    <w:rsid w:val="0F8773DE"/>
    <w:rsid w:val="0F884D34"/>
    <w:rsid w:val="0F88570E"/>
    <w:rsid w:val="0F8A0B46"/>
    <w:rsid w:val="0F8A7734"/>
    <w:rsid w:val="0F8B3F01"/>
    <w:rsid w:val="0F8F3BD1"/>
    <w:rsid w:val="0F90724A"/>
    <w:rsid w:val="0F9419B9"/>
    <w:rsid w:val="0F941E07"/>
    <w:rsid w:val="0F96393B"/>
    <w:rsid w:val="0F9874CC"/>
    <w:rsid w:val="0F9F7683"/>
    <w:rsid w:val="0FA44068"/>
    <w:rsid w:val="0FA70E0A"/>
    <w:rsid w:val="0FB11685"/>
    <w:rsid w:val="0FB51F35"/>
    <w:rsid w:val="0FB52BBC"/>
    <w:rsid w:val="0FB638E5"/>
    <w:rsid w:val="0FB839EA"/>
    <w:rsid w:val="0FB87A45"/>
    <w:rsid w:val="0FBA7FB6"/>
    <w:rsid w:val="0FBC001A"/>
    <w:rsid w:val="0FBD7A0D"/>
    <w:rsid w:val="0FBD7A41"/>
    <w:rsid w:val="0FC16276"/>
    <w:rsid w:val="0FC923B0"/>
    <w:rsid w:val="0FD02922"/>
    <w:rsid w:val="0FD04D01"/>
    <w:rsid w:val="0FD2706C"/>
    <w:rsid w:val="0FD41653"/>
    <w:rsid w:val="0FDC600B"/>
    <w:rsid w:val="0FE164B3"/>
    <w:rsid w:val="0FE8044A"/>
    <w:rsid w:val="0FE86F97"/>
    <w:rsid w:val="0FEC55DE"/>
    <w:rsid w:val="0FED44B6"/>
    <w:rsid w:val="0FF14886"/>
    <w:rsid w:val="0FF6254B"/>
    <w:rsid w:val="0FF968D2"/>
    <w:rsid w:val="0FFB69E3"/>
    <w:rsid w:val="0FFE0917"/>
    <w:rsid w:val="0FFF7DEC"/>
    <w:rsid w:val="1003225E"/>
    <w:rsid w:val="10050743"/>
    <w:rsid w:val="1006367F"/>
    <w:rsid w:val="1008025E"/>
    <w:rsid w:val="100808DF"/>
    <w:rsid w:val="10107CD7"/>
    <w:rsid w:val="10121D7A"/>
    <w:rsid w:val="10130638"/>
    <w:rsid w:val="101669CE"/>
    <w:rsid w:val="10196D0A"/>
    <w:rsid w:val="101E08F2"/>
    <w:rsid w:val="101E2E59"/>
    <w:rsid w:val="10211A86"/>
    <w:rsid w:val="1024601C"/>
    <w:rsid w:val="1028383C"/>
    <w:rsid w:val="102C3CE2"/>
    <w:rsid w:val="103168D1"/>
    <w:rsid w:val="10365969"/>
    <w:rsid w:val="10374188"/>
    <w:rsid w:val="1037477B"/>
    <w:rsid w:val="1038114D"/>
    <w:rsid w:val="10386DF6"/>
    <w:rsid w:val="103F187F"/>
    <w:rsid w:val="104254EB"/>
    <w:rsid w:val="10473D17"/>
    <w:rsid w:val="10477C4A"/>
    <w:rsid w:val="10492B5A"/>
    <w:rsid w:val="10497123"/>
    <w:rsid w:val="104F604F"/>
    <w:rsid w:val="10583CE6"/>
    <w:rsid w:val="105C0CE7"/>
    <w:rsid w:val="10634251"/>
    <w:rsid w:val="106A7AFC"/>
    <w:rsid w:val="106B632B"/>
    <w:rsid w:val="106C1D99"/>
    <w:rsid w:val="106D5C44"/>
    <w:rsid w:val="10712FA8"/>
    <w:rsid w:val="1076472F"/>
    <w:rsid w:val="107A1693"/>
    <w:rsid w:val="107A38C5"/>
    <w:rsid w:val="107C269A"/>
    <w:rsid w:val="107F304C"/>
    <w:rsid w:val="107F379B"/>
    <w:rsid w:val="10803EF8"/>
    <w:rsid w:val="10805DF2"/>
    <w:rsid w:val="10807A2A"/>
    <w:rsid w:val="10894CB8"/>
    <w:rsid w:val="108B3C44"/>
    <w:rsid w:val="108C6E97"/>
    <w:rsid w:val="108F6840"/>
    <w:rsid w:val="10A07AFA"/>
    <w:rsid w:val="10A631CA"/>
    <w:rsid w:val="10AA4D6B"/>
    <w:rsid w:val="10AD1E70"/>
    <w:rsid w:val="10B41383"/>
    <w:rsid w:val="10B51664"/>
    <w:rsid w:val="10B751D6"/>
    <w:rsid w:val="10BD0E5F"/>
    <w:rsid w:val="10BD613F"/>
    <w:rsid w:val="10BE48B3"/>
    <w:rsid w:val="10C13094"/>
    <w:rsid w:val="10C2283E"/>
    <w:rsid w:val="10C8667F"/>
    <w:rsid w:val="10C87B48"/>
    <w:rsid w:val="10CA1169"/>
    <w:rsid w:val="10CE5C25"/>
    <w:rsid w:val="10CF1EA0"/>
    <w:rsid w:val="10D64CC7"/>
    <w:rsid w:val="10D77768"/>
    <w:rsid w:val="10D910C5"/>
    <w:rsid w:val="10DB14D5"/>
    <w:rsid w:val="10DC3ACA"/>
    <w:rsid w:val="10E62970"/>
    <w:rsid w:val="10E63987"/>
    <w:rsid w:val="10E9209B"/>
    <w:rsid w:val="10E938D2"/>
    <w:rsid w:val="10E97B4B"/>
    <w:rsid w:val="10ED40D2"/>
    <w:rsid w:val="10F25FCA"/>
    <w:rsid w:val="10F33994"/>
    <w:rsid w:val="10F37FF7"/>
    <w:rsid w:val="10FA33A3"/>
    <w:rsid w:val="10FF4AA7"/>
    <w:rsid w:val="11010892"/>
    <w:rsid w:val="11042E57"/>
    <w:rsid w:val="110E62FC"/>
    <w:rsid w:val="110F75CC"/>
    <w:rsid w:val="11172DC1"/>
    <w:rsid w:val="111B312B"/>
    <w:rsid w:val="111C34C7"/>
    <w:rsid w:val="111C7592"/>
    <w:rsid w:val="111D2B28"/>
    <w:rsid w:val="11233A55"/>
    <w:rsid w:val="112577A6"/>
    <w:rsid w:val="112671AB"/>
    <w:rsid w:val="11285AE9"/>
    <w:rsid w:val="112E6C46"/>
    <w:rsid w:val="11335AF7"/>
    <w:rsid w:val="11351441"/>
    <w:rsid w:val="1137011D"/>
    <w:rsid w:val="113D1ECC"/>
    <w:rsid w:val="113E29B7"/>
    <w:rsid w:val="113F566C"/>
    <w:rsid w:val="114379A2"/>
    <w:rsid w:val="11447ADE"/>
    <w:rsid w:val="114673DE"/>
    <w:rsid w:val="11471673"/>
    <w:rsid w:val="114B1C90"/>
    <w:rsid w:val="1154030E"/>
    <w:rsid w:val="11587F4B"/>
    <w:rsid w:val="11592295"/>
    <w:rsid w:val="115B78B4"/>
    <w:rsid w:val="115C4AF4"/>
    <w:rsid w:val="115C6256"/>
    <w:rsid w:val="115E7D9A"/>
    <w:rsid w:val="115F151E"/>
    <w:rsid w:val="115F4473"/>
    <w:rsid w:val="11607AF2"/>
    <w:rsid w:val="11640BF7"/>
    <w:rsid w:val="1165359D"/>
    <w:rsid w:val="11697149"/>
    <w:rsid w:val="116C7968"/>
    <w:rsid w:val="116E05CC"/>
    <w:rsid w:val="11737404"/>
    <w:rsid w:val="117464D9"/>
    <w:rsid w:val="11781D03"/>
    <w:rsid w:val="11795AAD"/>
    <w:rsid w:val="117A54B3"/>
    <w:rsid w:val="117E367D"/>
    <w:rsid w:val="117F1E3F"/>
    <w:rsid w:val="117F746E"/>
    <w:rsid w:val="11830F0C"/>
    <w:rsid w:val="11833F3D"/>
    <w:rsid w:val="1183737B"/>
    <w:rsid w:val="118477F4"/>
    <w:rsid w:val="1185459B"/>
    <w:rsid w:val="11854B59"/>
    <w:rsid w:val="118A332C"/>
    <w:rsid w:val="118B67CC"/>
    <w:rsid w:val="118E58D8"/>
    <w:rsid w:val="119610CD"/>
    <w:rsid w:val="11975609"/>
    <w:rsid w:val="11983630"/>
    <w:rsid w:val="119E1DF4"/>
    <w:rsid w:val="11A0253D"/>
    <w:rsid w:val="11A22E1A"/>
    <w:rsid w:val="11A276B1"/>
    <w:rsid w:val="11A62BE9"/>
    <w:rsid w:val="11A6653F"/>
    <w:rsid w:val="11A91332"/>
    <w:rsid w:val="11AD005F"/>
    <w:rsid w:val="11AD666A"/>
    <w:rsid w:val="11B32173"/>
    <w:rsid w:val="11B34D71"/>
    <w:rsid w:val="11B56ACF"/>
    <w:rsid w:val="11B576B8"/>
    <w:rsid w:val="11B71AAC"/>
    <w:rsid w:val="11B96B01"/>
    <w:rsid w:val="11BA7394"/>
    <w:rsid w:val="11BB67EC"/>
    <w:rsid w:val="11BD1A12"/>
    <w:rsid w:val="11C10890"/>
    <w:rsid w:val="11C64377"/>
    <w:rsid w:val="11C67C7C"/>
    <w:rsid w:val="11C843C2"/>
    <w:rsid w:val="11C87202"/>
    <w:rsid w:val="11C87CB3"/>
    <w:rsid w:val="11CC6258"/>
    <w:rsid w:val="11D37BD9"/>
    <w:rsid w:val="11DB4DE8"/>
    <w:rsid w:val="11E005B5"/>
    <w:rsid w:val="11E459E7"/>
    <w:rsid w:val="11E7401B"/>
    <w:rsid w:val="11E8736F"/>
    <w:rsid w:val="11EA04F9"/>
    <w:rsid w:val="11F03187"/>
    <w:rsid w:val="11F573C3"/>
    <w:rsid w:val="11FA3812"/>
    <w:rsid w:val="11FC69CD"/>
    <w:rsid w:val="12022BBC"/>
    <w:rsid w:val="12052DD9"/>
    <w:rsid w:val="1208586A"/>
    <w:rsid w:val="120977A9"/>
    <w:rsid w:val="120D6BC3"/>
    <w:rsid w:val="12102B14"/>
    <w:rsid w:val="12122B6D"/>
    <w:rsid w:val="121510D8"/>
    <w:rsid w:val="12161A8D"/>
    <w:rsid w:val="121B3FC8"/>
    <w:rsid w:val="121C03CF"/>
    <w:rsid w:val="121C5485"/>
    <w:rsid w:val="121F162E"/>
    <w:rsid w:val="121F76C9"/>
    <w:rsid w:val="12237F8F"/>
    <w:rsid w:val="12247809"/>
    <w:rsid w:val="12323CD1"/>
    <w:rsid w:val="123A79F8"/>
    <w:rsid w:val="12404559"/>
    <w:rsid w:val="12431652"/>
    <w:rsid w:val="124351AA"/>
    <w:rsid w:val="1245385B"/>
    <w:rsid w:val="1245641B"/>
    <w:rsid w:val="124879CA"/>
    <w:rsid w:val="124B16F9"/>
    <w:rsid w:val="124B2217"/>
    <w:rsid w:val="124E79F4"/>
    <w:rsid w:val="12501152"/>
    <w:rsid w:val="125349AA"/>
    <w:rsid w:val="12542A9D"/>
    <w:rsid w:val="125438F8"/>
    <w:rsid w:val="1258078A"/>
    <w:rsid w:val="125C5705"/>
    <w:rsid w:val="125D27A3"/>
    <w:rsid w:val="12600777"/>
    <w:rsid w:val="12603512"/>
    <w:rsid w:val="12616E9F"/>
    <w:rsid w:val="126200D9"/>
    <w:rsid w:val="12642919"/>
    <w:rsid w:val="12692168"/>
    <w:rsid w:val="12696F34"/>
    <w:rsid w:val="126A24AE"/>
    <w:rsid w:val="126E4631"/>
    <w:rsid w:val="126F79FE"/>
    <w:rsid w:val="12706CBB"/>
    <w:rsid w:val="12746556"/>
    <w:rsid w:val="12772DFD"/>
    <w:rsid w:val="127918B8"/>
    <w:rsid w:val="127937D7"/>
    <w:rsid w:val="127A7D2A"/>
    <w:rsid w:val="127C3DC3"/>
    <w:rsid w:val="127C51BE"/>
    <w:rsid w:val="127D638B"/>
    <w:rsid w:val="127E6E32"/>
    <w:rsid w:val="12817A3D"/>
    <w:rsid w:val="12854105"/>
    <w:rsid w:val="128851F8"/>
    <w:rsid w:val="128C15CB"/>
    <w:rsid w:val="128E0D08"/>
    <w:rsid w:val="12901AD6"/>
    <w:rsid w:val="129145DB"/>
    <w:rsid w:val="12916128"/>
    <w:rsid w:val="12920AFA"/>
    <w:rsid w:val="12926377"/>
    <w:rsid w:val="129B3314"/>
    <w:rsid w:val="12A14510"/>
    <w:rsid w:val="12A41777"/>
    <w:rsid w:val="12A728CD"/>
    <w:rsid w:val="12A95021"/>
    <w:rsid w:val="12AC5C26"/>
    <w:rsid w:val="12AD2B76"/>
    <w:rsid w:val="12AE0FA1"/>
    <w:rsid w:val="12AF36AB"/>
    <w:rsid w:val="12B00D7B"/>
    <w:rsid w:val="12B229D3"/>
    <w:rsid w:val="12B41D5B"/>
    <w:rsid w:val="12B44B8C"/>
    <w:rsid w:val="12B62AF3"/>
    <w:rsid w:val="12BA769B"/>
    <w:rsid w:val="12CB3CBE"/>
    <w:rsid w:val="12CF699A"/>
    <w:rsid w:val="12D41C78"/>
    <w:rsid w:val="12D75E9F"/>
    <w:rsid w:val="12D8060B"/>
    <w:rsid w:val="12D8484A"/>
    <w:rsid w:val="12DA6E8D"/>
    <w:rsid w:val="12DA6F85"/>
    <w:rsid w:val="12DC3666"/>
    <w:rsid w:val="12DC5679"/>
    <w:rsid w:val="12DD1AFE"/>
    <w:rsid w:val="12DD7EA1"/>
    <w:rsid w:val="12E05791"/>
    <w:rsid w:val="12E07DF0"/>
    <w:rsid w:val="12E14E0C"/>
    <w:rsid w:val="12E22A1C"/>
    <w:rsid w:val="12E267D4"/>
    <w:rsid w:val="12E55D1A"/>
    <w:rsid w:val="12E63C63"/>
    <w:rsid w:val="12EA4404"/>
    <w:rsid w:val="12EB3C47"/>
    <w:rsid w:val="12EC476D"/>
    <w:rsid w:val="12EE1CEC"/>
    <w:rsid w:val="12EE4312"/>
    <w:rsid w:val="12F021FD"/>
    <w:rsid w:val="12F05ACC"/>
    <w:rsid w:val="12F1057A"/>
    <w:rsid w:val="12F240DF"/>
    <w:rsid w:val="12F429F1"/>
    <w:rsid w:val="12F62CD6"/>
    <w:rsid w:val="12F942A2"/>
    <w:rsid w:val="130853AE"/>
    <w:rsid w:val="130A397D"/>
    <w:rsid w:val="130B3427"/>
    <w:rsid w:val="130B66F6"/>
    <w:rsid w:val="130C27AA"/>
    <w:rsid w:val="130C34B5"/>
    <w:rsid w:val="131060B2"/>
    <w:rsid w:val="13186E42"/>
    <w:rsid w:val="13190AF4"/>
    <w:rsid w:val="131932E4"/>
    <w:rsid w:val="131963DC"/>
    <w:rsid w:val="131E138E"/>
    <w:rsid w:val="131F262E"/>
    <w:rsid w:val="13283B56"/>
    <w:rsid w:val="13297FF6"/>
    <w:rsid w:val="1332521F"/>
    <w:rsid w:val="133277CA"/>
    <w:rsid w:val="1335535B"/>
    <w:rsid w:val="133A0AC7"/>
    <w:rsid w:val="133A3356"/>
    <w:rsid w:val="133F1EC0"/>
    <w:rsid w:val="13405FA4"/>
    <w:rsid w:val="1343375B"/>
    <w:rsid w:val="13437025"/>
    <w:rsid w:val="13467046"/>
    <w:rsid w:val="134D0619"/>
    <w:rsid w:val="134D551C"/>
    <w:rsid w:val="135841B0"/>
    <w:rsid w:val="135D17D1"/>
    <w:rsid w:val="135D546B"/>
    <w:rsid w:val="135E31BF"/>
    <w:rsid w:val="1363166D"/>
    <w:rsid w:val="13673126"/>
    <w:rsid w:val="136A19CE"/>
    <w:rsid w:val="136A44D6"/>
    <w:rsid w:val="136A4ECF"/>
    <w:rsid w:val="136B030E"/>
    <w:rsid w:val="136F6605"/>
    <w:rsid w:val="137169D7"/>
    <w:rsid w:val="137337AA"/>
    <w:rsid w:val="1374123B"/>
    <w:rsid w:val="13744002"/>
    <w:rsid w:val="137523F2"/>
    <w:rsid w:val="13760E65"/>
    <w:rsid w:val="13762775"/>
    <w:rsid w:val="1377797E"/>
    <w:rsid w:val="138379C8"/>
    <w:rsid w:val="138673A2"/>
    <w:rsid w:val="138779C2"/>
    <w:rsid w:val="138908C1"/>
    <w:rsid w:val="138A0A61"/>
    <w:rsid w:val="138C1208"/>
    <w:rsid w:val="138D6565"/>
    <w:rsid w:val="1390719C"/>
    <w:rsid w:val="13A27DF1"/>
    <w:rsid w:val="13A51D05"/>
    <w:rsid w:val="13A538D9"/>
    <w:rsid w:val="13AF0D6C"/>
    <w:rsid w:val="13AF1688"/>
    <w:rsid w:val="13B27F67"/>
    <w:rsid w:val="13B34C37"/>
    <w:rsid w:val="13B40B30"/>
    <w:rsid w:val="13B50FB2"/>
    <w:rsid w:val="13B5341D"/>
    <w:rsid w:val="13B538D7"/>
    <w:rsid w:val="13B83577"/>
    <w:rsid w:val="13BA1A83"/>
    <w:rsid w:val="13BA49BA"/>
    <w:rsid w:val="13BB24E3"/>
    <w:rsid w:val="13BF06D6"/>
    <w:rsid w:val="13C07DDE"/>
    <w:rsid w:val="13C67459"/>
    <w:rsid w:val="13CA7DA8"/>
    <w:rsid w:val="13D05093"/>
    <w:rsid w:val="13D07455"/>
    <w:rsid w:val="13D15432"/>
    <w:rsid w:val="13D22047"/>
    <w:rsid w:val="13D46B91"/>
    <w:rsid w:val="13D52A5F"/>
    <w:rsid w:val="13D54AAB"/>
    <w:rsid w:val="13D55E4D"/>
    <w:rsid w:val="13D63A3D"/>
    <w:rsid w:val="13D65AAB"/>
    <w:rsid w:val="13D71A3F"/>
    <w:rsid w:val="13D8241F"/>
    <w:rsid w:val="13D83CFF"/>
    <w:rsid w:val="13D94E0B"/>
    <w:rsid w:val="13DD6D1B"/>
    <w:rsid w:val="13DF7A6D"/>
    <w:rsid w:val="13E22357"/>
    <w:rsid w:val="13E479B8"/>
    <w:rsid w:val="13EE474D"/>
    <w:rsid w:val="13F57806"/>
    <w:rsid w:val="13F658DD"/>
    <w:rsid w:val="13F80F56"/>
    <w:rsid w:val="13FE5129"/>
    <w:rsid w:val="14021B6E"/>
    <w:rsid w:val="14055539"/>
    <w:rsid w:val="14056192"/>
    <w:rsid w:val="14064A81"/>
    <w:rsid w:val="140B223F"/>
    <w:rsid w:val="140C44B0"/>
    <w:rsid w:val="140C75A3"/>
    <w:rsid w:val="141357AD"/>
    <w:rsid w:val="1416087C"/>
    <w:rsid w:val="1417232E"/>
    <w:rsid w:val="141803CE"/>
    <w:rsid w:val="141A657A"/>
    <w:rsid w:val="141D72E7"/>
    <w:rsid w:val="14235A37"/>
    <w:rsid w:val="14267A62"/>
    <w:rsid w:val="14276E67"/>
    <w:rsid w:val="14346641"/>
    <w:rsid w:val="143571C6"/>
    <w:rsid w:val="1439269A"/>
    <w:rsid w:val="1439638C"/>
    <w:rsid w:val="144038CC"/>
    <w:rsid w:val="144439EE"/>
    <w:rsid w:val="14481FBE"/>
    <w:rsid w:val="144B51F1"/>
    <w:rsid w:val="145222C6"/>
    <w:rsid w:val="14523C5E"/>
    <w:rsid w:val="14583752"/>
    <w:rsid w:val="14585234"/>
    <w:rsid w:val="14595D94"/>
    <w:rsid w:val="145B4A91"/>
    <w:rsid w:val="145E4525"/>
    <w:rsid w:val="14622098"/>
    <w:rsid w:val="14645F8B"/>
    <w:rsid w:val="1468196C"/>
    <w:rsid w:val="146939B5"/>
    <w:rsid w:val="146F3015"/>
    <w:rsid w:val="146F332C"/>
    <w:rsid w:val="146F7C42"/>
    <w:rsid w:val="14704FDB"/>
    <w:rsid w:val="14723706"/>
    <w:rsid w:val="147632BA"/>
    <w:rsid w:val="14796030"/>
    <w:rsid w:val="14826E4E"/>
    <w:rsid w:val="148469AC"/>
    <w:rsid w:val="148D1E49"/>
    <w:rsid w:val="148D2700"/>
    <w:rsid w:val="148D7824"/>
    <w:rsid w:val="148D7AC3"/>
    <w:rsid w:val="14924830"/>
    <w:rsid w:val="149A42E0"/>
    <w:rsid w:val="149E0682"/>
    <w:rsid w:val="149F1A9B"/>
    <w:rsid w:val="149F490D"/>
    <w:rsid w:val="14A23D97"/>
    <w:rsid w:val="14A52DEA"/>
    <w:rsid w:val="14A719E9"/>
    <w:rsid w:val="14A721EF"/>
    <w:rsid w:val="14AB2EB6"/>
    <w:rsid w:val="14AB512D"/>
    <w:rsid w:val="14C440F1"/>
    <w:rsid w:val="14C55B46"/>
    <w:rsid w:val="14C86A08"/>
    <w:rsid w:val="14D11E01"/>
    <w:rsid w:val="14D17EDD"/>
    <w:rsid w:val="14D85C2A"/>
    <w:rsid w:val="14D8652F"/>
    <w:rsid w:val="14DB15E4"/>
    <w:rsid w:val="14DC19D6"/>
    <w:rsid w:val="14DF2753"/>
    <w:rsid w:val="14E57731"/>
    <w:rsid w:val="14E657B8"/>
    <w:rsid w:val="14E75D83"/>
    <w:rsid w:val="14E92F7C"/>
    <w:rsid w:val="14EC34D7"/>
    <w:rsid w:val="14EC78C6"/>
    <w:rsid w:val="14EF1D9C"/>
    <w:rsid w:val="14F26676"/>
    <w:rsid w:val="14F37035"/>
    <w:rsid w:val="14F57296"/>
    <w:rsid w:val="14F66762"/>
    <w:rsid w:val="14F95473"/>
    <w:rsid w:val="14FA34F5"/>
    <w:rsid w:val="14FA6AA3"/>
    <w:rsid w:val="14FB3FC1"/>
    <w:rsid w:val="14FD68A2"/>
    <w:rsid w:val="1509191F"/>
    <w:rsid w:val="150C7375"/>
    <w:rsid w:val="150D3E83"/>
    <w:rsid w:val="150E7B59"/>
    <w:rsid w:val="150F04B2"/>
    <w:rsid w:val="15102AB9"/>
    <w:rsid w:val="15121F06"/>
    <w:rsid w:val="151473F6"/>
    <w:rsid w:val="15154FFD"/>
    <w:rsid w:val="1516186C"/>
    <w:rsid w:val="151A2631"/>
    <w:rsid w:val="151B69B4"/>
    <w:rsid w:val="151F03C9"/>
    <w:rsid w:val="15221849"/>
    <w:rsid w:val="152332A2"/>
    <w:rsid w:val="152439DD"/>
    <w:rsid w:val="152478C1"/>
    <w:rsid w:val="15254843"/>
    <w:rsid w:val="1530032A"/>
    <w:rsid w:val="15304E9B"/>
    <w:rsid w:val="15322531"/>
    <w:rsid w:val="153579EA"/>
    <w:rsid w:val="153613B0"/>
    <w:rsid w:val="153652FD"/>
    <w:rsid w:val="1537477F"/>
    <w:rsid w:val="153A7C89"/>
    <w:rsid w:val="153B4886"/>
    <w:rsid w:val="1542538F"/>
    <w:rsid w:val="154534D4"/>
    <w:rsid w:val="1548610F"/>
    <w:rsid w:val="1549797F"/>
    <w:rsid w:val="154D0B60"/>
    <w:rsid w:val="154F28E9"/>
    <w:rsid w:val="15502DD0"/>
    <w:rsid w:val="15504D18"/>
    <w:rsid w:val="15544E02"/>
    <w:rsid w:val="155E1C29"/>
    <w:rsid w:val="155E6692"/>
    <w:rsid w:val="1567212B"/>
    <w:rsid w:val="156E240D"/>
    <w:rsid w:val="15737884"/>
    <w:rsid w:val="1576167A"/>
    <w:rsid w:val="15765CBE"/>
    <w:rsid w:val="15772DB2"/>
    <w:rsid w:val="1578451B"/>
    <w:rsid w:val="157E7694"/>
    <w:rsid w:val="157F14B3"/>
    <w:rsid w:val="15815579"/>
    <w:rsid w:val="15827F65"/>
    <w:rsid w:val="15836728"/>
    <w:rsid w:val="158509E0"/>
    <w:rsid w:val="15853A11"/>
    <w:rsid w:val="15887696"/>
    <w:rsid w:val="15897649"/>
    <w:rsid w:val="158B331D"/>
    <w:rsid w:val="158C6EC4"/>
    <w:rsid w:val="15921121"/>
    <w:rsid w:val="159530BD"/>
    <w:rsid w:val="159567A7"/>
    <w:rsid w:val="15956DB7"/>
    <w:rsid w:val="15972E5A"/>
    <w:rsid w:val="159E6C0E"/>
    <w:rsid w:val="159F546F"/>
    <w:rsid w:val="15A455E7"/>
    <w:rsid w:val="15A5254D"/>
    <w:rsid w:val="15A53BDD"/>
    <w:rsid w:val="15A71A3B"/>
    <w:rsid w:val="15A903E4"/>
    <w:rsid w:val="15AC58FE"/>
    <w:rsid w:val="15B0007C"/>
    <w:rsid w:val="15B140EC"/>
    <w:rsid w:val="15B765DD"/>
    <w:rsid w:val="15BD7C5C"/>
    <w:rsid w:val="15C069CA"/>
    <w:rsid w:val="15C8647E"/>
    <w:rsid w:val="15C93D2E"/>
    <w:rsid w:val="15CA5314"/>
    <w:rsid w:val="15CB5952"/>
    <w:rsid w:val="15D82EE5"/>
    <w:rsid w:val="15D9085C"/>
    <w:rsid w:val="15DC5BC7"/>
    <w:rsid w:val="15E34AF2"/>
    <w:rsid w:val="15E34B0B"/>
    <w:rsid w:val="15E41002"/>
    <w:rsid w:val="15E457EB"/>
    <w:rsid w:val="15E7203A"/>
    <w:rsid w:val="15E815E8"/>
    <w:rsid w:val="15E93006"/>
    <w:rsid w:val="15EB6617"/>
    <w:rsid w:val="15F661EA"/>
    <w:rsid w:val="15F724CD"/>
    <w:rsid w:val="15FA4CE9"/>
    <w:rsid w:val="15FC241C"/>
    <w:rsid w:val="160077F7"/>
    <w:rsid w:val="160130C2"/>
    <w:rsid w:val="16021D59"/>
    <w:rsid w:val="160227BD"/>
    <w:rsid w:val="16134B71"/>
    <w:rsid w:val="161431CC"/>
    <w:rsid w:val="1617615E"/>
    <w:rsid w:val="161F3208"/>
    <w:rsid w:val="161F3D3B"/>
    <w:rsid w:val="162147A1"/>
    <w:rsid w:val="16252224"/>
    <w:rsid w:val="16257284"/>
    <w:rsid w:val="16274EA4"/>
    <w:rsid w:val="162F4AB8"/>
    <w:rsid w:val="1634299D"/>
    <w:rsid w:val="16344074"/>
    <w:rsid w:val="16392D42"/>
    <w:rsid w:val="163A17BE"/>
    <w:rsid w:val="163C7E15"/>
    <w:rsid w:val="163E0685"/>
    <w:rsid w:val="163E4B57"/>
    <w:rsid w:val="163E5D9B"/>
    <w:rsid w:val="16403F34"/>
    <w:rsid w:val="16425B7D"/>
    <w:rsid w:val="164C0612"/>
    <w:rsid w:val="164C6EE9"/>
    <w:rsid w:val="164D38FE"/>
    <w:rsid w:val="164E0BB3"/>
    <w:rsid w:val="164E2C63"/>
    <w:rsid w:val="16522923"/>
    <w:rsid w:val="1653442D"/>
    <w:rsid w:val="16544B47"/>
    <w:rsid w:val="165A4BB2"/>
    <w:rsid w:val="165C3A6B"/>
    <w:rsid w:val="165C4086"/>
    <w:rsid w:val="165E3025"/>
    <w:rsid w:val="1664558B"/>
    <w:rsid w:val="16656FA8"/>
    <w:rsid w:val="166D205D"/>
    <w:rsid w:val="167128EA"/>
    <w:rsid w:val="16742C4D"/>
    <w:rsid w:val="16796E97"/>
    <w:rsid w:val="167D7CD8"/>
    <w:rsid w:val="1681585E"/>
    <w:rsid w:val="168246CC"/>
    <w:rsid w:val="168401C6"/>
    <w:rsid w:val="16864B51"/>
    <w:rsid w:val="16865798"/>
    <w:rsid w:val="168918AA"/>
    <w:rsid w:val="168A7279"/>
    <w:rsid w:val="168C1628"/>
    <w:rsid w:val="168C7A52"/>
    <w:rsid w:val="168E5F8A"/>
    <w:rsid w:val="168F28C5"/>
    <w:rsid w:val="1693023F"/>
    <w:rsid w:val="16984B22"/>
    <w:rsid w:val="16990B5D"/>
    <w:rsid w:val="169A3FB5"/>
    <w:rsid w:val="16A41F74"/>
    <w:rsid w:val="16AA3A33"/>
    <w:rsid w:val="16AB4658"/>
    <w:rsid w:val="16AB775E"/>
    <w:rsid w:val="16AD3083"/>
    <w:rsid w:val="16AE02A4"/>
    <w:rsid w:val="16B261EF"/>
    <w:rsid w:val="16B5268A"/>
    <w:rsid w:val="16B6690E"/>
    <w:rsid w:val="16B6732B"/>
    <w:rsid w:val="16BA48ED"/>
    <w:rsid w:val="16BA4C6D"/>
    <w:rsid w:val="16BB21B0"/>
    <w:rsid w:val="16BE0484"/>
    <w:rsid w:val="16BF1BB3"/>
    <w:rsid w:val="16BF1F80"/>
    <w:rsid w:val="16C12947"/>
    <w:rsid w:val="16C176AB"/>
    <w:rsid w:val="16C268D5"/>
    <w:rsid w:val="16D22DEA"/>
    <w:rsid w:val="16D51756"/>
    <w:rsid w:val="16D600EE"/>
    <w:rsid w:val="16D67CE2"/>
    <w:rsid w:val="16D82144"/>
    <w:rsid w:val="16DA4418"/>
    <w:rsid w:val="16DC1C3F"/>
    <w:rsid w:val="16DE7887"/>
    <w:rsid w:val="16E17EC8"/>
    <w:rsid w:val="16E66173"/>
    <w:rsid w:val="16E928E7"/>
    <w:rsid w:val="16E94042"/>
    <w:rsid w:val="16EA5118"/>
    <w:rsid w:val="16F55E2D"/>
    <w:rsid w:val="16FA4318"/>
    <w:rsid w:val="16FC1362"/>
    <w:rsid w:val="17020260"/>
    <w:rsid w:val="170646B8"/>
    <w:rsid w:val="170948F8"/>
    <w:rsid w:val="17133372"/>
    <w:rsid w:val="17141447"/>
    <w:rsid w:val="171425D8"/>
    <w:rsid w:val="1715226F"/>
    <w:rsid w:val="17167DA6"/>
    <w:rsid w:val="171D7A35"/>
    <w:rsid w:val="171E02A4"/>
    <w:rsid w:val="172078F8"/>
    <w:rsid w:val="17207AA8"/>
    <w:rsid w:val="17207F9D"/>
    <w:rsid w:val="17215689"/>
    <w:rsid w:val="172618A7"/>
    <w:rsid w:val="172B210A"/>
    <w:rsid w:val="172E5B76"/>
    <w:rsid w:val="173000E4"/>
    <w:rsid w:val="17310D1F"/>
    <w:rsid w:val="17341E3A"/>
    <w:rsid w:val="173C5340"/>
    <w:rsid w:val="173D5661"/>
    <w:rsid w:val="173D7379"/>
    <w:rsid w:val="17412634"/>
    <w:rsid w:val="174E427C"/>
    <w:rsid w:val="174F2D32"/>
    <w:rsid w:val="17510C5A"/>
    <w:rsid w:val="175939C2"/>
    <w:rsid w:val="175960B0"/>
    <w:rsid w:val="175B2A2B"/>
    <w:rsid w:val="175C1A3D"/>
    <w:rsid w:val="175E7C7C"/>
    <w:rsid w:val="17601827"/>
    <w:rsid w:val="176728D0"/>
    <w:rsid w:val="176A482C"/>
    <w:rsid w:val="176C5F95"/>
    <w:rsid w:val="176E4B93"/>
    <w:rsid w:val="176E53ED"/>
    <w:rsid w:val="176F0C5A"/>
    <w:rsid w:val="1773319F"/>
    <w:rsid w:val="17766F92"/>
    <w:rsid w:val="177F0726"/>
    <w:rsid w:val="17815BBC"/>
    <w:rsid w:val="17823C6F"/>
    <w:rsid w:val="178404D5"/>
    <w:rsid w:val="17877A77"/>
    <w:rsid w:val="17881A8E"/>
    <w:rsid w:val="178A0936"/>
    <w:rsid w:val="178D6386"/>
    <w:rsid w:val="1790133B"/>
    <w:rsid w:val="1792786E"/>
    <w:rsid w:val="17A0318F"/>
    <w:rsid w:val="17A175EF"/>
    <w:rsid w:val="17A81C66"/>
    <w:rsid w:val="17AD2FC9"/>
    <w:rsid w:val="17AF75F7"/>
    <w:rsid w:val="17B01B64"/>
    <w:rsid w:val="17B12A6B"/>
    <w:rsid w:val="17B31B58"/>
    <w:rsid w:val="17B511BE"/>
    <w:rsid w:val="17B9031F"/>
    <w:rsid w:val="17B961AD"/>
    <w:rsid w:val="17BE3E44"/>
    <w:rsid w:val="17C319F1"/>
    <w:rsid w:val="17C53BD8"/>
    <w:rsid w:val="17C77D20"/>
    <w:rsid w:val="17CE14F0"/>
    <w:rsid w:val="17D16560"/>
    <w:rsid w:val="17D44080"/>
    <w:rsid w:val="17D523DA"/>
    <w:rsid w:val="17D811C2"/>
    <w:rsid w:val="17D94428"/>
    <w:rsid w:val="17D97C94"/>
    <w:rsid w:val="17DF2CB3"/>
    <w:rsid w:val="17E309B8"/>
    <w:rsid w:val="17E465F3"/>
    <w:rsid w:val="17E53D12"/>
    <w:rsid w:val="17E966F1"/>
    <w:rsid w:val="17EF1230"/>
    <w:rsid w:val="17FF0D91"/>
    <w:rsid w:val="180026E5"/>
    <w:rsid w:val="18003FBD"/>
    <w:rsid w:val="18075248"/>
    <w:rsid w:val="180A0422"/>
    <w:rsid w:val="180C61A5"/>
    <w:rsid w:val="18144F0A"/>
    <w:rsid w:val="18150466"/>
    <w:rsid w:val="181C5EDD"/>
    <w:rsid w:val="181F2E24"/>
    <w:rsid w:val="181F6590"/>
    <w:rsid w:val="181F70B4"/>
    <w:rsid w:val="182107AB"/>
    <w:rsid w:val="18261AEC"/>
    <w:rsid w:val="18291D74"/>
    <w:rsid w:val="182D1CD7"/>
    <w:rsid w:val="182E7831"/>
    <w:rsid w:val="18300F51"/>
    <w:rsid w:val="18332CAE"/>
    <w:rsid w:val="18360AA4"/>
    <w:rsid w:val="183640D5"/>
    <w:rsid w:val="1839021F"/>
    <w:rsid w:val="183A4B98"/>
    <w:rsid w:val="183A62AA"/>
    <w:rsid w:val="183A7D71"/>
    <w:rsid w:val="183D64D8"/>
    <w:rsid w:val="18410CF6"/>
    <w:rsid w:val="1843372E"/>
    <w:rsid w:val="18452760"/>
    <w:rsid w:val="18481D47"/>
    <w:rsid w:val="18484571"/>
    <w:rsid w:val="184E43B5"/>
    <w:rsid w:val="1851171A"/>
    <w:rsid w:val="185A4DFE"/>
    <w:rsid w:val="185E285C"/>
    <w:rsid w:val="18602DE7"/>
    <w:rsid w:val="18646494"/>
    <w:rsid w:val="18663DF8"/>
    <w:rsid w:val="186743D4"/>
    <w:rsid w:val="186766D7"/>
    <w:rsid w:val="186A4CC9"/>
    <w:rsid w:val="186C55AD"/>
    <w:rsid w:val="186D7DD3"/>
    <w:rsid w:val="186F1B57"/>
    <w:rsid w:val="186F6CF3"/>
    <w:rsid w:val="186F73BA"/>
    <w:rsid w:val="18701340"/>
    <w:rsid w:val="18743EDB"/>
    <w:rsid w:val="18773EFE"/>
    <w:rsid w:val="18833CE9"/>
    <w:rsid w:val="1884758E"/>
    <w:rsid w:val="188B7499"/>
    <w:rsid w:val="188D21C4"/>
    <w:rsid w:val="18903E1C"/>
    <w:rsid w:val="18912FA2"/>
    <w:rsid w:val="18984171"/>
    <w:rsid w:val="18984715"/>
    <w:rsid w:val="189A2802"/>
    <w:rsid w:val="189E4DF5"/>
    <w:rsid w:val="18A137AD"/>
    <w:rsid w:val="18A44C75"/>
    <w:rsid w:val="18A652CA"/>
    <w:rsid w:val="18AA1538"/>
    <w:rsid w:val="18B24844"/>
    <w:rsid w:val="18B32CAD"/>
    <w:rsid w:val="18B474AC"/>
    <w:rsid w:val="18B54CA4"/>
    <w:rsid w:val="18BB036B"/>
    <w:rsid w:val="18BD04FE"/>
    <w:rsid w:val="18C34B07"/>
    <w:rsid w:val="18C50BDE"/>
    <w:rsid w:val="18C54DAA"/>
    <w:rsid w:val="18C70857"/>
    <w:rsid w:val="18CA2D61"/>
    <w:rsid w:val="18CC1D1B"/>
    <w:rsid w:val="18CE4EBC"/>
    <w:rsid w:val="18D035D6"/>
    <w:rsid w:val="18D34424"/>
    <w:rsid w:val="18D45B0D"/>
    <w:rsid w:val="18D52D8E"/>
    <w:rsid w:val="18D551D0"/>
    <w:rsid w:val="18D97D5C"/>
    <w:rsid w:val="18DA4CD8"/>
    <w:rsid w:val="18DB192F"/>
    <w:rsid w:val="18DB67DC"/>
    <w:rsid w:val="18DC3C67"/>
    <w:rsid w:val="18DC4B6B"/>
    <w:rsid w:val="18DE6AC2"/>
    <w:rsid w:val="18E46C27"/>
    <w:rsid w:val="18EA230A"/>
    <w:rsid w:val="18EA5B50"/>
    <w:rsid w:val="18EA7EA2"/>
    <w:rsid w:val="18EC2493"/>
    <w:rsid w:val="18EF44C1"/>
    <w:rsid w:val="18F05B57"/>
    <w:rsid w:val="18F17C14"/>
    <w:rsid w:val="18F4601E"/>
    <w:rsid w:val="18F5042F"/>
    <w:rsid w:val="18F86563"/>
    <w:rsid w:val="18F95628"/>
    <w:rsid w:val="18FB5F33"/>
    <w:rsid w:val="18FC37CB"/>
    <w:rsid w:val="18FC5D57"/>
    <w:rsid w:val="18FE6B6A"/>
    <w:rsid w:val="18FF6F40"/>
    <w:rsid w:val="19003F77"/>
    <w:rsid w:val="19057DF8"/>
    <w:rsid w:val="19066EDD"/>
    <w:rsid w:val="19097CFB"/>
    <w:rsid w:val="190A55B3"/>
    <w:rsid w:val="190B5E96"/>
    <w:rsid w:val="190C1CDA"/>
    <w:rsid w:val="190D535F"/>
    <w:rsid w:val="191150F0"/>
    <w:rsid w:val="19123939"/>
    <w:rsid w:val="19134536"/>
    <w:rsid w:val="191E0D49"/>
    <w:rsid w:val="191E2E6B"/>
    <w:rsid w:val="191E2FB2"/>
    <w:rsid w:val="19200E6C"/>
    <w:rsid w:val="19202F77"/>
    <w:rsid w:val="19245792"/>
    <w:rsid w:val="192706FA"/>
    <w:rsid w:val="19281769"/>
    <w:rsid w:val="19293182"/>
    <w:rsid w:val="19326663"/>
    <w:rsid w:val="1935774D"/>
    <w:rsid w:val="193725FF"/>
    <w:rsid w:val="193B35EE"/>
    <w:rsid w:val="193B66A3"/>
    <w:rsid w:val="193D385E"/>
    <w:rsid w:val="193E1DA8"/>
    <w:rsid w:val="19432395"/>
    <w:rsid w:val="19467FB3"/>
    <w:rsid w:val="194849EB"/>
    <w:rsid w:val="19485167"/>
    <w:rsid w:val="194A2956"/>
    <w:rsid w:val="194B42CA"/>
    <w:rsid w:val="19514EDD"/>
    <w:rsid w:val="195300D1"/>
    <w:rsid w:val="195426A2"/>
    <w:rsid w:val="1955312D"/>
    <w:rsid w:val="195561F7"/>
    <w:rsid w:val="19567F01"/>
    <w:rsid w:val="1957218B"/>
    <w:rsid w:val="19575EC8"/>
    <w:rsid w:val="195A27DA"/>
    <w:rsid w:val="195E46C5"/>
    <w:rsid w:val="195F0E88"/>
    <w:rsid w:val="195F5A9A"/>
    <w:rsid w:val="195F6043"/>
    <w:rsid w:val="19627816"/>
    <w:rsid w:val="19642E98"/>
    <w:rsid w:val="19662EF5"/>
    <w:rsid w:val="1967521B"/>
    <w:rsid w:val="196A6E2E"/>
    <w:rsid w:val="197208A0"/>
    <w:rsid w:val="1972278D"/>
    <w:rsid w:val="197527AB"/>
    <w:rsid w:val="197604E9"/>
    <w:rsid w:val="197C66A3"/>
    <w:rsid w:val="197D10B6"/>
    <w:rsid w:val="197F007E"/>
    <w:rsid w:val="197F4A5F"/>
    <w:rsid w:val="197F6D00"/>
    <w:rsid w:val="198466B0"/>
    <w:rsid w:val="1985050B"/>
    <w:rsid w:val="198A7AC7"/>
    <w:rsid w:val="198C5F24"/>
    <w:rsid w:val="198D26AF"/>
    <w:rsid w:val="198E179A"/>
    <w:rsid w:val="198E760A"/>
    <w:rsid w:val="198F6207"/>
    <w:rsid w:val="19903BD6"/>
    <w:rsid w:val="19916B6A"/>
    <w:rsid w:val="19977F64"/>
    <w:rsid w:val="19981803"/>
    <w:rsid w:val="199C0C89"/>
    <w:rsid w:val="199E491A"/>
    <w:rsid w:val="19A065F2"/>
    <w:rsid w:val="19A07020"/>
    <w:rsid w:val="19A25D22"/>
    <w:rsid w:val="19A25E72"/>
    <w:rsid w:val="19A86A5F"/>
    <w:rsid w:val="19A97931"/>
    <w:rsid w:val="19AB3FF2"/>
    <w:rsid w:val="19AE4E7C"/>
    <w:rsid w:val="19B02176"/>
    <w:rsid w:val="19B1610A"/>
    <w:rsid w:val="19B44993"/>
    <w:rsid w:val="19BB7B4F"/>
    <w:rsid w:val="19BE2682"/>
    <w:rsid w:val="19C10704"/>
    <w:rsid w:val="19C15FBB"/>
    <w:rsid w:val="19C361DF"/>
    <w:rsid w:val="19C4359A"/>
    <w:rsid w:val="19C769AB"/>
    <w:rsid w:val="19C90932"/>
    <w:rsid w:val="19C94B50"/>
    <w:rsid w:val="19C95DC3"/>
    <w:rsid w:val="19CA071B"/>
    <w:rsid w:val="19CD52DF"/>
    <w:rsid w:val="19D03303"/>
    <w:rsid w:val="19D15CFA"/>
    <w:rsid w:val="19DB3148"/>
    <w:rsid w:val="19DD3BB3"/>
    <w:rsid w:val="19DE20A6"/>
    <w:rsid w:val="19E01CBE"/>
    <w:rsid w:val="19E31576"/>
    <w:rsid w:val="19E4241C"/>
    <w:rsid w:val="19E64F91"/>
    <w:rsid w:val="19EA62DB"/>
    <w:rsid w:val="19F12933"/>
    <w:rsid w:val="19F81AC5"/>
    <w:rsid w:val="19FA115E"/>
    <w:rsid w:val="19FB6583"/>
    <w:rsid w:val="19FC4911"/>
    <w:rsid w:val="1A054A23"/>
    <w:rsid w:val="1A077524"/>
    <w:rsid w:val="1A0B45D3"/>
    <w:rsid w:val="1A0C2768"/>
    <w:rsid w:val="1A0E1C47"/>
    <w:rsid w:val="1A0E331D"/>
    <w:rsid w:val="1A0E68F7"/>
    <w:rsid w:val="1A1040BC"/>
    <w:rsid w:val="1A1313F6"/>
    <w:rsid w:val="1A185B96"/>
    <w:rsid w:val="1A1F3E52"/>
    <w:rsid w:val="1A214DEA"/>
    <w:rsid w:val="1A2221CC"/>
    <w:rsid w:val="1A2719CE"/>
    <w:rsid w:val="1A2E4985"/>
    <w:rsid w:val="1A2F629A"/>
    <w:rsid w:val="1A2F75F3"/>
    <w:rsid w:val="1A317E2D"/>
    <w:rsid w:val="1A325A77"/>
    <w:rsid w:val="1A342175"/>
    <w:rsid w:val="1A352BCF"/>
    <w:rsid w:val="1A363334"/>
    <w:rsid w:val="1A395BD3"/>
    <w:rsid w:val="1A3D0E6B"/>
    <w:rsid w:val="1A437E8D"/>
    <w:rsid w:val="1A4737BA"/>
    <w:rsid w:val="1A4A6A5F"/>
    <w:rsid w:val="1A5349D4"/>
    <w:rsid w:val="1A5632EB"/>
    <w:rsid w:val="1A595C6F"/>
    <w:rsid w:val="1A5A3482"/>
    <w:rsid w:val="1A5B782A"/>
    <w:rsid w:val="1A5D09E2"/>
    <w:rsid w:val="1A637266"/>
    <w:rsid w:val="1A6D6209"/>
    <w:rsid w:val="1A6E21F4"/>
    <w:rsid w:val="1A70281A"/>
    <w:rsid w:val="1A71357B"/>
    <w:rsid w:val="1A780C49"/>
    <w:rsid w:val="1A7B1218"/>
    <w:rsid w:val="1A80499B"/>
    <w:rsid w:val="1A813CC4"/>
    <w:rsid w:val="1A8401BF"/>
    <w:rsid w:val="1A8541BE"/>
    <w:rsid w:val="1A896311"/>
    <w:rsid w:val="1A8B1AEA"/>
    <w:rsid w:val="1A8E4C2E"/>
    <w:rsid w:val="1A943A91"/>
    <w:rsid w:val="1A95653E"/>
    <w:rsid w:val="1A966695"/>
    <w:rsid w:val="1A977AEF"/>
    <w:rsid w:val="1A9A6BF9"/>
    <w:rsid w:val="1A9C3469"/>
    <w:rsid w:val="1A9D65BD"/>
    <w:rsid w:val="1AA169A3"/>
    <w:rsid w:val="1AA954A1"/>
    <w:rsid w:val="1AAA55F1"/>
    <w:rsid w:val="1AB14FAE"/>
    <w:rsid w:val="1AB22FE6"/>
    <w:rsid w:val="1AB40093"/>
    <w:rsid w:val="1AB50F27"/>
    <w:rsid w:val="1AB61E74"/>
    <w:rsid w:val="1AB7774E"/>
    <w:rsid w:val="1ABB20E8"/>
    <w:rsid w:val="1ABB6099"/>
    <w:rsid w:val="1ABF519A"/>
    <w:rsid w:val="1AC153AF"/>
    <w:rsid w:val="1AC31452"/>
    <w:rsid w:val="1AC3386C"/>
    <w:rsid w:val="1AC370E2"/>
    <w:rsid w:val="1AC629E5"/>
    <w:rsid w:val="1ACA170C"/>
    <w:rsid w:val="1ACE450F"/>
    <w:rsid w:val="1AD45D59"/>
    <w:rsid w:val="1AD62EB3"/>
    <w:rsid w:val="1ADD17F4"/>
    <w:rsid w:val="1ADD6C20"/>
    <w:rsid w:val="1ADD7E03"/>
    <w:rsid w:val="1ADF524E"/>
    <w:rsid w:val="1AE54F83"/>
    <w:rsid w:val="1AE87A82"/>
    <w:rsid w:val="1AF00507"/>
    <w:rsid w:val="1AF154F6"/>
    <w:rsid w:val="1AF603BC"/>
    <w:rsid w:val="1AFD5B93"/>
    <w:rsid w:val="1AFE5685"/>
    <w:rsid w:val="1B013C25"/>
    <w:rsid w:val="1B021B47"/>
    <w:rsid w:val="1B0275EC"/>
    <w:rsid w:val="1B036D45"/>
    <w:rsid w:val="1B063FD2"/>
    <w:rsid w:val="1B091CF0"/>
    <w:rsid w:val="1B0C030C"/>
    <w:rsid w:val="1B0E4231"/>
    <w:rsid w:val="1B11738E"/>
    <w:rsid w:val="1B1412D9"/>
    <w:rsid w:val="1B1F43D5"/>
    <w:rsid w:val="1B201BFA"/>
    <w:rsid w:val="1B2176CD"/>
    <w:rsid w:val="1B23713A"/>
    <w:rsid w:val="1B2409BA"/>
    <w:rsid w:val="1B295C7D"/>
    <w:rsid w:val="1B2D3B8A"/>
    <w:rsid w:val="1B320016"/>
    <w:rsid w:val="1B3256F9"/>
    <w:rsid w:val="1B3353BE"/>
    <w:rsid w:val="1B340112"/>
    <w:rsid w:val="1B347193"/>
    <w:rsid w:val="1B386379"/>
    <w:rsid w:val="1B3A6A8B"/>
    <w:rsid w:val="1B412986"/>
    <w:rsid w:val="1B431F73"/>
    <w:rsid w:val="1B4A6B1D"/>
    <w:rsid w:val="1B4F07F8"/>
    <w:rsid w:val="1B523B18"/>
    <w:rsid w:val="1B53548E"/>
    <w:rsid w:val="1B54061A"/>
    <w:rsid w:val="1B5418EC"/>
    <w:rsid w:val="1B5E609B"/>
    <w:rsid w:val="1B613AD9"/>
    <w:rsid w:val="1B6213B7"/>
    <w:rsid w:val="1B6353C4"/>
    <w:rsid w:val="1B64607E"/>
    <w:rsid w:val="1B652628"/>
    <w:rsid w:val="1B654B98"/>
    <w:rsid w:val="1B685BC2"/>
    <w:rsid w:val="1B6C1367"/>
    <w:rsid w:val="1B6C1E19"/>
    <w:rsid w:val="1B6C44AB"/>
    <w:rsid w:val="1B720E7B"/>
    <w:rsid w:val="1B7300DB"/>
    <w:rsid w:val="1B736F38"/>
    <w:rsid w:val="1B763F6B"/>
    <w:rsid w:val="1B770594"/>
    <w:rsid w:val="1B7D36F2"/>
    <w:rsid w:val="1B7E37AE"/>
    <w:rsid w:val="1B803A8A"/>
    <w:rsid w:val="1B827828"/>
    <w:rsid w:val="1B86171C"/>
    <w:rsid w:val="1B86564C"/>
    <w:rsid w:val="1B881194"/>
    <w:rsid w:val="1B893E17"/>
    <w:rsid w:val="1B894D79"/>
    <w:rsid w:val="1B8B657A"/>
    <w:rsid w:val="1B8E5086"/>
    <w:rsid w:val="1B913863"/>
    <w:rsid w:val="1B934812"/>
    <w:rsid w:val="1B947445"/>
    <w:rsid w:val="1B9553DE"/>
    <w:rsid w:val="1B963D87"/>
    <w:rsid w:val="1B972E69"/>
    <w:rsid w:val="1B980434"/>
    <w:rsid w:val="1BA22529"/>
    <w:rsid w:val="1BA23A10"/>
    <w:rsid w:val="1BA31DF0"/>
    <w:rsid w:val="1BA33E4C"/>
    <w:rsid w:val="1BA41E98"/>
    <w:rsid w:val="1BA660AB"/>
    <w:rsid w:val="1BA76341"/>
    <w:rsid w:val="1BA87ACF"/>
    <w:rsid w:val="1BA912D4"/>
    <w:rsid w:val="1BAD7FA3"/>
    <w:rsid w:val="1BB043D6"/>
    <w:rsid w:val="1BB17510"/>
    <w:rsid w:val="1BB31AE7"/>
    <w:rsid w:val="1BB66FE3"/>
    <w:rsid w:val="1BB8654D"/>
    <w:rsid w:val="1BB8737E"/>
    <w:rsid w:val="1BBB106F"/>
    <w:rsid w:val="1BC77884"/>
    <w:rsid w:val="1BC85949"/>
    <w:rsid w:val="1BCA5958"/>
    <w:rsid w:val="1BCC6822"/>
    <w:rsid w:val="1BCD5E44"/>
    <w:rsid w:val="1BCE184D"/>
    <w:rsid w:val="1BCF2388"/>
    <w:rsid w:val="1BCF30FF"/>
    <w:rsid w:val="1BCF3167"/>
    <w:rsid w:val="1BD0651F"/>
    <w:rsid w:val="1BD24DD2"/>
    <w:rsid w:val="1BDB3507"/>
    <w:rsid w:val="1BDC7CAD"/>
    <w:rsid w:val="1BDF2CA0"/>
    <w:rsid w:val="1BE7061A"/>
    <w:rsid w:val="1BEA19C8"/>
    <w:rsid w:val="1BEA4343"/>
    <w:rsid w:val="1BEA573E"/>
    <w:rsid w:val="1BED5ABB"/>
    <w:rsid w:val="1BF05674"/>
    <w:rsid w:val="1BF47F8E"/>
    <w:rsid w:val="1BF87F98"/>
    <w:rsid w:val="1BFF1638"/>
    <w:rsid w:val="1C006FA0"/>
    <w:rsid w:val="1C017F06"/>
    <w:rsid w:val="1C032221"/>
    <w:rsid w:val="1C0A354E"/>
    <w:rsid w:val="1C0A4C6E"/>
    <w:rsid w:val="1C0B35C7"/>
    <w:rsid w:val="1C0F1827"/>
    <w:rsid w:val="1C1326C6"/>
    <w:rsid w:val="1C1471FA"/>
    <w:rsid w:val="1C1546F7"/>
    <w:rsid w:val="1C154E10"/>
    <w:rsid w:val="1C162382"/>
    <w:rsid w:val="1C165571"/>
    <w:rsid w:val="1C1871A3"/>
    <w:rsid w:val="1C1E0BD3"/>
    <w:rsid w:val="1C1F1A67"/>
    <w:rsid w:val="1C2267F0"/>
    <w:rsid w:val="1C271D0B"/>
    <w:rsid w:val="1C2E68E9"/>
    <w:rsid w:val="1C377FC5"/>
    <w:rsid w:val="1C3D2231"/>
    <w:rsid w:val="1C3D7A5F"/>
    <w:rsid w:val="1C40248B"/>
    <w:rsid w:val="1C40495B"/>
    <w:rsid w:val="1C481E56"/>
    <w:rsid w:val="1C4960F8"/>
    <w:rsid w:val="1C4F5DFE"/>
    <w:rsid w:val="1C5047A6"/>
    <w:rsid w:val="1C5329C5"/>
    <w:rsid w:val="1C5B352C"/>
    <w:rsid w:val="1C5C0859"/>
    <w:rsid w:val="1C5C3FDA"/>
    <w:rsid w:val="1C5C71E5"/>
    <w:rsid w:val="1C5D4195"/>
    <w:rsid w:val="1C604398"/>
    <w:rsid w:val="1C6264DB"/>
    <w:rsid w:val="1C647140"/>
    <w:rsid w:val="1C692A87"/>
    <w:rsid w:val="1C6C4B1A"/>
    <w:rsid w:val="1C6D4B3B"/>
    <w:rsid w:val="1C700ABC"/>
    <w:rsid w:val="1C715CA6"/>
    <w:rsid w:val="1C73318C"/>
    <w:rsid w:val="1C757993"/>
    <w:rsid w:val="1C7A24EA"/>
    <w:rsid w:val="1C7F3C82"/>
    <w:rsid w:val="1C807BFD"/>
    <w:rsid w:val="1C8120D4"/>
    <w:rsid w:val="1C82014D"/>
    <w:rsid w:val="1C825065"/>
    <w:rsid w:val="1C884B30"/>
    <w:rsid w:val="1C887FBA"/>
    <w:rsid w:val="1C8A33DB"/>
    <w:rsid w:val="1C8B3D8A"/>
    <w:rsid w:val="1C8D1091"/>
    <w:rsid w:val="1C8D5627"/>
    <w:rsid w:val="1C8E04CE"/>
    <w:rsid w:val="1C934F04"/>
    <w:rsid w:val="1C9618B5"/>
    <w:rsid w:val="1C9C2B9C"/>
    <w:rsid w:val="1CA26615"/>
    <w:rsid w:val="1CAA2A14"/>
    <w:rsid w:val="1CAA66F5"/>
    <w:rsid w:val="1CB46F4F"/>
    <w:rsid w:val="1CB47419"/>
    <w:rsid w:val="1CB550D8"/>
    <w:rsid w:val="1CB73FB0"/>
    <w:rsid w:val="1CB92AC4"/>
    <w:rsid w:val="1CBE7F80"/>
    <w:rsid w:val="1CBF0508"/>
    <w:rsid w:val="1CC0168F"/>
    <w:rsid w:val="1CC464DD"/>
    <w:rsid w:val="1CC47653"/>
    <w:rsid w:val="1CCD68B2"/>
    <w:rsid w:val="1CD176C6"/>
    <w:rsid w:val="1CDA652E"/>
    <w:rsid w:val="1CE550EA"/>
    <w:rsid w:val="1CE75A33"/>
    <w:rsid w:val="1CEB766F"/>
    <w:rsid w:val="1CF2479F"/>
    <w:rsid w:val="1CF41D3F"/>
    <w:rsid w:val="1CF8028E"/>
    <w:rsid w:val="1CFA4053"/>
    <w:rsid w:val="1D027C9D"/>
    <w:rsid w:val="1D085988"/>
    <w:rsid w:val="1D0B662A"/>
    <w:rsid w:val="1D0F001B"/>
    <w:rsid w:val="1D111E82"/>
    <w:rsid w:val="1D131C1D"/>
    <w:rsid w:val="1D164FB5"/>
    <w:rsid w:val="1D1905AA"/>
    <w:rsid w:val="1D1932FD"/>
    <w:rsid w:val="1D1B0540"/>
    <w:rsid w:val="1D1C6D98"/>
    <w:rsid w:val="1D1E7AFA"/>
    <w:rsid w:val="1D1F7F07"/>
    <w:rsid w:val="1D2169FE"/>
    <w:rsid w:val="1D2240EE"/>
    <w:rsid w:val="1D257433"/>
    <w:rsid w:val="1D316CD1"/>
    <w:rsid w:val="1D32014E"/>
    <w:rsid w:val="1D3373CD"/>
    <w:rsid w:val="1D356ACF"/>
    <w:rsid w:val="1D3756A8"/>
    <w:rsid w:val="1D3A42E1"/>
    <w:rsid w:val="1D3B005C"/>
    <w:rsid w:val="1D3D4EA5"/>
    <w:rsid w:val="1D3E1C6C"/>
    <w:rsid w:val="1D407F0D"/>
    <w:rsid w:val="1D413703"/>
    <w:rsid w:val="1D4203C1"/>
    <w:rsid w:val="1D470BC9"/>
    <w:rsid w:val="1D476BCA"/>
    <w:rsid w:val="1D484820"/>
    <w:rsid w:val="1D485CB1"/>
    <w:rsid w:val="1D4B036E"/>
    <w:rsid w:val="1D4C51A5"/>
    <w:rsid w:val="1D4F10C3"/>
    <w:rsid w:val="1D54748D"/>
    <w:rsid w:val="1D5636BB"/>
    <w:rsid w:val="1D584B20"/>
    <w:rsid w:val="1D5D698E"/>
    <w:rsid w:val="1D62318C"/>
    <w:rsid w:val="1D6317A7"/>
    <w:rsid w:val="1D6731CC"/>
    <w:rsid w:val="1D676DEC"/>
    <w:rsid w:val="1D6C0577"/>
    <w:rsid w:val="1D6C296C"/>
    <w:rsid w:val="1D6F5FA5"/>
    <w:rsid w:val="1D6F68F7"/>
    <w:rsid w:val="1D78624F"/>
    <w:rsid w:val="1D79076B"/>
    <w:rsid w:val="1D791F3D"/>
    <w:rsid w:val="1D7B1C16"/>
    <w:rsid w:val="1D7F471B"/>
    <w:rsid w:val="1D8236E9"/>
    <w:rsid w:val="1D8D36A0"/>
    <w:rsid w:val="1D8D752E"/>
    <w:rsid w:val="1D8E0496"/>
    <w:rsid w:val="1D902666"/>
    <w:rsid w:val="1D911D1A"/>
    <w:rsid w:val="1D94136D"/>
    <w:rsid w:val="1D970819"/>
    <w:rsid w:val="1D973CD1"/>
    <w:rsid w:val="1D99026C"/>
    <w:rsid w:val="1D9B03C3"/>
    <w:rsid w:val="1D9B3630"/>
    <w:rsid w:val="1D9F0F38"/>
    <w:rsid w:val="1DA05F90"/>
    <w:rsid w:val="1DA227F9"/>
    <w:rsid w:val="1DA264FB"/>
    <w:rsid w:val="1DA4238D"/>
    <w:rsid w:val="1DA61DC8"/>
    <w:rsid w:val="1DA749EC"/>
    <w:rsid w:val="1DA81E99"/>
    <w:rsid w:val="1DAA0E96"/>
    <w:rsid w:val="1DAA48E4"/>
    <w:rsid w:val="1DAA517D"/>
    <w:rsid w:val="1DAB1FE7"/>
    <w:rsid w:val="1DAB72AF"/>
    <w:rsid w:val="1DAC0C20"/>
    <w:rsid w:val="1DB055CD"/>
    <w:rsid w:val="1DB3359D"/>
    <w:rsid w:val="1DB82260"/>
    <w:rsid w:val="1DB845C9"/>
    <w:rsid w:val="1DBA6BF1"/>
    <w:rsid w:val="1DBC3206"/>
    <w:rsid w:val="1DBF124E"/>
    <w:rsid w:val="1DC34409"/>
    <w:rsid w:val="1DC50488"/>
    <w:rsid w:val="1DD27BC1"/>
    <w:rsid w:val="1DD32D11"/>
    <w:rsid w:val="1DD35DF0"/>
    <w:rsid w:val="1DD66796"/>
    <w:rsid w:val="1DD7711F"/>
    <w:rsid w:val="1DD77A20"/>
    <w:rsid w:val="1DDA38EC"/>
    <w:rsid w:val="1DDD2E89"/>
    <w:rsid w:val="1DE03DCF"/>
    <w:rsid w:val="1DE53019"/>
    <w:rsid w:val="1DEB6E4D"/>
    <w:rsid w:val="1DEF2F67"/>
    <w:rsid w:val="1DF148FC"/>
    <w:rsid w:val="1DF20AE6"/>
    <w:rsid w:val="1DF71588"/>
    <w:rsid w:val="1DF72A27"/>
    <w:rsid w:val="1DF7695B"/>
    <w:rsid w:val="1DFA739A"/>
    <w:rsid w:val="1E001720"/>
    <w:rsid w:val="1E026D87"/>
    <w:rsid w:val="1E04626C"/>
    <w:rsid w:val="1E085BBE"/>
    <w:rsid w:val="1E0C2144"/>
    <w:rsid w:val="1E111503"/>
    <w:rsid w:val="1E1207BC"/>
    <w:rsid w:val="1E166FCC"/>
    <w:rsid w:val="1E1721DF"/>
    <w:rsid w:val="1E1850E9"/>
    <w:rsid w:val="1E1C3C6C"/>
    <w:rsid w:val="1E290625"/>
    <w:rsid w:val="1E292D47"/>
    <w:rsid w:val="1E2D2151"/>
    <w:rsid w:val="1E2D4C7E"/>
    <w:rsid w:val="1E2F491C"/>
    <w:rsid w:val="1E300A75"/>
    <w:rsid w:val="1E3459FF"/>
    <w:rsid w:val="1E355F93"/>
    <w:rsid w:val="1E3770AB"/>
    <w:rsid w:val="1E392CDD"/>
    <w:rsid w:val="1E3C039C"/>
    <w:rsid w:val="1E3E4273"/>
    <w:rsid w:val="1E4C644E"/>
    <w:rsid w:val="1E4D29FC"/>
    <w:rsid w:val="1E4E7255"/>
    <w:rsid w:val="1E505056"/>
    <w:rsid w:val="1E527387"/>
    <w:rsid w:val="1E55220B"/>
    <w:rsid w:val="1E55736F"/>
    <w:rsid w:val="1E570C78"/>
    <w:rsid w:val="1E5713F7"/>
    <w:rsid w:val="1E5A5A5F"/>
    <w:rsid w:val="1E5B6FD2"/>
    <w:rsid w:val="1E5D12AD"/>
    <w:rsid w:val="1E5D5768"/>
    <w:rsid w:val="1E5E5842"/>
    <w:rsid w:val="1E605C98"/>
    <w:rsid w:val="1E6363DD"/>
    <w:rsid w:val="1E6562BC"/>
    <w:rsid w:val="1E673C41"/>
    <w:rsid w:val="1E676661"/>
    <w:rsid w:val="1E680BC2"/>
    <w:rsid w:val="1E6E6D97"/>
    <w:rsid w:val="1E716D37"/>
    <w:rsid w:val="1E7504E7"/>
    <w:rsid w:val="1E7527C2"/>
    <w:rsid w:val="1E762B43"/>
    <w:rsid w:val="1E793CDC"/>
    <w:rsid w:val="1E7C6C9F"/>
    <w:rsid w:val="1E7D75E1"/>
    <w:rsid w:val="1E7E0A47"/>
    <w:rsid w:val="1E7E289E"/>
    <w:rsid w:val="1E805680"/>
    <w:rsid w:val="1E810480"/>
    <w:rsid w:val="1E8152B1"/>
    <w:rsid w:val="1E815A52"/>
    <w:rsid w:val="1E8306A7"/>
    <w:rsid w:val="1E836DBE"/>
    <w:rsid w:val="1E866E11"/>
    <w:rsid w:val="1E87781F"/>
    <w:rsid w:val="1E902519"/>
    <w:rsid w:val="1E9069C9"/>
    <w:rsid w:val="1E932716"/>
    <w:rsid w:val="1E9344AB"/>
    <w:rsid w:val="1E951E48"/>
    <w:rsid w:val="1E987192"/>
    <w:rsid w:val="1E9B038E"/>
    <w:rsid w:val="1EA02DDC"/>
    <w:rsid w:val="1EA035F1"/>
    <w:rsid w:val="1EA31EF4"/>
    <w:rsid w:val="1EA61002"/>
    <w:rsid w:val="1EA661FE"/>
    <w:rsid w:val="1EAA0730"/>
    <w:rsid w:val="1EAB03E2"/>
    <w:rsid w:val="1EAD0DC6"/>
    <w:rsid w:val="1EAD4463"/>
    <w:rsid w:val="1EB1053D"/>
    <w:rsid w:val="1EB138B4"/>
    <w:rsid w:val="1EB24571"/>
    <w:rsid w:val="1EB61610"/>
    <w:rsid w:val="1EB65B59"/>
    <w:rsid w:val="1EB77D67"/>
    <w:rsid w:val="1EC432DB"/>
    <w:rsid w:val="1EC7122F"/>
    <w:rsid w:val="1EC75603"/>
    <w:rsid w:val="1ECC1449"/>
    <w:rsid w:val="1ED42CCB"/>
    <w:rsid w:val="1ED47ABF"/>
    <w:rsid w:val="1ED47C55"/>
    <w:rsid w:val="1ED55856"/>
    <w:rsid w:val="1EDD0A01"/>
    <w:rsid w:val="1EDE0305"/>
    <w:rsid w:val="1EE30569"/>
    <w:rsid w:val="1EE35B64"/>
    <w:rsid w:val="1EEC5360"/>
    <w:rsid w:val="1EFA53DC"/>
    <w:rsid w:val="1EFB7D07"/>
    <w:rsid w:val="1EFE762F"/>
    <w:rsid w:val="1F006C61"/>
    <w:rsid w:val="1F013FB1"/>
    <w:rsid w:val="1F031AD6"/>
    <w:rsid w:val="1F063696"/>
    <w:rsid w:val="1F075DAC"/>
    <w:rsid w:val="1F104119"/>
    <w:rsid w:val="1F1B226D"/>
    <w:rsid w:val="1F230C88"/>
    <w:rsid w:val="1F234BD5"/>
    <w:rsid w:val="1F351CF2"/>
    <w:rsid w:val="1F3A3406"/>
    <w:rsid w:val="1F411E9D"/>
    <w:rsid w:val="1F4178A6"/>
    <w:rsid w:val="1F4C2953"/>
    <w:rsid w:val="1F4D3C91"/>
    <w:rsid w:val="1F4D5A93"/>
    <w:rsid w:val="1F4F4D62"/>
    <w:rsid w:val="1F51664C"/>
    <w:rsid w:val="1F540D9A"/>
    <w:rsid w:val="1F565085"/>
    <w:rsid w:val="1F585B13"/>
    <w:rsid w:val="1F5864BD"/>
    <w:rsid w:val="1F5F102B"/>
    <w:rsid w:val="1F663F0E"/>
    <w:rsid w:val="1F6950C3"/>
    <w:rsid w:val="1F6B4AD6"/>
    <w:rsid w:val="1F6B5EF3"/>
    <w:rsid w:val="1F6F1BCC"/>
    <w:rsid w:val="1F7040C9"/>
    <w:rsid w:val="1F7618F2"/>
    <w:rsid w:val="1F766115"/>
    <w:rsid w:val="1F7928B3"/>
    <w:rsid w:val="1F7B7878"/>
    <w:rsid w:val="1F7F491C"/>
    <w:rsid w:val="1F8042B0"/>
    <w:rsid w:val="1F82195B"/>
    <w:rsid w:val="1F83780D"/>
    <w:rsid w:val="1F850B36"/>
    <w:rsid w:val="1F862C28"/>
    <w:rsid w:val="1F864E4A"/>
    <w:rsid w:val="1F877B61"/>
    <w:rsid w:val="1F964D6A"/>
    <w:rsid w:val="1F9C12DE"/>
    <w:rsid w:val="1F9E5F8E"/>
    <w:rsid w:val="1F9F7608"/>
    <w:rsid w:val="1FAB5738"/>
    <w:rsid w:val="1FAF47DF"/>
    <w:rsid w:val="1FB377A5"/>
    <w:rsid w:val="1FB96BF8"/>
    <w:rsid w:val="1FBB6807"/>
    <w:rsid w:val="1FBE3ECE"/>
    <w:rsid w:val="1FBE490C"/>
    <w:rsid w:val="1FBE7501"/>
    <w:rsid w:val="1FC179D0"/>
    <w:rsid w:val="1FC735E0"/>
    <w:rsid w:val="1FC94463"/>
    <w:rsid w:val="1FCC282A"/>
    <w:rsid w:val="1FCE3495"/>
    <w:rsid w:val="1FD054F5"/>
    <w:rsid w:val="1FD53186"/>
    <w:rsid w:val="1FD641DF"/>
    <w:rsid w:val="1FD80368"/>
    <w:rsid w:val="1FD90756"/>
    <w:rsid w:val="1FD93DEC"/>
    <w:rsid w:val="1FDD6E45"/>
    <w:rsid w:val="1FE00825"/>
    <w:rsid w:val="1FE00C40"/>
    <w:rsid w:val="1FE351B4"/>
    <w:rsid w:val="1FEA7927"/>
    <w:rsid w:val="1FED3C0B"/>
    <w:rsid w:val="1FEE3FCF"/>
    <w:rsid w:val="1FF5423C"/>
    <w:rsid w:val="1FFA192E"/>
    <w:rsid w:val="1FFC1EBA"/>
    <w:rsid w:val="1FFC567C"/>
    <w:rsid w:val="1FFF06B0"/>
    <w:rsid w:val="2000106F"/>
    <w:rsid w:val="200161BA"/>
    <w:rsid w:val="20051265"/>
    <w:rsid w:val="20053D42"/>
    <w:rsid w:val="200B426D"/>
    <w:rsid w:val="200C40A9"/>
    <w:rsid w:val="200D4E23"/>
    <w:rsid w:val="20111C3A"/>
    <w:rsid w:val="20154CE1"/>
    <w:rsid w:val="201906DE"/>
    <w:rsid w:val="201A587C"/>
    <w:rsid w:val="201B7BFB"/>
    <w:rsid w:val="201D62E0"/>
    <w:rsid w:val="2020311C"/>
    <w:rsid w:val="202243AF"/>
    <w:rsid w:val="202522CE"/>
    <w:rsid w:val="20272359"/>
    <w:rsid w:val="20285BD9"/>
    <w:rsid w:val="202C4F13"/>
    <w:rsid w:val="20306EC4"/>
    <w:rsid w:val="20326FAD"/>
    <w:rsid w:val="20354FB1"/>
    <w:rsid w:val="203A651F"/>
    <w:rsid w:val="203F61F7"/>
    <w:rsid w:val="20414358"/>
    <w:rsid w:val="20414854"/>
    <w:rsid w:val="204765B9"/>
    <w:rsid w:val="20477B58"/>
    <w:rsid w:val="20486E84"/>
    <w:rsid w:val="20513DFB"/>
    <w:rsid w:val="20536F2E"/>
    <w:rsid w:val="20546F10"/>
    <w:rsid w:val="205C60CC"/>
    <w:rsid w:val="20612D02"/>
    <w:rsid w:val="2066087A"/>
    <w:rsid w:val="2067636A"/>
    <w:rsid w:val="2069004E"/>
    <w:rsid w:val="206A6AB7"/>
    <w:rsid w:val="206D78EC"/>
    <w:rsid w:val="20736C38"/>
    <w:rsid w:val="20801EBC"/>
    <w:rsid w:val="2080364C"/>
    <w:rsid w:val="20807A89"/>
    <w:rsid w:val="2082564A"/>
    <w:rsid w:val="208368A1"/>
    <w:rsid w:val="20871D20"/>
    <w:rsid w:val="208F7C2C"/>
    <w:rsid w:val="209636C2"/>
    <w:rsid w:val="209B4748"/>
    <w:rsid w:val="20A31B49"/>
    <w:rsid w:val="20A50F04"/>
    <w:rsid w:val="20A54A39"/>
    <w:rsid w:val="20A74F55"/>
    <w:rsid w:val="20A80ABE"/>
    <w:rsid w:val="20A9536E"/>
    <w:rsid w:val="20AB6E78"/>
    <w:rsid w:val="20AE4134"/>
    <w:rsid w:val="20AF58DB"/>
    <w:rsid w:val="20B23271"/>
    <w:rsid w:val="20B64C99"/>
    <w:rsid w:val="20BA0303"/>
    <w:rsid w:val="20C06A72"/>
    <w:rsid w:val="20C2537C"/>
    <w:rsid w:val="20C32B9E"/>
    <w:rsid w:val="20C56E2E"/>
    <w:rsid w:val="20CB64A6"/>
    <w:rsid w:val="20CE742A"/>
    <w:rsid w:val="20D03819"/>
    <w:rsid w:val="20D75A51"/>
    <w:rsid w:val="20E16098"/>
    <w:rsid w:val="20E21C0A"/>
    <w:rsid w:val="20EF6D68"/>
    <w:rsid w:val="20F0699C"/>
    <w:rsid w:val="20F26018"/>
    <w:rsid w:val="20F44E76"/>
    <w:rsid w:val="20F523B0"/>
    <w:rsid w:val="20F6134E"/>
    <w:rsid w:val="20F644F1"/>
    <w:rsid w:val="20F92451"/>
    <w:rsid w:val="20F930CF"/>
    <w:rsid w:val="20FA2DAF"/>
    <w:rsid w:val="20FC2ABC"/>
    <w:rsid w:val="20FD4325"/>
    <w:rsid w:val="20FE46C2"/>
    <w:rsid w:val="2100393D"/>
    <w:rsid w:val="2104688F"/>
    <w:rsid w:val="21053204"/>
    <w:rsid w:val="210A5E74"/>
    <w:rsid w:val="210D4409"/>
    <w:rsid w:val="21134377"/>
    <w:rsid w:val="21180490"/>
    <w:rsid w:val="2119399F"/>
    <w:rsid w:val="211D4CE4"/>
    <w:rsid w:val="21223259"/>
    <w:rsid w:val="21230207"/>
    <w:rsid w:val="21271541"/>
    <w:rsid w:val="212A4AEE"/>
    <w:rsid w:val="212A7F7B"/>
    <w:rsid w:val="212B1A8A"/>
    <w:rsid w:val="212C44ED"/>
    <w:rsid w:val="212E12D7"/>
    <w:rsid w:val="21311FE2"/>
    <w:rsid w:val="2131205E"/>
    <w:rsid w:val="21340D8A"/>
    <w:rsid w:val="2137335E"/>
    <w:rsid w:val="2137361A"/>
    <w:rsid w:val="213A4BE6"/>
    <w:rsid w:val="213D41D5"/>
    <w:rsid w:val="2148153B"/>
    <w:rsid w:val="214933B5"/>
    <w:rsid w:val="214A1554"/>
    <w:rsid w:val="214A612C"/>
    <w:rsid w:val="214D6591"/>
    <w:rsid w:val="21660019"/>
    <w:rsid w:val="216759A0"/>
    <w:rsid w:val="216A0C46"/>
    <w:rsid w:val="21736FC1"/>
    <w:rsid w:val="21761BAE"/>
    <w:rsid w:val="21765A0F"/>
    <w:rsid w:val="217940BA"/>
    <w:rsid w:val="217F3E65"/>
    <w:rsid w:val="21823975"/>
    <w:rsid w:val="218345AB"/>
    <w:rsid w:val="218647F7"/>
    <w:rsid w:val="21893F86"/>
    <w:rsid w:val="218B451F"/>
    <w:rsid w:val="2191307E"/>
    <w:rsid w:val="21944F1B"/>
    <w:rsid w:val="21952BC3"/>
    <w:rsid w:val="21956B0F"/>
    <w:rsid w:val="219743E3"/>
    <w:rsid w:val="21982E8F"/>
    <w:rsid w:val="2198316C"/>
    <w:rsid w:val="21991597"/>
    <w:rsid w:val="21993DF2"/>
    <w:rsid w:val="21996A48"/>
    <w:rsid w:val="21A54A74"/>
    <w:rsid w:val="21A81C19"/>
    <w:rsid w:val="21AB1B8D"/>
    <w:rsid w:val="21AB4E51"/>
    <w:rsid w:val="21B3222C"/>
    <w:rsid w:val="21B43563"/>
    <w:rsid w:val="21B55E1C"/>
    <w:rsid w:val="21B85549"/>
    <w:rsid w:val="21BA6A5E"/>
    <w:rsid w:val="21BF52F7"/>
    <w:rsid w:val="21C231B9"/>
    <w:rsid w:val="21C32AD8"/>
    <w:rsid w:val="21C927E4"/>
    <w:rsid w:val="21CB2D82"/>
    <w:rsid w:val="21CC6BB2"/>
    <w:rsid w:val="21D00BC8"/>
    <w:rsid w:val="21D068A0"/>
    <w:rsid w:val="21DA2AE0"/>
    <w:rsid w:val="21DB28B1"/>
    <w:rsid w:val="21DB5AF1"/>
    <w:rsid w:val="21E041C7"/>
    <w:rsid w:val="21E169E1"/>
    <w:rsid w:val="21E26760"/>
    <w:rsid w:val="21EA2BEF"/>
    <w:rsid w:val="21EC76DE"/>
    <w:rsid w:val="21EE2370"/>
    <w:rsid w:val="21F077BD"/>
    <w:rsid w:val="21F12553"/>
    <w:rsid w:val="21F616D5"/>
    <w:rsid w:val="21F831F3"/>
    <w:rsid w:val="21F86205"/>
    <w:rsid w:val="22003AF3"/>
    <w:rsid w:val="22011987"/>
    <w:rsid w:val="22047974"/>
    <w:rsid w:val="22060215"/>
    <w:rsid w:val="22087E83"/>
    <w:rsid w:val="22100BD3"/>
    <w:rsid w:val="22112721"/>
    <w:rsid w:val="221444E8"/>
    <w:rsid w:val="22144962"/>
    <w:rsid w:val="221D6147"/>
    <w:rsid w:val="221F57FF"/>
    <w:rsid w:val="22217B11"/>
    <w:rsid w:val="22221853"/>
    <w:rsid w:val="22222321"/>
    <w:rsid w:val="2223065B"/>
    <w:rsid w:val="22244AEA"/>
    <w:rsid w:val="222905A5"/>
    <w:rsid w:val="222B6A47"/>
    <w:rsid w:val="222C055F"/>
    <w:rsid w:val="222D1587"/>
    <w:rsid w:val="222D7FE4"/>
    <w:rsid w:val="223071AC"/>
    <w:rsid w:val="223325F9"/>
    <w:rsid w:val="22351FAF"/>
    <w:rsid w:val="22381E33"/>
    <w:rsid w:val="223943AE"/>
    <w:rsid w:val="223B6D72"/>
    <w:rsid w:val="223D7F9B"/>
    <w:rsid w:val="224011A4"/>
    <w:rsid w:val="22406C83"/>
    <w:rsid w:val="22464256"/>
    <w:rsid w:val="224A3EE8"/>
    <w:rsid w:val="224D693E"/>
    <w:rsid w:val="22535D23"/>
    <w:rsid w:val="225A15A4"/>
    <w:rsid w:val="22621936"/>
    <w:rsid w:val="22630E38"/>
    <w:rsid w:val="22693A52"/>
    <w:rsid w:val="22696B88"/>
    <w:rsid w:val="226C1B93"/>
    <w:rsid w:val="226C62F5"/>
    <w:rsid w:val="2273201A"/>
    <w:rsid w:val="2274177E"/>
    <w:rsid w:val="227614EF"/>
    <w:rsid w:val="22780A84"/>
    <w:rsid w:val="22835BCE"/>
    <w:rsid w:val="22857BBB"/>
    <w:rsid w:val="228932C9"/>
    <w:rsid w:val="228E07E9"/>
    <w:rsid w:val="22913270"/>
    <w:rsid w:val="2291523A"/>
    <w:rsid w:val="229158A4"/>
    <w:rsid w:val="2292631E"/>
    <w:rsid w:val="22931B8B"/>
    <w:rsid w:val="22932533"/>
    <w:rsid w:val="22937BD8"/>
    <w:rsid w:val="22991148"/>
    <w:rsid w:val="22992B2F"/>
    <w:rsid w:val="229A7A35"/>
    <w:rsid w:val="22A01CE0"/>
    <w:rsid w:val="22A1144E"/>
    <w:rsid w:val="22A644D3"/>
    <w:rsid w:val="22A66CE6"/>
    <w:rsid w:val="22A72A84"/>
    <w:rsid w:val="22A836E6"/>
    <w:rsid w:val="22AC2247"/>
    <w:rsid w:val="22AC32DD"/>
    <w:rsid w:val="22B32ADB"/>
    <w:rsid w:val="22C02FE8"/>
    <w:rsid w:val="22C201DB"/>
    <w:rsid w:val="22C431CB"/>
    <w:rsid w:val="22C44C61"/>
    <w:rsid w:val="22CE6BF1"/>
    <w:rsid w:val="22D361B1"/>
    <w:rsid w:val="22D808CE"/>
    <w:rsid w:val="22D87C21"/>
    <w:rsid w:val="22DA1AE4"/>
    <w:rsid w:val="22E02719"/>
    <w:rsid w:val="22E63FAC"/>
    <w:rsid w:val="22EB7473"/>
    <w:rsid w:val="22EC6523"/>
    <w:rsid w:val="22EC76D3"/>
    <w:rsid w:val="22ED0CE5"/>
    <w:rsid w:val="22EF3C26"/>
    <w:rsid w:val="22F00490"/>
    <w:rsid w:val="22F14C06"/>
    <w:rsid w:val="22F16DD7"/>
    <w:rsid w:val="22F406C8"/>
    <w:rsid w:val="22F51E71"/>
    <w:rsid w:val="22F609D7"/>
    <w:rsid w:val="22FB5A0E"/>
    <w:rsid w:val="23027F6B"/>
    <w:rsid w:val="23032257"/>
    <w:rsid w:val="23041FD2"/>
    <w:rsid w:val="230664A2"/>
    <w:rsid w:val="23085EC2"/>
    <w:rsid w:val="2316614C"/>
    <w:rsid w:val="231C0828"/>
    <w:rsid w:val="231D21A8"/>
    <w:rsid w:val="23220283"/>
    <w:rsid w:val="23223DE0"/>
    <w:rsid w:val="2328087C"/>
    <w:rsid w:val="232866F2"/>
    <w:rsid w:val="232B56FC"/>
    <w:rsid w:val="232C07A6"/>
    <w:rsid w:val="232E519C"/>
    <w:rsid w:val="232F2BCD"/>
    <w:rsid w:val="233106E9"/>
    <w:rsid w:val="23323A81"/>
    <w:rsid w:val="23335B64"/>
    <w:rsid w:val="23336244"/>
    <w:rsid w:val="233776A7"/>
    <w:rsid w:val="23415955"/>
    <w:rsid w:val="23416525"/>
    <w:rsid w:val="23451F39"/>
    <w:rsid w:val="234B2399"/>
    <w:rsid w:val="23530DC3"/>
    <w:rsid w:val="23563A96"/>
    <w:rsid w:val="23566977"/>
    <w:rsid w:val="235C338B"/>
    <w:rsid w:val="235C5597"/>
    <w:rsid w:val="23661208"/>
    <w:rsid w:val="236958CC"/>
    <w:rsid w:val="236A331D"/>
    <w:rsid w:val="236C7F2A"/>
    <w:rsid w:val="236E0853"/>
    <w:rsid w:val="236F1DC4"/>
    <w:rsid w:val="23757CD7"/>
    <w:rsid w:val="238027CF"/>
    <w:rsid w:val="23852FC1"/>
    <w:rsid w:val="238B0073"/>
    <w:rsid w:val="238D084E"/>
    <w:rsid w:val="238F3D33"/>
    <w:rsid w:val="239040B8"/>
    <w:rsid w:val="239360AB"/>
    <w:rsid w:val="23960D3F"/>
    <w:rsid w:val="239B266A"/>
    <w:rsid w:val="23A2360D"/>
    <w:rsid w:val="23A54600"/>
    <w:rsid w:val="23A61711"/>
    <w:rsid w:val="23A61CEE"/>
    <w:rsid w:val="23AC62E5"/>
    <w:rsid w:val="23B36335"/>
    <w:rsid w:val="23B52F2C"/>
    <w:rsid w:val="23B6409B"/>
    <w:rsid w:val="23B670EB"/>
    <w:rsid w:val="23BC4BFE"/>
    <w:rsid w:val="23C21BAD"/>
    <w:rsid w:val="23C26E65"/>
    <w:rsid w:val="23C36FF1"/>
    <w:rsid w:val="23CB17DD"/>
    <w:rsid w:val="23CD08CD"/>
    <w:rsid w:val="23CD2BE5"/>
    <w:rsid w:val="23D16FA7"/>
    <w:rsid w:val="23DD09C9"/>
    <w:rsid w:val="23DD5A6C"/>
    <w:rsid w:val="23E26567"/>
    <w:rsid w:val="23E33CA7"/>
    <w:rsid w:val="23E57204"/>
    <w:rsid w:val="23E7016D"/>
    <w:rsid w:val="23EB2912"/>
    <w:rsid w:val="23EC37B8"/>
    <w:rsid w:val="23F25A3C"/>
    <w:rsid w:val="23F320A7"/>
    <w:rsid w:val="23F344F0"/>
    <w:rsid w:val="23F52170"/>
    <w:rsid w:val="23FC653F"/>
    <w:rsid w:val="24000BE2"/>
    <w:rsid w:val="24031218"/>
    <w:rsid w:val="240F789C"/>
    <w:rsid w:val="24133604"/>
    <w:rsid w:val="241B686A"/>
    <w:rsid w:val="241B72F2"/>
    <w:rsid w:val="241D64FD"/>
    <w:rsid w:val="241F124E"/>
    <w:rsid w:val="24204246"/>
    <w:rsid w:val="24237E43"/>
    <w:rsid w:val="242B0865"/>
    <w:rsid w:val="242F7C21"/>
    <w:rsid w:val="24323CFC"/>
    <w:rsid w:val="243612CA"/>
    <w:rsid w:val="24375F44"/>
    <w:rsid w:val="243A3438"/>
    <w:rsid w:val="243B554E"/>
    <w:rsid w:val="243F4D8E"/>
    <w:rsid w:val="2448545D"/>
    <w:rsid w:val="244C0DBF"/>
    <w:rsid w:val="24520B3E"/>
    <w:rsid w:val="24527DAC"/>
    <w:rsid w:val="24586B79"/>
    <w:rsid w:val="24590C55"/>
    <w:rsid w:val="24614DE8"/>
    <w:rsid w:val="24655EF0"/>
    <w:rsid w:val="246860A3"/>
    <w:rsid w:val="24692227"/>
    <w:rsid w:val="246A4ABD"/>
    <w:rsid w:val="246C2900"/>
    <w:rsid w:val="246C7936"/>
    <w:rsid w:val="246D7E7E"/>
    <w:rsid w:val="246E0569"/>
    <w:rsid w:val="246F08B9"/>
    <w:rsid w:val="24707CD7"/>
    <w:rsid w:val="24737BA8"/>
    <w:rsid w:val="24772A27"/>
    <w:rsid w:val="247A34FD"/>
    <w:rsid w:val="247E631A"/>
    <w:rsid w:val="24862E4C"/>
    <w:rsid w:val="24872A08"/>
    <w:rsid w:val="2488371B"/>
    <w:rsid w:val="248F1ED6"/>
    <w:rsid w:val="248F4896"/>
    <w:rsid w:val="24941E77"/>
    <w:rsid w:val="249563AC"/>
    <w:rsid w:val="24964A46"/>
    <w:rsid w:val="249A4ADC"/>
    <w:rsid w:val="249B594E"/>
    <w:rsid w:val="249C2EE2"/>
    <w:rsid w:val="249F7095"/>
    <w:rsid w:val="24A14692"/>
    <w:rsid w:val="24A502B1"/>
    <w:rsid w:val="24A62816"/>
    <w:rsid w:val="24A740BD"/>
    <w:rsid w:val="24A90AE6"/>
    <w:rsid w:val="24AD609A"/>
    <w:rsid w:val="24AE773C"/>
    <w:rsid w:val="24AF6337"/>
    <w:rsid w:val="24B71D74"/>
    <w:rsid w:val="24BE1A13"/>
    <w:rsid w:val="24BF37AA"/>
    <w:rsid w:val="24C20841"/>
    <w:rsid w:val="24C571D2"/>
    <w:rsid w:val="24C8603A"/>
    <w:rsid w:val="24C90C64"/>
    <w:rsid w:val="24CB65DC"/>
    <w:rsid w:val="24CD3961"/>
    <w:rsid w:val="24CF32D3"/>
    <w:rsid w:val="24D141F6"/>
    <w:rsid w:val="24D41376"/>
    <w:rsid w:val="24D556D3"/>
    <w:rsid w:val="24D73D45"/>
    <w:rsid w:val="24DB1B39"/>
    <w:rsid w:val="24DC1E2B"/>
    <w:rsid w:val="24DF6216"/>
    <w:rsid w:val="24E10EC5"/>
    <w:rsid w:val="24E237A2"/>
    <w:rsid w:val="24EA4AAC"/>
    <w:rsid w:val="24EB3177"/>
    <w:rsid w:val="24F26A07"/>
    <w:rsid w:val="24F73D51"/>
    <w:rsid w:val="24FA5256"/>
    <w:rsid w:val="24FC2285"/>
    <w:rsid w:val="24FF3F3A"/>
    <w:rsid w:val="250232E6"/>
    <w:rsid w:val="250A04DD"/>
    <w:rsid w:val="250A09EF"/>
    <w:rsid w:val="250B3CE3"/>
    <w:rsid w:val="250C107B"/>
    <w:rsid w:val="25121411"/>
    <w:rsid w:val="2517584C"/>
    <w:rsid w:val="25183464"/>
    <w:rsid w:val="251979C8"/>
    <w:rsid w:val="251B2456"/>
    <w:rsid w:val="251C6A4F"/>
    <w:rsid w:val="251F5E00"/>
    <w:rsid w:val="2521437F"/>
    <w:rsid w:val="252201BF"/>
    <w:rsid w:val="25242578"/>
    <w:rsid w:val="252449EE"/>
    <w:rsid w:val="25275059"/>
    <w:rsid w:val="25280CC4"/>
    <w:rsid w:val="252E2812"/>
    <w:rsid w:val="252F3C4E"/>
    <w:rsid w:val="25353E08"/>
    <w:rsid w:val="2536056A"/>
    <w:rsid w:val="253A20B1"/>
    <w:rsid w:val="253D270D"/>
    <w:rsid w:val="25417E94"/>
    <w:rsid w:val="25425C48"/>
    <w:rsid w:val="25436585"/>
    <w:rsid w:val="254961D4"/>
    <w:rsid w:val="254A5D7D"/>
    <w:rsid w:val="254C6ADE"/>
    <w:rsid w:val="254D0450"/>
    <w:rsid w:val="254D5FAE"/>
    <w:rsid w:val="254D7419"/>
    <w:rsid w:val="25520CC8"/>
    <w:rsid w:val="255265EB"/>
    <w:rsid w:val="255318FD"/>
    <w:rsid w:val="25577974"/>
    <w:rsid w:val="25595A35"/>
    <w:rsid w:val="255D21C7"/>
    <w:rsid w:val="256332F5"/>
    <w:rsid w:val="25664811"/>
    <w:rsid w:val="25676BBB"/>
    <w:rsid w:val="256874FC"/>
    <w:rsid w:val="256A1EBD"/>
    <w:rsid w:val="257127AC"/>
    <w:rsid w:val="25774462"/>
    <w:rsid w:val="25777600"/>
    <w:rsid w:val="25784FB8"/>
    <w:rsid w:val="25882188"/>
    <w:rsid w:val="25883110"/>
    <w:rsid w:val="2592536B"/>
    <w:rsid w:val="2593201E"/>
    <w:rsid w:val="2595243F"/>
    <w:rsid w:val="25965D5C"/>
    <w:rsid w:val="25973D5D"/>
    <w:rsid w:val="259922DC"/>
    <w:rsid w:val="259B486E"/>
    <w:rsid w:val="259E0677"/>
    <w:rsid w:val="259E7A91"/>
    <w:rsid w:val="25A51347"/>
    <w:rsid w:val="25A821D2"/>
    <w:rsid w:val="25B05892"/>
    <w:rsid w:val="25B1392D"/>
    <w:rsid w:val="25B51552"/>
    <w:rsid w:val="25B52D7D"/>
    <w:rsid w:val="25B72CCD"/>
    <w:rsid w:val="25B7471F"/>
    <w:rsid w:val="25BB751D"/>
    <w:rsid w:val="25C17131"/>
    <w:rsid w:val="25C4508D"/>
    <w:rsid w:val="25C60912"/>
    <w:rsid w:val="25C712F0"/>
    <w:rsid w:val="25CC33F1"/>
    <w:rsid w:val="25CE1AE8"/>
    <w:rsid w:val="25D42940"/>
    <w:rsid w:val="25D67419"/>
    <w:rsid w:val="25DB68DA"/>
    <w:rsid w:val="25DF261A"/>
    <w:rsid w:val="25E1462E"/>
    <w:rsid w:val="25E70A5E"/>
    <w:rsid w:val="25EA1680"/>
    <w:rsid w:val="25ED126D"/>
    <w:rsid w:val="25F30F25"/>
    <w:rsid w:val="25F460FE"/>
    <w:rsid w:val="25FD5B19"/>
    <w:rsid w:val="2603299A"/>
    <w:rsid w:val="26042414"/>
    <w:rsid w:val="260763B0"/>
    <w:rsid w:val="260803C7"/>
    <w:rsid w:val="2608093C"/>
    <w:rsid w:val="260817F5"/>
    <w:rsid w:val="260A77A1"/>
    <w:rsid w:val="260A7CE9"/>
    <w:rsid w:val="260C45D5"/>
    <w:rsid w:val="260E6BED"/>
    <w:rsid w:val="26173446"/>
    <w:rsid w:val="26195860"/>
    <w:rsid w:val="261A47D4"/>
    <w:rsid w:val="261D6468"/>
    <w:rsid w:val="261F7303"/>
    <w:rsid w:val="26292572"/>
    <w:rsid w:val="26316627"/>
    <w:rsid w:val="26331E2B"/>
    <w:rsid w:val="26336166"/>
    <w:rsid w:val="26360F05"/>
    <w:rsid w:val="26362736"/>
    <w:rsid w:val="2637356C"/>
    <w:rsid w:val="26380CE9"/>
    <w:rsid w:val="263A7627"/>
    <w:rsid w:val="263F24D1"/>
    <w:rsid w:val="263F60DE"/>
    <w:rsid w:val="26452C10"/>
    <w:rsid w:val="26482C2B"/>
    <w:rsid w:val="2649428E"/>
    <w:rsid w:val="264B669D"/>
    <w:rsid w:val="264C012D"/>
    <w:rsid w:val="26531E20"/>
    <w:rsid w:val="265617C5"/>
    <w:rsid w:val="26571EB7"/>
    <w:rsid w:val="265C74B8"/>
    <w:rsid w:val="265D5792"/>
    <w:rsid w:val="265E0876"/>
    <w:rsid w:val="266B492B"/>
    <w:rsid w:val="266D1358"/>
    <w:rsid w:val="266E5624"/>
    <w:rsid w:val="26720C0B"/>
    <w:rsid w:val="267232AE"/>
    <w:rsid w:val="2673755C"/>
    <w:rsid w:val="26744730"/>
    <w:rsid w:val="26766576"/>
    <w:rsid w:val="267A2289"/>
    <w:rsid w:val="267C51F3"/>
    <w:rsid w:val="267E6887"/>
    <w:rsid w:val="268202D7"/>
    <w:rsid w:val="26834BCC"/>
    <w:rsid w:val="268B00F1"/>
    <w:rsid w:val="26905ABE"/>
    <w:rsid w:val="269459BB"/>
    <w:rsid w:val="2697632D"/>
    <w:rsid w:val="26980DC2"/>
    <w:rsid w:val="269C6A0A"/>
    <w:rsid w:val="269E16E7"/>
    <w:rsid w:val="26A5767E"/>
    <w:rsid w:val="26B1541C"/>
    <w:rsid w:val="26BA7F3D"/>
    <w:rsid w:val="26CA1C69"/>
    <w:rsid w:val="26CC79ED"/>
    <w:rsid w:val="26D41BDB"/>
    <w:rsid w:val="26D41FA7"/>
    <w:rsid w:val="26DC057A"/>
    <w:rsid w:val="26E61A69"/>
    <w:rsid w:val="26F450E4"/>
    <w:rsid w:val="26F8227A"/>
    <w:rsid w:val="26FB10A1"/>
    <w:rsid w:val="26FB3264"/>
    <w:rsid w:val="26FD0C4F"/>
    <w:rsid w:val="26FE0396"/>
    <w:rsid w:val="27010AEC"/>
    <w:rsid w:val="270151ED"/>
    <w:rsid w:val="270437DE"/>
    <w:rsid w:val="27096B93"/>
    <w:rsid w:val="27133872"/>
    <w:rsid w:val="27165063"/>
    <w:rsid w:val="27173E8A"/>
    <w:rsid w:val="271D070F"/>
    <w:rsid w:val="27220217"/>
    <w:rsid w:val="272420F4"/>
    <w:rsid w:val="272622F6"/>
    <w:rsid w:val="272A484A"/>
    <w:rsid w:val="27304750"/>
    <w:rsid w:val="27307B06"/>
    <w:rsid w:val="273D2FC9"/>
    <w:rsid w:val="273F5C3A"/>
    <w:rsid w:val="27410FD9"/>
    <w:rsid w:val="27432082"/>
    <w:rsid w:val="2746033C"/>
    <w:rsid w:val="274726FF"/>
    <w:rsid w:val="274913F5"/>
    <w:rsid w:val="274C6E28"/>
    <w:rsid w:val="274D37DF"/>
    <w:rsid w:val="274E296C"/>
    <w:rsid w:val="274E662C"/>
    <w:rsid w:val="27510111"/>
    <w:rsid w:val="275112F8"/>
    <w:rsid w:val="275A4413"/>
    <w:rsid w:val="275F4D27"/>
    <w:rsid w:val="276052B6"/>
    <w:rsid w:val="27615D66"/>
    <w:rsid w:val="27631827"/>
    <w:rsid w:val="276646BD"/>
    <w:rsid w:val="27687EA4"/>
    <w:rsid w:val="276B4F1C"/>
    <w:rsid w:val="276F0EEF"/>
    <w:rsid w:val="276F5392"/>
    <w:rsid w:val="2771738A"/>
    <w:rsid w:val="27717B50"/>
    <w:rsid w:val="277358C4"/>
    <w:rsid w:val="27774F48"/>
    <w:rsid w:val="27790DFB"/>
    <w:rsid w:val="277D4728"/>
    <w:rsid w:val="27852F9C"/>
    <w:rsid w:val="2787206B"/>
    <w:rsid w:val="27872300"/>
    <w:rsid w:val="278A4FCE"/>
    <w:rsid w:val="278B70F2"/>
    <w:rsid w:val="278E6243"/>
    <w:rsid w:val="279048AB"/>
    <w:rsid w:val="27910951"/>
    <w:rsid w:val="27915EA3"/>
    <w:rsid w:val="27942D14"/>
    <w:rsid w:val="27976836"/>
    <w:rsid w:val="2798601D"/>
    <w:rsid w:val="279B69F1"/>
    <w:rsid w:val="279C543F"/>
    <w:rsid w:val="279E1325"/>
    <w:rsid w:val="27A346E2"/>
    <w:rsid w:val="27A87208"/>
    <w:rsid w:val="27A94093"/>
    <w:rsid w:val="27AD6CBD"/>
    <w:rsid w:val="27B766B3"/>
    <w:rsid w:val="27B93B84"/>
    <w:rsid w:val="27BB6E09"/>
    <w:rsid w:val="27BB70E5"/>
    <w:rsid w:val="27C25A12"/>
    <w:rsid w:val="27C509DF"/>
    <w:rsid w:val="27C73D8E"/>
    <w:rsid w:val="27CD4C90"/>
    <w:rsid w:val="27CD6590"/>
    <w:rsid w:val="27D71173"/>
    <w:rsid w:val="27D73A02"/>
    <w:rsid w:val="27DB3106"/>
    <w:rsid w:val="27DF60EB"/>
    <w:rsid w:val="27E25730"/>
    <w:rsid w:val="27E265EA"/>
    <w:rsid w:val="27E34BB6"/>
    <w:rsid w:val="27E4308A"/>
    <w:rsid w:val="27E55707"/>
    <w:rsid w:val="27E83D92"/>
    <w:rsid w:val="27ED436C"/>
    <w:rsid w:val="27EE4737"/>
    <w:rsid w:val="27F02A72"/>
    <w:rsid w:val="27F03662"/>
    <w:rsid w:val="27F0411F"/>
    <w:rsid w:val="27F27CFB"/>
    <w:rsid w:val="27F96DE4"/>
    <w:rsid w:val="27FE1520"/>
    <w:rsid w:val="280144DD"/>
    <w:rsid w:val="280241CF"/>
    <w:rsid w:val="280532FC"/>
    <w:rsid w:val="2806401B"/>
    <w:rsid w:val="280A70BF"/>
    <w:rsid w:val="280C6003"/>
    <w:rsid w:val="280E77B5"/>
    <w:rsid w:val="2812075B"/>
    <w:rsid w:val="28154BF0"/>
    <w:rsid w:val="28174947"/>
    <w:rsid w:val="2819380D"/>
    <w:rsid w:val="281E6250"/>
    <w:rsid w:val="282151F8"/>
    <w:rsid w:val="28227207"/>
    <w:rsid w:val="2825473F"/>
    <w:rsid w:val="28260B41"/>
    <w:rsid w:val="282802F3"/>
    <w:rsid w:val="282A45F9"/>
    <w:rsid w:val="282B4CEC"/>
    <w:rsid w:val="282B6D08"/>
    <w:rsid w:val="283143B6"/>
    <w:rsid w:val="283427CD"/>
    <w:rsid w:val="283804E4"/>
    <w:rsid w:val="2838198B"/>
    <w:rsid w:val="2839603C"/>
    <w:rsid w:val="283D6123"/>
    <w:rsid w:val="28421248"/>
    <w:rsid w:val="28451A00"/>
    <w:rsid w:val="284812EE"/>
    <w:rsid w:val="28490DFC"/>
    <w:rsid w:val="284C1D0B"/>
    <w:rsid w:val="285359EF"/>
    <w:rsid w:val="285376B3"/>
    <w:rsid w:val="285552E1"/>
    <w:rsid w:val="28575C23"/>
    <w:rsid w:val="285B73BD"/>
    <w:rsid w:val="285B7464"/>
    <w:rsid w:val="28600FD0"/>
    <w:rsid w:val="28633C1E"/>
    <w:rsid w:val="2863627B"/>
    <w:rsid w:val="2868756E"/>
    <w:rsid w:val="286C26FB"/>
    <w:rsid w:val="2870660A"/>
    <w:rsid w:val="28766427"/>
    <w:rsid w:val="28784E62"/>
    <w:rsid w:val="287B13B9"/>
    <w:rsid w:val="287E270D"/>
    <w:rsid w:val="287E5C9B"/>
    <w:rsid w:val="288718D4"/>
    <w:rsid w:val="28890ED5"/>
    <w:rsid w:val="288D0B29"/>
    <w:rsid w:val="2893362A"/>
    <w:rsid w:val="28953C4F"/>
    <w:rsid w:val="289D3F3D"/>
    <w:rsid w:val="289E1195"/>
    <w:rsid w:val="28A317BC"/>
    <w:rsid w:val="28A50FB1"/>
    <w:rsid w:val="28A874CE"/>
    <w:rsid w:val="28AB56AE"/>
    <w:rsid w:val="28B112FA"/>
    <w:rsid w:val="28B42138"/>
    <w:rsid w:val="28B43109"/>
    <w:rsid w:val="28B75F76"/>
    <w:rsid w:val="28BD2FF1"/>
    <w:rsid w:val="28BD6431"/>
    <w:rsid w:val="28BF6FE9"/>
    <w:rsid w:val="28C032F4"/>
    <w:rsid w:val="28C16EB0"/>
    <w:rsid w:val="28C351FE"/>
    <w:rsid w:val="28D0209C"/>
    <w:rsid w:val="28D25A5B"/>
    <w:rsid w:val="28D3185B"/>
    <w:rsid w:val="28D363A2"/>
    <w:rsid w:val="28D62ED9"/>
    <w:rsid w:val="28D65EA1"/>
    <w:rsid w:val="28DD6E94"/>
    <w:rsid w:val="28DE513B"/>
    <w:rsid w:val="28E24DD5"/>
    <w:rsid w:val="28E25759"/>
    <w:rsid w:val="28E40BD9"/>
    <w:rsid w:val="28E432E5"/>
    <w:rsid w:val="28E7281F"/>
    <w:rsid w:val="28E8368E"/>
    <w:rsid w:val="28EB1EC4"/>
    <w:rsid w:val="28EE033C"/>
    <w:rsid w:val="28F03ABA"/>
    <w:rsid w:val="28F515EC"/>
    <w:rsid w:val="28FD12FD"/>
    <w:rsid w:val="28FF2F9A"/>
    <w:rsid w:val="290135BD"/>
    <w:rsid w:val="29026845"/>
    <w:rsid w:val="29066A04"/>
    <w:rsid w:val="29070D79"/>
    <w:rsid w:val="290B470F"/>
    <w:rsid w:val="290E4394"/>
    <w:rsid w:val="291318C4"/>
    <w:rsid w:val="291F0B0E"/>
    <w:rsid w:val="29200BC7"/>
    <w:rsid w:val="29283A2C"/>
    <w:rsid w:val="292A0C72"/>
    <w:rsid w:val="292B2D55"/>
    <w:rsid w:val="292D5FC9"/>
    <w:rsid w:val="292E2EA1"/>
    <w:rsid w:val="29306082"/>
    <w:rsid w:val="29390815"/>
    <w:rsid w:val="29392178"/>
    <w:rsid w:val="293F2A7B"/>
    <w:rsid w:val="29402308"/>
    <w:rsid w:val="29472593"/>
    <w:rsid w:val="294D30C3"/>
    <w:rsid w:val="294E1BC3"/>
    <w:rsid w:val="294E56D7"/>
    <w:rsid w:val="29533CF7"/>
    <w:rsid w:val="29542FEA"/>
    <w:rsid w:val="29557F75"/>
    <w:rsid w:val="29584968"/>
    <w:rsid w:val="29596583"/>
    <w:rsid w:val="29600503"/>
    <w:rsid w:val="2960398C"/>
    <w:rsid w:val="296115E4"/>
    <w:rsid w:val="29614398"/>
    <w:rsid w:val="29615A1A"/>
    <w:rsid w:val="296322F6"/>
    <w:rsid w:val="2965485B"/>
    <w:rsid w:val="29676569"/>
    <w:rsid w:val="296867F6"/>
    <w:rsid w:val="296B4960"/>
    <w:rsid w:val="296B704A"/>
    <w:rsid w:val="296E78F9"/>
    <w:rsid w:val="29710368"/>
    <w:rsid w:val="297F25D8"/>
    <w:rsid w:val="29853EE1"/>
    <w:rsid w:val="29857690"/>
    <w:rsid w:val="2986684A"/>
    <w:rsid w:val="298D436A"/>
    <w:rsid w:val="298D76D7"/>
    <w:rsid w:val="298E717C"/>
    <w:rsid w:val="29934E9A"/>
    <w:rsid w:val="29955CF3"/>
    <w:rsid w:val="299645DC"/>
    <w:rsid w:val="29970DB6"/>
    <w:rsid w:val="29972FC0"/>
    <w:rsid w:val="299C4A40"/>
    <w:rsid w:val="299D36E1"/>
    <w:rsid w:val="299F42F4"/>
    <w:rsid w:val="29A31784"/>
    <w:rsid w:val="29A737E2"/>
    <w:rsid w:val="29A75ACA"/>
    <w:rsid w:val="29AB4482"/>
    <w:rsid w:val="29AC2B72"/>
    <w:rsid w:val="29B042CB"/>
    <w:rsid w:val="29B33653"/>
    <w:rsid w:val="29B57449"/>
    <w:rsid w:val="29B816B4"/>
    <w:rsid w:val="29B96D7F"/>
    <w:rsid w:val="29BE6027"/>
    <w:rsid w:val="29BF1E0B"/>
    <w:rsid w:val="29C179A8"/>
    <w:rsid w:val="29C2684F"/>
    <w:rsid w:val="29C26E69"/>
    <w:rsid w:val="29C34CB4"/>
    <w:rsid w:val="29C64E4D"/>
    <w:rsid w:val="29C85C35"/>
    <w:rsid w:val="29CB08E9"/>
    <w:rsid w:val="29CD132E"/>
    <w:rsid w:val="29D011EC"/>
    <w:rsid w:val="29DE4929"/>
    <w:rsid w:val="29E5520D"/>
    <w:rsid w:val="29EA24AF"/>
    <w:rsid w:val="29EF5FBD"/>
    <w:rsid w:val="29F13707"/>
    <w:rsid w:val="29F41905"/>
    <w:rsid w:val="29F60640"/>
    <w:rsid w:val="29F62713"/>
    <w:rsid w:val="29F77AA9"/>
    <w:rsid w:val="29FB4585"/>
    <w:rsid w:val="29FC1A58"/>
    <w:rsid w:val="29FD5A7C"/>
    <w:rsid w:val="2A025080"/>
    <w:rsid w:val="2A08776A"/>
    <w:rsid w:val="2A097DD2"/>
    <w:rsid w:val="2A0B0908"/>
    <w:rsid w:val="2A0B3FC5"/>
    <w:rsid w:val="2A0C27B6"/>
    <w:rsid w:val="2A0D654F"/>
    <w:rsid w:val="2A0F4752"/>
    <w:rsid w:val="2A106D9C"/>
    <w:rsid w:val="2A1145D8"/>
    <w:rsid w:val="2A15443F"/>
    <w:rsid w:val="2A166E47"/>
    <w:rsid w:val="2A184A09"/>
    <w:rsid w:val="2A1C2AE9"/>
    <w:rsid w:val="2A2475F4"/>
    <w:rsid w:val="2A275A4E"/>
    <w:rsid w:val="2A277EA8"/>
    <w:rsid w:val="2A2C2C57"/>
    <w:rsid w:val="2A2C4F9E"/>
    <w:rsid w:val="2A2D7DBD"/>
    <w:rsid w:val="2A3069CC"/>
    <w:rsid w:val="2A345550"/>
    <w:rsid w:val="2A3C10CA"/>
    <w:rsid w:val="2A407B99"/>
    <w:rsid w:val="2A4356A0"/>
    <w:rsid w:val="2A442AA4"/>
    <w:rsid w:val="2A4B6505"/>
    <w:rsid w:val="2A4F6C60"/>
    <w:rsid w:val="2A5052F3"/>
    <w:rsid w:val="2A563F56"/>
    <w:rsid w:val="2A5916DA"/>
    <w:rsid w:val="2A5C2FD5"/>
    <w:rsid w:val="2A6106F8"/>
    <w:rsid w:val="2A634877"/>
    <w:rsid w:val="2A634BCD"/>
    <w:rsid w:val="2A647461"/>
    <w:rsid w:val="2A6539B5"/>
    <w:rsid w:val="2A660203"/>
    <w:rsid w:val="2A6A6CAE"/>
    <w:rsid w:val="2A730F3F"/>
    <w:rsid w:val="2A7330B1"/>
    <w:rsid w:val="2A76074B"/>
    <w:rsid w:val="2A774E96"/>
    <w:rsid w:val="2A7B1571"/>
    <w:rsid w:val="2A7B4B98"/>
    <w:rsid w:val="2A807648"/>
    <w:rsid w:val="2A8178A7"/>
    <w:rsid w:val="2A85683D"/>
    <w:rsid w:val="2A8628FC"/>
    <w:rsid w:val="2A92547C"/>
    <w:rsid w:val="2A9421CF"/>
    <w:rsid w:val="2A950213"/>
    <w:rsid w:val="2A961B61"/>
    <w:rsid w:val="2A97316D"/>
    <w:rsid w:val="2A9A6444"/>
    <w:rsid w:val="2A9C6322"/>
    <w:rsid w:val="2A9E2FBE"/>
    <w:rsid w:val="2A9F25E9"/>
    <w:rsid w:val="2A9F37D3"/>
    <w:rsid w:val="2AA03956"/>
    <w:rsid w:val="2AA1011D"/>
    <w:rsid w:val="2AA11EB6"/>
    <w:rsid w:val="2AA41664"/>
    <w:rsid w:val="2AA82329"/>
    <w:rsid w:val="2AAB5D43"/>
    <w:rsid w:val="2AAB6E6A"/>
    <w:rsid w:val="2AAC416E"/>
    <w:rsid w:val="2AB728EB"/>
    <w:rsid w:val="2AB84646"/>
    <w:rsid w:val="2AB86875"/>
    <w:rsid w:val="2ABC0CF8"/>
    <w:rsid w:val="2AC254A6"/>
    <w:rsid w:val="2AC46B9A"/>
    <w:rsid w:val="2AC61D29"/>
    <w:rsid w:val="2AC850CB"/>
    <w:rsid w:val="2AC8697E"/>
    <w:rsid w:val="2ACD2537"/>
    <w:rsid w:val="2ACE6D5B"/>
    <w:rsid w:val="2AD10B1F"/>
    <w:rsid w:val="2AD26F1F"/>
    <w:rsid w:val="2AD46401"/>
    <w:rsid w:val="2AD816A9"/>
    <w:rsid w:val="2AD847A3"/>
    <w:rsid w:val="2ADB5152"/>
    <w:rsid w:val="2ADC0C7E"/>
    <w:rsid w:val="2AE3020C"/>
    <w:rsid w:val="2AE420C7"/>
    <w:rsid w:val="2AE851F5"/>
    <w:rsid w:val="2AEA12AC"/>
    <w:rsid w:val="2AEB43C2"/>
    <w:rsid w:val="2AEC20AA"/>
    <w:rsid w:val="2AEF5267"/>
    <w:rsid w:val="2AF04755"/>
    <w:rsid w:val="2AF712FE"/>
    <w:rsid w:val="2AFC3533"/>
    <w:rsid w:val="2AFF3888"/>
    <w:rsid w:val="2B024386"/>
    <w:rsid w:val="2B0905F4"/>
    <w:rsid w:val="2B090D32"/>
    <w:rsid w:val="2B0D4314"/>
    <w:rsid w:val="2B0E2DB0"/>
    <w:rsid w:val="2B0E3383"/>
    <w:rsid w:val="2B0E578E"/>
    <w:rsid w:val="2B0F31AA"/>
    <w:rsid w:val="2B100654"/>
    <w:rsid w:val="2B193F21"/>
    <w:rsid w:val="2B19605C"/>
    <w:rsid w:val="2B1F54D3"/>
    <w:rsid w:val="2B213262"/>
    <w:rsid w:val="2B2364D5"/>
    <w:rsid w:val="2B2A6004"/>
    <w:rsid w:val="2B302FA9"/>
    <w:rsid w:val="2B32129B"/>
    <w:rsid w:val="2B37635F"/>
    <w:rsid w:val="2B3C5614"/>
    <w:rsid w:val="2B3D6994"/>
    <w:rsid w:val="2B3E32BA"/>
    <w:rsid w:val="2B3F4129"/>
    <w:rsid w:val="2B436F76"/>
    <w:rsid w:val="2B454CCE"/>
    <w:rsid w:val="2B4C5451"/>
    <w:rsid w:val="2B4F5591"/>
    <w:rsid w:val="2B500E1E"/>
    <w:rsid w:val="2B58462C"/>
    <w:rsid w:val="2B59275D"/>
    <w:rsid w:val="2B594B5D"/>
    <w:rsid w:val="2B5C33AA"/>
    <w:rsid w:val="2B5D177A"/>
    <w:rsid w:val="2B5F5ED2"/>
    <w:rsid w:val="2B605B21"/>
    <w:rsid w:val="2B606B26"/>
    <w:rsid w:val="2B6271DC"/>
    <w:rsid w:val="2B660924"/>
    <w:rsid w:val="2B69073B"/>
    <w:rsid w:val="2B6F29B4"/>
    <w:rsid w:val="2B730D69"/>
    <w:rsid w:val="2B7829C4"/>
    <w:rsid w:val="2B7B137D"/>
    <w:rsid w:val="2B7B5D7A"/>
    <w:rsid w:val="2B7F0FE6"/>
    <w:rsid w:val="2B7F135B"/>
    <w:rsid w:val="2B80262D"/>
    <w:rsid w:val="2B80479C"/>
    <w:rsid w:val="2B8113AD"/>
    <w:rsid w:val="2B871647"/>
    <w:rsid w:val="2B875C5D"/>
    <w:rsid w:val="2B891E5C"/>
    <w:rsid w:val="2B89527D"/>
    <w:rsid w:val="2B8C29A8"/>
    <w:rsid w:val="2B8C4B47"/>
    <w:rsid w:val="2B8D2160"/>
    <w:rsid w:val="2B91035D"/>
    <w:rsid w:val="2B911385"/>
    <w:rsid w:val="2B9C2F79"/>
    <w:rsid w:val="2B9F6D75"/>
    <w:rsid w:val="2BA46778"/>
    <w:rsid w:val="2BA76FD8"/>
    <w:rsid w:val="2BAC0162"/>
    <w:rsid w:val="2BAC0C60"/>
    <w:rsid w:val="2BAF22A4"/>
    <w:rsid w:val="2BB0206A"/>
    <w:rsid w:val="2BB13246"/>
    <w:rsid w:val="2BB1411F"/>
    <w:rsid w:val="2BB21580"/>
    <w:rsid w:val="2BB23F1D"/>
    <w:rsid w:val="2BB25A95"/>
    <w:rsid w:val="2BBF4E15"/>
    <w:rsid w:val="2BBF73D0"/>
    <w:rsid w:val="2BC3258D"/>
    <w:rsid w:val="2BC50BBE"/>
    <w:rsid w:val="2BD07675"/>
    <w:rsid w:val="2BD33211"/>
    <w:rsid w:val="2BD50A5F"/>
    <w:rsid w:val="2BD74ABF"/>
    <w:rsid w:val="2BD8495A"/>
    <w:rsid w:val="2BD91F64"/>
    <w:rsid w:val="2BDA355F"/>
    <w:rsid w:val="2BDE7BC4"/>
    <w:rsid w:val="2BDF3C76"/>
    <w:rsid w:val="2BE37A60"/>
    <w:rsid w:val="2BE5740B"/>
    <w:rsid w:val="2BE57533"/>
    <w:rsid w:val="2BE629C8"/>
    <w:rsid w:val="2BE94B33"/>
    <w:rsid w:val="2BEA2A15"/>
    <w:rsid w:val="2BEA3371"/>
    <w:rsid w:val="2BEC18FC"/>
    <w:rsid w:val="2BED24EF"/>
    <w:rsid w:val="2BEF0EAB"/>
    <w:rsid w:val="2BEF6CDA"/>
    <w:rsid w:val="2BF25E7D"/>
    <w:rsid w:val="2BF5412C"/>
    <w:rsid w:val="2BF65CE2"/>
    <w:rsid w:val="2BF90112"/>
    <w:rsid w:val="2BFA39E7"/>
    <w:rsid w:val="2BFA7A02"/>
    <w:rsid w:val="2BFB40D2"/>
    <w:rsid w:val="2BFE2C21"/>
    <w:rsid w:val="2BFE726C"/>
    <w:rsid w:val="2C024A14"/>
    <w:rsid w:val="2C04003D"/>
    <w:rsid w:val="2C065F66"/>
    <w:rsid w:val="2C0753A8"/>
    <w:rsid w:val="2C080CF0"/>
    <w:rsid w:val="2C0F5C24"/>
    <w:rsid w:val="2C114C94"/>
    <w:rsid w:val="2C1243C0"/>
    <w:rsid w:val="2C1E33B5"/>
    <w:rsid w:val="2C1E5373"/>
    <w:rsid w:val="2C20231A"/>
    <w:rsid w:val="2C2215CD"/>
    <w:rsid w:val="2C2531C6"/>
    <w:rsid w:val="2C25591D"/>
    <w:rsid w:val="2C271EDE"/>
    <w:rsid w:val="2C2B45A7"/>
    <w:rsid w:val="2C2C1DE3"/>
    <w:rsid w:val="2C2C1E31"/>
    <w:rsid w:val="2C2D4FD5"/>
    <w:rsid w:val="2C2E4D29"/>
    <w:rsid w:val="2C300825"/>
    <w:rsid w:val="2C313477"/>
    <w:rsid w:val="2C317A5F"/>
    <w:rsid w:val="2C3871F0"/>
    <w:rsid w:val="2C3A01A8"/>
    <w:rsid w:val="2C3D6A88"/>
    <w:rsid w:val="2C3E5FB4"/>
    <w:rsid w:val="2C413166"/>
    <w:rsid w:val="2C427808"/>
    <w:rsid w:val="2C4443FF"/>
    <w:rsid w:val="2C47533A"/>
    <w:rsid w:val="2C48459A"/>
    <w:rsid w:val="2C4A27CA"/>
    <w:rsid w:val="2C4B0DAC"/>
    <w:rsid w:val="2C4C4193"/>
    <w:rsid w:val="2C4F3D2E"/>
    <w:rsid w:val="2C5854DA"/>
    <w:rsid w:val="2C5D72CD"/>
    <w:rsid w:val="2C656F8E"/>
    <w:rsid w:val="2C6A7F7E"/>
    <w:rsid w:val="2C6B3F1A"/>
    <w:rsid w:val="2C6D3526"/>
    <w:rsid w:val="2C6F67EF"/>
    <w:rsid w:val="2C735EA4"/>
    <w:rsid w:val="2C7861EB"/>
    <w:rsid w:val="2C7C79AA"/>
    <w:rsid w:val="2C887D12"/>
    <w:rsid w:val="2C8F4905"/>
    <w:rsid w:val="2C910B84"/>
    <w:rsid w:val="2C925A25"/>
    <w:rsid w:val="2C9437E3"/>
    <w:rsid w:val="2C9543BE"/>
    <w:rsid w:val="2C977D3D"/>
    <w:rsid w:val="2C984688"/>
    <w:rsid w:val="2C9E5A36"/>
    <w:rsid w:val="2CA0223F"/>
    <w:rsid w:val="2CA16661"/>
    <w:rsid w:val="2CA631B2"/>
    <w:rsid w:val="2CA90B89"/>
    <w:rsid w:val="2CAB76A0"/>
    <w:rsid w:val="2CAC25EF"/>
    <w:rsid w:val="2CB24AF0"/>
    <w:rsid w:val="2CB57977"/>
    <w:rsid w:val="2CB60534"/>
    <w:rsid w:val="2CB77172"/>
    <w:rsid w:val="2CB950CD"/>
    <w:rsid w:val="2CBC682F"/>
    <w:rsid w:val="2CBD5790"/>
    <w:rsid w:val="2CC1028F"/>
    <w:rsid w:val="2CC33123"/>
    <w:rsid w:val="2CC95060"/>
    <w:rsid w:val="2CCB7A22"/>
    <w:rsid w:val="2CCC74C1"/>
    <w:rsid w:val="2CD8128F"/>
    <w:rsid w:val="2CE00174"/>
    <w:rsid w:val="2CE02CAB"/>
    <w:rsid w:val="2CE109B6"/>
    <w:rsid w:val="2CE64DB0"/>
    <w:rsid w:val="2CE763D7"/>
    <w:rsid w:val="2CEA35DD"/>
    <w:rsid w:val="2CEE5314"/>
    <w:rsid w:val="2CEF115F"/>
    <w:rsid w:val="2CF05059"/>
    <w:rsid w:val="2D0B0D46"/>
    <w:rsid w:val="2D0E774E"/>
    <w:rsid w:val="2D10296F"/>
    <w:rsid w:val="2D18293A"/>
    <w:rsid w:val="2D18564D"/>
    <w:rsid w:val="2D1B4D49"/>
    <w:rsid w:val="2D1B5C30"/>
    <w:rsid w:val="2D1C3DAE"/>
    <w:rsid w:val="2D1D7F74"/>
    <w:rsid w:val="2D1E5EEF"/>
    <w:rsid w:val="2D1F1309"/>
    <w:rsid w:val="2D243038"/>
    <w:rsid w:val="2D2D5F74"/>
    <w:rsid w:val="2D2D78E6"/>
    <w:rsid w:val="2D3020A6"/>
    <w:rsid w:val="2D321089"/>
    <w:rsid w:val="2D332D6E"/>
    <w:rsid w:val="2D347AC0"/>
    <w:rsid w:val="2D39634D"/>
    <w:rsid w:val="2D3A32E2"/>
    <w:rsid w:val="2D3B7080"/>
    <w:rsid w:val="2D3C3971"/>
    <w:rsid w:val="2D3D0E82"/>
    <w:rsid w:val="2D3E397C"/>
    <w:rsid w:val="2D4936A4"/>
    <w:rsid w:val="2D4961AC"/>
    <w:rsid w:val="2D4A3B0D"/>
    <w:rsid w:val="2D4C790B"/>
    <w:rsid w:val="2D5019A5"/>
    <w:rsid w:val="2D5064A1"/>
    <w:rsid w:val="2D517122"/>
    <w:rsid w:val="2D5A09E2"/>
    <w:rsid w:val="2D5C272D"/>
    <w:rsid w:val="2D605755"/>
    <w:rsid w:val="2D6104C1"/>
    <w:rsid w:val="2D627C10"/>
    <w:rsid w:val="2D663DD1"/>
    <w:rsid w:val="2D6B29BB"/>
    <w:rsid w:val="2D6C2418"/>
    <w:rsid w:val="2D6D7C43"/>
    <w:rsid w:val="2D706046"/>
    <w:rsid w:val="2D751400"/>
    <w:rsid w:val="2D7571C3"/>
    <w:rsid w:val="2D7A65A5"/>
    <w:rsid w:val="2D7B7BE9"/>
    <w:rsid w:val="2D7D7F28"/>
    <w:rsid w:val="2D7F64BB"/>
    <w:rsid w:val="2D823BA6"/>
    <w:rsid w:val="2D8811B4"/>
    <w:rsid w:val="2D897B4E"/>
    <w:rsid w:val="2D8C1C40"/>
    <w:rsid w:val="2D8D6B3F"/>
    <w:rsid w:val="2D9A26BF"/>
    <w:rsid w:val="2D9C43E0"/>
    <w:rsid w:val="2D9F00DD"/>
    <w:rsid w:val="2D9F1B63"/>
    <w:rsid w:val="2DAE5DBF"/>
    <w:rsid w:val="2DB10D28"/>
    <w:rsid w:val="2DB15F95"/>
    <w:rsid w:val="2DB423C1"/>
    <w:rsid w:val="2DB64DB8"/>
    <w:rsid w:val="2DB72172"/>
    <w:rsid w:val="2DB80227"/>
    <w:rsid w:val="2DB8231E"/>
    <w:rsid w:val="2DB9055D"/>
    <w:rsid w:val="2DB90DB2"/>
    <w:rsid w:val="2DB96DC6"/>
    <w:rsid w:val="2DBE3698"/>
    <w:rsid w:val="2DBF79C6"/>
    <w:rsid w:val="2DC818B7"/>
    <w:rsid w:val="2DCB5249"/>
    <w:rsid w:val="2DCD059F"/>
    <w:rsid w:val="2DD85A62"/>
    <w:rsid w:val="2DDE2123"/>
    <w:rsid w:val="2DDE561F"/>
    <w:rsid w:val="2DE27099"/>
    <w:rsid w:val="2DE623A8"/>
    <w:rsid w:val="2DE85F69"/>
    <w:rsid w:val="2DEC0ED9"/>
    <w:rsid w:val="2DEF695B"/>
    <w:rsid w:val="2DF21047"/>
    <w:rsid w:val="2E006644"/>
    <w:rsid w:val="2E02694C"/>
    <w:rsid w:val="2E052399"/>
    <w:rsid w:val="2E0727C4"/>
    <w:rsid w:val="2E0B1364"/>
    <w:rsid w:val="2E0B7A10"/>
    <w:rsid w:val="2E0F27A1"/>
    <w:rsid w:val="2E0F28FC"/>
    <w:rsid w:val="2E111A2B"/>
    <w:rsid w:val="2E114B45"/>
    <w:rsid w:val="2E120431"/>
    <w:rsid w:val="2E1239D0"/>
    <w:rsid w:val="2E1309A3"/>
    <w:rsid w:val="2E166DE7"/>
    <w:rsid w:val="2E185B2D"/>
    <w:rsid w:val="2E1B2610"/>
    <w:rsid w:val="2E1C23F7"/>
    <w:rsid w:val="2E1F7406"/>
    <w:rsid w:val="2E2041D6"/>
    <w:rsid w:val="2E2B56F4"/>
    <w:rsid w:val="2E302482"/>
    <w:rsid w:val="2E307EFD"/>
    <w:rsid w:val="2E3352DC"/>
    <w:rsid w:val="2E341FAF"/>
    <w:rsid w:val="2E3478B1"/>
    <w:rsid w:val="2E363268"/>
    <w:rsid w:val="2E3A669E"/>
    <w:rsid w:val="2E3B7CDE"/>
    <w:rsid w:val="2E3E48A3"/>
    <w:rsid w:val="2E3E555D"/>
    <w:rsid w:val="2E3F1460"/>
    <w:rsid w:val="2E3F67D8"/>
    <w:rsid w:val="2E414234"/>
    <w:rsid w:val="2E4706C3"/>
    <w:rsid w:val="2E4715A8"/>
    <w:rsid w:val="2E4859A0"/>
    <w:rsid w:val="2E486C2E"/>
    <w:rsid w:val="2E4F499C"/>
    <w:rsid w:val="2E52708F"/>
    <w:rsid w:val="2E5464AE"/>
    <w:rsid w:val="2E5C0E91"/>
    <w:rsid w:val="2E6000BE"/>
    <w:rsid w:val="2E62636E"/>
    <w:rsid w:val="2E62734B"/>
    <w:rsid w:val="2E6277D7"/>
    <w:rsid w:val="2E635C25"/>
    <w:rsid w:val="2E640659"/>
    <w:rsid w:val="2E64596A"/>
    <w:rsid w:val="2E6760A1"/>
    <w:rsid w:val="2E685896"/>
    <w:rsid w:val="2E69568C"/>
    <w:rsid w:val="2E756D70"/>
    <w:rsid w:val="2E7B04CC"/>
    <w:rsid w:val="2E7B6B85"/>
    <w:rsid w:val="2E7D3434"/>
    <w:rsid w:val="2E866958"/>
    <w:rsid w:val="2E872554"/>
    <w:rsid w:val="2E8C06B3"/>
    <w:rsid w:val="2E8D1D92"/>
    <w:rsid w:val="2E900544"/>
    <w:rsid w:val="2E90323A"/>
    <w:rsid w:val="2E907503"/>
    <w:rsid w:val="2E930EC6"/>
    <w:rsid w:val="2E947433"/>
    <w:rsid w:val="2E95729C"/>
    <w:rsid w:val="2E983E88"/>
    <w:rsid w:val="2E9C0AD1"/>
    <w:rsid w:val="2E9F42DB"/>
    <w:rsid w:val="2EA21FCC"/>
    <w:rsid w:val="2EAB41B9"/>
    <w:rsid w:val="2EAE4716"/>
    <w:rsid w:val="2EAF0280"/>
    <w:rsid w:val="2EB05670"/>
    <w:rsid w:val="2EB1789E"/>
    <w:rsid w:val="2EB52473"/>
    <w:rsid w:val="2EBA6122"/>
    <w:rsid w:val="2EBE17D4"/>
    <w:rsid w:val="2EC05707"/>
    <w:rsid w:val="2EC16110"/>
    <w:rsid w:val="2EC35AA1"/>
    <w:rsid w:val="2EC513A4"/>
    <w:rsid w:val="2EC551D1"/>
    <w:rsid w:val="2EC9039E"/>
    <w:rsid w:val="2ECA5BD8"/>
    <w:rsid w:val="2ECD187F"/>
    <w:rsid w:val="2ECD1AD0"/>
    <w:rsid w:val="2ED14AD3"/>
    <w:rsid w:val="2ED16743"/>
    <w:rsid w:val="2ED3585B"/>
    <w:rsid w:val="2ED94D8E"/>
    <w:rsid w:val="2EDB5113"/>
    <w:rsid w:val="2EDD191B"/>
    <w:rsid w:val="2EDF42D1"/>
    <w:rsid w:val="2EDF6BE7"/>
    <w:rsid w:val="2EE209E5"/>
    <w:rsid w:val="2EE5610E"/>
    <w:rsid w:val="2EE70B4F"/>
    <w:rsid w:val="2EE94382"/>
    <w:rsid w:val="2EEA17DA"/>
    <w:rsid w:val="2EED2599"/>
    <w:rsid w:val="2EEE6512"/>
    <w:rsid w:val="2EEE7C0E"/>
    <w:rsid w:val="2EF15E96"/>
    <w:rsid w:val="2EF56895"/>
    <w:rsid w:val="2EF576D0"/>
    <w:rsid w:val="2EF85ED9"/>
    <w:rsid w:val="2EF909F5"/>
    <w:rsid w:val="2EF96331"/>
    <w:rsid w:val="2EFA28F6"/>
    <w:rsid w:val="2EFA488A"/>
    <w:rsid w:val="2EFB0232"/>
    <w:rsid w:val="2EFD14CB"/>
    <w:rsid w:val="2EFF3921"/>
    <w:rsid w:val="2F003621"/>
    <w:rsid w:val="2F037791"/>
    <w:rsid w:val="2F053769"/>
    <w:rsid w:val="2F0B16D8"/>
    <w:rsid w:val="2F0B7060"/>
    <w:rsid w:val="2F1569A4"/>
    <w:rsid w:val="2F1872D7"/>
    <w:rsid w:val="2F1B4032"/>
    <w:rsid w:val="2F1D27F9"/>
    <w:rsid w:val="2F267CE5"/>
    <w:rsid w:val="2F271A87"/>
    <w:rsid w:val="2F28417B"/>
    <w:rsid w:val="2F284940"/>
    <w:rsid w:val="2F2A7549"/>
    <w:rsid w:val="2F2B23F5"/>
    <w:rsid w:val="2F2F2452"/>
    <w:rsid w:val="2F322526"/>
    <w:rsid w:val="2F331865"/>
    <w:rsid w:val="2F343A7C"/>
    <w:rsid w:val="2F35120B"/>
    <w:rsid w:val="2F3802C4"/>
    <w:rsid w:val="2F3A4243"/>
    <w:rsid w:val="2F3D19EF"/>
    <w:rsid w:val="2F41492A"/>
    <w:rsid w:val="2F434631"/>
    <w:rsid w:val="2F463288"/>
    <w:rsid w:val="2F4D539F"/>
    <w:rsid w:val="2F5510E9"/>
    <w:rsid w:val="2F552B02"/>
    <w:rsid w:val="2F586470"/>
    <w:rsid w:val="2F586504"/>
    <w:rsid w:val="2F5A613A"/>
    <w:rsid w:val="2F5C0975"/>
    <w:rsid w:val="2F5D4580"/>
    <w:rsid w:val="2F5F35E9"/>
    <w:rsid w:val="2F620F59"/>
    <w:rsid w:val="2F6505B8"/>
    <w:rsid w:val="2F66268F"/>
    <w:rsid w:val="2F676F4E"/>
    <w:rsid w:val="2F697A19"/>
    <w:rsid w:val="2F6A32F4"/>
    <w:rsid w:val="2F6F00AC"/>
    <w:rsid w:val="2F74448C"/>
    <w:rsid w:val="2F75723D"/>
    <w:rsid w:val="2F7F1588"/>
    <w:rsid w:val="2F8648C6"/>
    <w:rsid w:val="2F8845A7"/>
    <w:rsid w:val="2F8929B7"/>
    <w:rsid w:val="2F8B63CA"/>
    <w:rsid w:val="2F8C3B77"/>
    <w:rsid w:val="2F8E4459"/>
    <w:rsid w:val="2F915ADB"/>
    <w:rsid w:val="2F95427A"/>
    <w:rsid w:val="2F964DA8"/>
    <w:rsid w:val="2F9823E5"/>
    <w:rsid w:val="2FA03ACA"/>
    <w:rsid w:val="2FA12193"/>
    <w:rsid w:val="2FA21F90"/>
    <w:rsid w:val="2FA32FB3"/>
    <w:rsid w:val="2FA41129"/>
    <w:rsid w:val="2FAA74F9"/>
    <w:rsid w:val="2FB06F22"/>
    <w:rsid w:val="2FB153E6"/>
    <w:rsid w:val="2FC242BC"/>
    <w:rsid w:val="2FC30DE5"/>
    <w:rsid w:val="2FC36EC6"/>
    <w:rsid w:val="2FC5034E"/>
    <w:rsid w:val="2FC87C6F"/>
    <w:rsid w:val="2FCE3BD9"/>
    <w:rsid w:val="2FD029DB"/>
    <w:rsid w:val="2FD657AE"/>
    <w:rsid w:val="2FD704A9"/>
    <w:rsid w:val="2FDB079A"/>
    <w:rsid w:val="2FDC7C2A"/>
    <w:rsid w:val="2FDD2479"/>
    <w:rsid w:val="2FE1168D"/>
    <w:rsid w:val="2FE52BF8"/>
    <w:rsid w:val="2FE66E64"/>
    <w:rsid w:val="2FE71F61"/>
    <w:rsid w:val="2FE77813"/>
    <w:rsid w:val="2FEC1C8C"/>
    <w:rsid w:val="2FEE08EE"/>
    <w:rsid w:val="2FEF63A8"/>
    <w:rsid w:val="2FF12316"/>
    <w:rsid w:val="2FF12EBA"/>
    <w:rsid w:val="2FF34BF3"/>
    <w:rsid w:val="2FFD0575"/>
    <w:rsid w:val="30052679"/>
    <w:rsid w:val="30061479"/>
    <w:rsid w:val="30062D4F"/>
    <w:rsid w:val="30071D0E"/>
    <w:rsid w:val="30081F7A"/>
    <w:rsid w:val="30095999"/>
    <w:rsid w:val="300B0DCB"/>
    <w:rsid w:val="300F53BC"/>
    <w:rsid w:val="3011459E"/>
    <w:rsid w:val="3017542A"/>
    <w:rsid w:val="30183C56"/>
    <w:rsid w:val="301B151C"/>
    <w:rsid w:val="301B16D3"/>
    <w:rsid w:val="301C7B95"/>
    <w:rsid w:val="301D2343"/>
    <w:rsid w:val="301D3412"/>
    <w:rsid w:val="302150E8"/>
    <w:rsid w:val="30267F4E"/>
    <w:rsid w:val="302B55FB"/>
    <w:rsid w:val="302B69E9"/>
    <w:rsid w:val="302C6433"/>
    <w:rsid w:val="302E04E4"/>
    <w:rsid w:val="30330ECC"/>
    <w:rsid w:val="30337C58"/>
    <w:rsid w:val="303647E0"/>
    <w:rsid w:val="30381535"/>
    <w:rsid w:val="303A21B3"/>
    <w:rsid w:val="303D23E9"/>
    <w:rsid w:val="303E36CD"/>
    <w:rsid w:val="3042177B"/>
    <w:rsid w:val="30460AE6"/>
    <w:rsid w:val="30477062"/>
    <w:rsid w:val="304C2DC7"/>
    <w:rsid w:val="304D46ED"/>
    <w:rsid w:val="304D5D64"/>
    <w:rsid w:val="30500153"/>
    <w:rsid w:val="305121DC"/>
    <w:rsid w:val="305142EB"/>
    <w:rsid w:val="305305DC"/>
    <w:rsid w:val="305329EF"/>
    <w:rsid w:val="305413B6"/>
    <w:rsid w:val="30570A7D"/>
    <w:rsid w:val="305B37CC"/>
    <w:rsid w:val="306013EA"/>
    <w:rsid w:val="3063408D"/>
    <w:rsid w:val="30680A46"/>
    <w:rsid w:val="306B7A8C"/>
    <w:rsid w:val="306D0C8C"/>
    <w:rsid w:val="306E0B25"/>
    <w:rsid w:val="306E19D8"/>
    <w:rsid w:val="306E22B7"/>
    <w:rsid w:val="306E4523"/>
    <w:rsid w:val="30716592"/>
    <w:rsid w:val="307645F5"/>
    <w:rsid w:val="307C2878"/>
    <w:rsid w:val="307E23CA"/>
    <w:rsid w:val="30825251"/>
    <w:rsid w:val="308558F3"/>
    <w:rsid w:val="30876642"/>
    <w:rsid w:val="308A2ACE"/>
    <w:rsid w:val="308F4145"/>
    <w:rsid w:val="30952618"/>
    <w:rsid w:val="30964177"/>
    <w:rsid w:val="309663D7"/>
    <w:rsid w:val="30993D9F"/>
    <w:rsid w:val="309C221B"/>
    <w:rsid w:val="30A256C9"/>
    <w:rsid w:val="30A31ED9"/>
    <w:rsid w:val="30A5435B"/>
    <w:rsid w:val="30A85FEE"/>
    <w:rsid w:val="30AB41AC"/>
    <w:rsid w:val="30B872AB"/>
    <w:rsid w:val="30B97371"/>
    <w:rsid w:val="30BC315B"/>
    <w:rsid w:val="30C0051E"/>
    <w:rsid w:val="30C025E5"/>
    <w:rsid w:val="30C26824"/>
    <w:rsid w:val="30C60EDC"/>
    <w:rsid w:val="30C83527"/>
    <w:rsid w:val="30C96470"/>
    <w:rsid w:val="30CB05DF"/>
    <w:rsid w:val="30D10650"/>
    <w:rsid w:val="30D3798C"/>
    <w:rsid w:val="30DB47C5"/>
    <w:rsid w:val="30DC4672"/>
    <w:rsid w:val="30DE3B3E"/>
    <w:rsid w:val="30E13EC7"/>
    <w:rsid w:val="30E4779F"/>
    <w:rsid w:val="30E60B4C"/>
    <w:rsid w:val="30EB3C29"/>
    <w:rsid w:val="30F12E2B"/>
    <w:rsid w:val="30F52627"/>
    <w:rsid w:val="30F72A6E"/>
    <w:rsid w:val="30F73C51"/>
    <w:rsid w:val="30F76B88"/>
    <w:rsid w:val="30F81112"/>
    <w:rsid w:val="30FA6793"/>
    <w:rsid w:val="3101029A"/>
    <w:rsid w:val="310354FF"/>
    <w:rsid w:val="31042983"/>
    <w:rsid w:val="310550A0"/>
    <w:rsid w:val="31073DA3"/>
    <w:rsid w:val="31096DFE"/>
    <w:rsid w:val="31137386"/>
    <w:rsid w:val="31144215"/>
    <w:rsid w:val="311529F8"/>
    <w:rsid w:val="31174AFD"/>
    <w:rsid w:val="31193458"/>
    <w:rsid w:val="31194ED0"/>
    <w:rsid w:val="31201E99"/>
    <w:rsid w:val="3120596C"/>
    <w:rsid w:val="31263A0B"/>
    <w:rsid w:val="31282FBA"/>
    <w:rsid w:val="31283BA3"/>
    <w:rsid w:val="312940F7"/>
    <w:rsid w:val="312B4945"/>
    <w:rsid w:val="312E3CF7"/>
    <w:rsid w:val="313158BB"/>
    <w:rsid w:val="31341954"/>
    <w:rsid w:val="313A1D0F"/>
    <w:rsid w:val="313C70FC"/>
    <w:rsid w:val="31453C80"/>
    <w:rsid w:val="31470F5E"/>
    <w:rsid w:val="31475F6B"/>
    <w:rsid w:val="3148533A"/>
    <w:rsid w:val="314B3B7F"/>
    <w:rsid w:val="314B701F"/>
    <w:rsid w:val="314C39BA"/>
    <w:rsid w:val="314C61FD"/>
    <w:rsid w:val="314F3936"/>
    <w:rsid w:val="3150117B"/>
    <w:rsid w:val="3154180A"/>
    <w:rsid w:val="31553C5A"/>
    <w:rsid w:val="31557B3E"/>
    <w:rsid w:val="315D037C"/>
    <w:rsid w:val="316655B5"/>
    <w:rsid w:val="31690982"/>
    <w:rsid w:val="316A41AE"/>
    <w:rsid w:val="316C6AEE"/>
    <w:rsid w:val="31702D36"/>
    <w:rsid w:val="31737800"/>
    <w:rsid w:val="31767249"/>
    <w:rsid w:val="3179457A"/>
    <w:rsid w:val="317D7FEA"/>
    <w:rsid w:val="318054A2"/>
    <w:rsid w:val="31812E13"/>
    <w:rsid w:val="31822DED"/>
    <w:rsid w:val="31833430"/>
    <w:rsid w:val="31840810"/>
    <w:rsid w:val="31840CEF"/>
    <w:rsid w:val="31871308"/>
    <w:rsid w:val="31887334"/>
    <w:rsid w:val="31891E4A"/>
    <w:rsid w:val="318C14B8"/>
    <w:rsid w:val="31976635"/>
    <w:rsid w:val="319A4BC1"/>
    <w:rsid w:val="319F23EE"/>
    <w:rsid w:val="319F592E"/>
    <w:rsid w:val="31A07CDF"/>
    <w:rsid w:val="31A24854"/>
    <w:rsid w:val="31A53546"/>
    <w:rsid w:val="31A71A3B"/>
    <w:rsid w:val="31A7478F"/>
    <w:rsid w:val="31A8335D"/>
    <w:rsid w:val="31A956E7"/>
    <w:rsid w:val="31AC460B"/>
    <w:rsid w:val="31AD60B6"/>
    <w:rsid w:val="31AD6C0E"/>
    <w:rsid w:val="31B06BA5"/>
    <w:rsid w:val="31B31016"/>
    <w:rsid w:val="31B366D7"/>
    <w:rsid w:val="31B46A39"/>
    <w:rsid w:val="31B92A35"/>
    <w:rsid w:val="31BB1267"/>
    <w:rsid w:val="31BC7182"/>
    <w:rsid w:val="31BD44D7"/>
    <w:rsid w:val="31BE658A"/>
    <w:rsid w:val="31C02E14"/>
    <w:rsid w:val="31C13886"/>
    <w:rsid w:val="31C27740"/>
    <w:rsid w:val="31CA5DCB"/>
    <w:rsid w:val="31CC6D02"/>
    <w:rsid w:val="31D159E8"/>
    <w:rsid w:val="31D352F1"/>
    <w:rsid w:val="31D353E2"/>
    <w:rsid w:val="31D40650"/>
    <w:rsid w:val="31D57AFD"/>
    <w:rsid w:val="31D95B7E"/>
    <w:rsid w:val="31DA417E"/>
    <w:rsid w:val="31DB4236"/>
    <w:rsid w:val="31DF15AB"/>
    <w:rsid w:val="31DF6D47"/>
    <w:rsid w:val="31E13A5B"/>
    <w:rsid w:val="31E44DA3"/>
    <w:rsid w:val="31E515CE"/>
    <w:rsid w:val="31E82AF6"/>
    <w:rsid w:val="31ED09AA"/>
    <w:rsid w:val="31EF788B"/>
    <w:rsid w:val="31F47862"/>
    <w:rsid w:val="31F806B3"/>
    <w:rsid w:val="31F86091"/>
    <w:rsid w:val="31FD2707"/>
    <w:rsid w:val="320256BB"/>
    <w:rsid w:val="32034D4B"/>
    <w:rsid w:val="32036ADA"/>
    <w:rsid w:val="320371C0"/>
    <w:rsid w:val="3205221B"/>
    <w:rsid w:val="32062A36"/>
    <w:rsid w:val="32062B9F"/>
    <w:rsid w:val="32070670"/>
    <w:rsid w:val="320A5C5D"/>
    <w:rsid w:val="320D71DC"/>
    <w:rsid w:val="32103ECA"/>
    <w:rsid w:val="32124B2B"/>
    <w:rsid w:val="32124C67"/>
    <w:rsid w:val="3216508D"/>
    <w:rsid w:val="32175DCA"/>
    <w:rsid w:val="321917AA"/>
    <w:rsid w:val="321D6BFC"/>
    <w:rsid w:val="321E1A30"/>
    <w:rsid w:val="322133E0"/>
    <w:rsid w:val="32235031"/>
    <w:rsid w:val="32237C67"/>
    <w:rsid w:val="322D32FC"/>
    <w:rsid w:val="323558D2"/>
    <w:rsid w:val="323A4F79"/>
    <w:rsid w:val="323C0D02"/>
    <w:rsid w:val="32403489"/>
    <w:rsid w:val="32423EF3"/>
    <w:rsid w:val="32431F42"/>
    <w:rsid w:val="324825B8"/>
    <w:rsid w:val="32501772"/>
    <w:rsid w:val="325153CA"/>
    <w:rsid w:val="32516F8D"/>
    <w:rsid w:val="32520E6A"/>
    <w:rsid w:val="32546809"/>
    <w:rsid w:val="325505E0"/>
    <w:rsid w:val="32562022"/>
    <w:rsid w:val="32593E42"/>
    <w:rsid w:val="325A0A1E"/>
    <w:rsid w:val="325B7391"/>
    <w:rsid w:val="32645F55"/>
    <w:rsid w:val="326804AE"/>
    <w:rsid w:val="326A54C6"/>
    <w:rsid w:val="326B5FD0"/>
    <w:rsid w:val="326F349D"/>
    <w:rsid w:val="32704DBD"/>
    <w:rsid w:val="32743E23"/>
    <w:rsid w:val="32775783"/>
    <w:rsid w:val="32787926"/>
    <w:rsid w:val="32795151"/>
    <w:rsid w:val="327B75CB"/>
    <w:rsid w:val="327C0EA9"/>
    <w:rsid w:val="32810295"/>
    <w:rsid w:val="328155EC"/>
    <w:rsid w:val="32816140"/>
    <w:rsid w:val="32821F81"/>
    <w:rsid w:val="32884F6B"/>
    <w:rsid w:val="328F312F"/>
    <w:rsid w:val="328F4084"/>
    <w:rsid w:val="329232B4"/>
    <w:rsid w:val="329A2EB5"/>
    <w:rsid w:val="329A5F78"/>
    <w:rsid w:val="329C1317"/>
    <w:rsid w:val="329F16E3"/>
    <w:rsid w:val="329F2F4F"/>
    <w:rsid w:val="32A50684"/>
    <w:rsid w:val="32AB67DC"/>
    <w:rsid w:val="32AC525A"/>
    <w:rsid w:val="32AC6F7E"/>
    <w:rsid w:val="32AD5968"/>
    <w:rsid w:val="32B10162"/>
    <w:rsid w:val="32B83E3C"/>
    <w:rsid w:val="32B87B60"/>
    <w:rsid w:val="32B943ED"/>
    <w:rsid w:val="32BB7FF3"/>
    <w:rsid w:val="32C014E5"/>
    <w:rsid w:val="32C05228"/>
    <w:rsid w:val="32C819A1"/>
    <w:rsid w:val="32CB047A"/>
    <w:rsid w:val="32CB5B85"/>
    <w:rsid w:val="32CC3E5F"/>
    <w:rsid w:val="32CF71DD"/>
    <w:rsid w:val="32D111CE"/>
    <w:rsid w:val="32D117AD"/>
    <w:rsid w:val="32D37D61"/>
    <w:rsid w:val="32D53C1A"/>
    <w:rsid w:val="32D558B9"/>
    <w:rsid w:val="32D77E67"/>
    <w:rsid w:val="32D825EB"/>
    <w:rsid w:val="32DA01C6"/>
    <w:rsid w:val="32DF5EFF"/>
    <w:rsid w:val="32E02313"/>
    <w:rsid w:val="32E04F47"/>
    <w:rsid w:val="32E77CC1"/>
    <w:rsid w:val="32E854AE"/>
    <w:rsid w:val="32E85F44"/>
    <w:rsid w:val="32E86DD6"/>
    <w:rsid w:val="32EB3AA1"/>
    <w:rsid w:val="32EE379C"/>
    <w:rsid w:val="32F030B1"/>
    <w:rsid w:val="32F36389"/>
    <w:rsid w:val="32F866A4"/>
    <w:rsid w:val="32FB0BA6"/>
    <w:rsid w:val="32FF4B11"/>
    <w:rsid w:val="33027689"/>
    <w:rsid w:val="330538AF"/>
    <w:rsid w:val="330539B8"/>
    <w:rsid w:val="33055FD4"/>
    <w:rsid w:val="330970ED"/>
    <w:rsid w:val="330C6291"/>
    <w:rsid w:val="330D4B75"/>
    <w:rsid w:val="33104CFB"/>
    <w:rsid w:val="3310579A"/>
    <w:rsid w:val="33157B54"/>
    <w:rsid w:val="33186A34"/>
    <w:rsid w:val="331C37F9"/>
    <w:rsid w:val="331E2F09"/>
    <w:rsid w:val="33291151"/>
    <w:rsid w:val="3329671B"/>
    <w:rsid w:val="332B4EB9"/>
    <w:rsid w:val="332E02F0"/>
    <w:rsid w:val="33300492"/>
    <w:rsid w:val="33344C47"/>
    <w:rsid w:val="333A6865"/>
    <w:rsid w:val="333D0FA2"/>
    <w:rsid w:val="33435D71"/>
    <w:rsid w:val="33436B94"/>
    <w:rsid w:val="33444747"/>
    <w:rsid w:val="33444AA8"/>
    <w:rsid w:val="33447F76"/>
    <w:rsid w:val="3345075B"/>
    <w:rsid w:val="33471105"/>
    <w:rsid w:val="334F35C3"/>
    <w:rsid w:val="3352334E"/>
    <w:rsid w:val="33530144"/>
    <w:rsid w:val="33543834"/>
    <w:rsid w:val="33547323"/>
    <w:rsid w:val="33575F8F"/>
    <w:rsid w:val="3358158C"/>
    <w:rsid w:val="335A21D6"/>
    <w:rsid w:val="335C6646"/>
    <w:rsid w:val="336026F6"/>
    <w:rsid w:val="33610457"/>
    <w:rsid w:val="33630C6C"/>
    <w:rsid w:val="336317ED"/>
    <w:rsid w:val="33642CD7"/>
    <w:rsid w:val="3365724F"/>
    <w:rsid w:val="336624C3"/>
    <w:rsid w:val="33691C91"/>
    <w:rsid w:val="336B32F4"/>
    <w:rsid w:val="336B56ED"/>
    <w:rsid w:val="336D780E"/>
    <w:rsid w:val="336E1603"/>
    <w:rsid w:val="33717E66"/>
    <w:rsid w:val="33726D38"/>
    <w:rsid w:val="337345E2"/>
    <w:rsid w:val="33804BB7"/>
    <w:rsid w:val="33807908"/>
    <w:rsid w:val="33825AA3"/>
    <w:rsid w:val="33830357"/>
    <w:rsid w:val="338545FA"/>
    <w:rsid w:val="338576FB"/>
    <w:rsid w:val="33880278"/>
    <w:rsid w:val="338804D9"/>
    <w:rsid w:val="33892E72"/>
    <w:rsid w:val="33896730"/>
    <w:rsid w:val="338A3F84"/>
    <w:rsid w:val="338C569E"/>
    <w:rsid w:val="338D522D"/>
    <w:rsid w:val="3394113D"/>
    <w:rsid w:val="33972595"/>
    <w:rsid w:val="33993E42"/>
    <w:rsid w:val="339E7E2E"/>
    <w:rsid w:val="339F1034"/>
    <w:rsid w:val="33A4302D"/>
    <w:rsid w:val="33A7411C"/>
    <w:rsid w:val="33A820CF"/>
    <w:rsid w:val="33AC3F78"/>
    <w:rsid w:val="33AE7C65"/>
    <w:rsid w:val="33AF2706"/>
    <w:rsid w:val="33B35BBB"/>
    <w:rsid w:val="33B55B7A"/>
    <w:rsid w:val="33B56A51"/>
    <w:rsid w:val="33BA4B3D"/>
    <w:rsid w:val="33BB15B0"/>
    <w:rsid w:val="33BB18C2"/>
    <w:rsid w:val="33BB1B7D"/>
    <w:rsid w:val="33BB5548"/>
    <w:rsid w:val="33BC0B71"/>
    <w:rsid w:val="33BD6807"/>
    <w:rsid w:val="33BE67EB"/>
    <w:rsid w:val="33C37FCC"/>
    <w:rsid w:val="33C62D6B"/>
    <w:rsid w:val="33C96600"/>
    <w:rsid w:val="33CA32CF"/>
    <w:rsid w:val="33D563FB"/>
    <w:rsid w:val="33D71149"/>
    <w:rsid w:val="33D73CB8"/>
    <w:rsid w:val="33DB5786"/>
    <w:rsid w:val="33DD12B0"/>
    <w:rsid w:val="33E03B97"/>
    <w:rsid w:val="33E47EFB"/>
    <w:rsid w:val="33E71C40"/>
    <w:rsid w:val="33E72B2F"/>
    <w:rsid w:val="33EA4A60"/>
    <w:rsid w:val="33ED52E8"/>
    <w:rsid w:val="33F72163"/>
    <w:rsid w:val="33FF6BB0"/>
    <w:rsid w:val="34060BFD"/>
    <w:rsid w:val="340A4920"/>
    <w:rsid w:val="340B0DFD"/>
    <w:rsid w:val="340B617A"/>
    <w:rsid w:val="340D078C"/>
    <w:rsid w:val="34101A4B"/>
    <w:rsid w:val="34142412"/>
    <w:rsid w:val="341432FD"/>
    <w:rsid w:val="341648C9"/>
    <w:rsid w:val="3418621A"/>
    <w:rsid w:val="341B5C81"/>
    <w:rsid w:val="341C53FE"/>
    <w:rsid w:val="34203314"/>
    <w:rsid w:val="342245DF"/>
    <w:rsid w:val="34257101"/>
    <w:rsid w:val="34264A1F"/>
    <w:rsid w:val="34273F77"/>
    <w:rsid w:val="342817B7"/>
    <w:rsid w:val="342B0AD9"/>
    <w:rsid w:val="342C767F"/>
    <w:rsid w:val="34352E25"/>
    <w:rsid w:val="34360A31"/>
    <w:rsid w:val="343927E9"/>
    <w:rsid w:val="34393E47"/>
    <w:rsid w:val="343B27A8"/>
    <w:rsid w:val="343D72D8"/>
    <w:rsid w:val="343F73FA"/>
    <w:rsid w:val="34441F1F"/>
    <w:rsid w:val="344B67F6"/>
    <w:rsid w:val="345045D2"/>
    <w:rsid w:val="3453155D"/>
    <w:rsid w:val="345429E5"/>
    <w:rsid w:val="34552509"/>
    <w:rsid w:val="34563A26"/>
    <w:rsid w:val="345751A0"/>
    <w:rsid w:val="345C08C3"/>
    <w:rsid w:val="345C350B"/>
    <w:rsid w:val="345D734C"/>
    <w:rsid w:val="345E1A99"/>
    <w:rsid w:val="34665681"/>
    <w:rsid w:val="34675C16"/>
    <w:rsid w:val="34686FC6"/>
    <w:rsid w:val="3469685C"/>
    <w:rsid w:val="346D5328"/>
    <w:rsid w:val="346F66C1"/>
    <w:rsid w:val="34720D35"/>
    <w:rsid w:val="34737798"/>
    <w:rsid w:val="34747B0E"/>
    <w:rsid w:val="347627DE"/>
    <w:rsid w:val="347635B0"/>
    <w:rsid w:val="3477278D"/>
    <w:rsid w:val="347905F4"/>
    <w:rsid w:val="34793EAB"/>
    <w:rsid w:val="347F2604"/>
    <w:rsid w:val="348205E8"/>
    <w:rsid w:val="348773E9"/>
    <w:rsid w:val="348A5B05"/>
    <w:rsid w:val="348C35A9"/>
    <w:rsid w:val="348C4BD8"/>
    <w:rsid w:val="34907438"/>
    <w:rsid w:val="34910019"/>
    <w:rsid w:val="3492777B"/>
    <w:rsid w:val="3495641D"/>
    <w:rsid w:val="34964F91"/>
    <w:rsid w:val="349678B0"/>
    <w:rsid w:val="349826B2"/>
    <w:rsid w:val="349E0AB1"/>
    <w:rsid w:val="349E27F9"/>
    <w:rsid w:val="349E61B1"/>
    <w:rsid w:val="349F4975"/>
    <w:rsid w:val="349F73D4"/>
    <w:rsid w:val="34A10203"/>
    <w:rsid w:val="34A72CFD"/>
    <w:rsid w:val="34A87F32"/>
    <w:rsid w:val="34AE3E90"/>
    <w:rsid w:val="34B07234"/>
    <w:rsid w:val="34B4414C"/>
    <w:rsid w:val="34BA3243"/>
    <w:rsid w:val="34BC6688"/>
    <w:rsid w:val="34BD4B42"/>
    <w:rsid w:val="34BF0BBF"/>
    <w:rsid w:val="34BF7C8C"/>
    <w:rsid w:val="34C02AFD"/>
    <w:rsid w:val="34C75360"/>
    <w:rsid w:val="34CC6BCA"/>
    <w:rsid w:val="34CE5FDD"/>
    <w:rsid w:val="34D12B02"/>
    <w:rsid w:val="34D5203E"/>
    <w:rsid w:val="34D80E37"/>
    <w:rsid w:val="34D92E6B"/>
    <w:rsid w:val="34DA1D97"/>
    <w:rsid w:val="34DE1FA2"/>
    <w:rsid w:val="34DF108E"/>
    <w:rsid w:val="34DF1A2F"/>
    <w:rsid w:val="34E5016A"/>
    <w:rsid w:val="34E652DB"/>
    <w:rsid w:val="34F678AD"/>
    <w:rsid w:val="34F714D0"/>
    <w:rsid w:val="34F85A05"/>
    <w:rsid w:val="34F95FCE"/>
    <w:rsid w:val="34F96CEA"/>
    <w:rsid w:val="34FB0926"/>
    <w:rsid w:val="34FB4CE4"/>
    <w:rsid w:val="34FD35A8"/>
    <w:rsid w:val="34FF3D7E"/>
    <w:rsid w:val="35044D3F"/>
    <w:rsid w:val="35094CCE"/>
    <w:rsid w:val="350C3C95"/>
    <w:rsid w:val="350C6DD4"/>
    <w:rsid w:val="350C759D"/>
    <w:rsid w:val="350F2442"/>
    <w:rsid w:val="350F5AEC"/>
    <w:rsid w:val="35104EE4"/>
    <w:rsid w:val="351F136B"/>
    <w:rsid w:val="351F718C"/>
    <w:rsid w:val="3524396B"/>
    <w:rsid w:val="3529616C"/>
    <w:rsid w:val="352B015F"/>
    <w:rsid w:val="352C75B1"/>
    <w:rsid w:val="352D3E76"/>
    <w:rsid w:val="35323D8F"/>
    <w:rsid w:val="35337B81"/>
    <w:rsid w:val="35356BA4"/>
    <w:rsid w:val="35381864"/>
    <w:rsid w:val="353A1295"/>
    <w:rsid w:val="353D7B22"/>
    <w:rsid w:val="35445D0B"/>
    <w:rsid w:val="354B40B8"/>
    <w:rsid w:val="354C5A49"/>
    <w:rsid w:val="355422CA"/>
    <w:rsid w:val="3554369E"/>
    <w:rsid w:val="35587A24"/>
    <w:rsid w:val="355C0588"/>
    <w:rsid w:val="35604153"/>
    <w:rsid w:val="35607FC0"/>
    <w:rsid w:val="35662315"/>
    <w:rsid w:val="356750A1"/>
    <w:rsid w:val="35687FDD"/>
    <w:rsid w:val="356944F2"/>
    <w:rsid w:val="356B0AC8"/>
    <w:rsid w:val="356E007B"/>
    <w:rsid w:val="35712973"/>
    <w:rsid w:val="357302DF"/>
    <w:rsid w:val="35751C96"/>
    <w:rsid w:val="357704C0"/>
    <w:rsid w:val="357D4E3E"/>
    <w:rsid w:val="3580366E"/>
    <w:rsid w:val="3581559D"/>
    <w:rsid w:val="35825273"/>
    <w:rsid w:val="35855178"/>
    <w:rsid w:val="358A2893"/>
    <w:rsid w:val="358A2C09"/>
    <w:rsid w:val="358A73AA"/>
    <w:rsid w:val="358D2F2E"/>
    <w:rsid w:val="35926567"/>
    <w:rsid w:val="3595405B"/>
    <w:rsid w:val="35971303"/>
    <w:rsid w:val="35971E08"/>
    <w:rsid w:val="359C29B0"/>
    <w:rsid w:val="359F25CB"/>
    <w:rsid w:val="359F577B"/>
    <w:rsid w:val="35A13746"/>
    <w:rsid w:val="35A14F55"/>
    <w:rsid w:val="35A15EDD"/>
    <w:rsid w:val="35A56232"/>
    <w:rsid w:val="35A81E79"/>
    <w:rsid w:val="35AA4CD9"/>
    <w:rsid w:val="35AC46CF"/>
    <w:rsid w:val="35AD61EA"/>
    <w:rsid w:val="35AE4D74"/>
    <w:rsid w:val="35AF2B74"/>
    <w:rsid w:val="35AF4A25"/>
    <w:rsid w:val="35B128DA"/>
    <w:rsid w:val="35B866B7"/>
    <w:rsid w:val="35BA7394"/>
    <w:rsid w:val="35BC23C5"/>
    <w:rsid w:val="35C4613C"/>
    <w:rsid w:val="35C52DA9"/>
    <w:rsid w:val="35C66BC0"/>
    <w:rsid w:val="35CC6750"/>
    <w:rsid w:val="35CC7CA6"/>
    <w:rsid w:val="35D34987"/>
    <w:rsid w:val="35D4122F"/>
    <w:rsid w:val="35D4653F"/>
    <w:rsid w:val="35D70E1B"/>
    <w:rsid w:val="35D72B27"/>
    <w:rsid w:val="35D73809"/>
    <w:rsid w:val="35DA0537"/>
    <w:rsid w:val="35DB5E12"/>
    <w:rsid w:val="35DE3A14"/>
    <w:rsid w:val="35DE4438"/>
    <w:rsid w:val="35DE62F5"/>
    <w:rsid w:val="35E4750A"/>
    <w:rsid w:val="35EA7EB3"/>
    <w:rsid w:val="35EC36DA"/>
    <w:rsid w:val="35ED2697"/>
    <w:rsid w:val="35ED618E"/>
    <w:rsid w:val="35EE58AF"/>
    <w:rsid w:val="35EF7616"/>
    <w:rsid w:val="35F0478D"/>
    <w:rsid w:val="35F135E5"/>
    <w:rsid w:val="35F1699E"/>
    <w:rsid w:val="35F36D97"/>
    <w:rsid w:val="35FA252B"/>
    <w:rsid w:val="35FC6E49"/>
    <w:rsid w:val="35FE7C75"/>
    <w:rsid w:val="360374AB"/>
    <w:rsid w:val="36040F56"/>
    <w:rsid w:val="36060839"/>
    <w:rsid w:val="36061951"/>
    <w:rsid w:val="36086009"/>
    <w:rsid w:val="360C736E"/>
    <w:rsid w:val="360E6222"/>
    <w:rsid w:val="360E7293"/>
    <w:rsid w:val="360F6917"/>
    <w:rsid w:val="36113323"/>
    <w:rsid w:val="36115586"/>
    <w:rsid w:val="361613A4"/>
    <w:rsid w:val="361623DB"/>
    <w:rsid w:val="36185488"/>
    <w:rsid w:val="361B5C2D"/>
    <w:rsid w:val="36200E7D"/>
    <w:rsid w:val="3620307D"/>
    <w:rsid w:val="36220D41"/>
    <w:rsid w:val="36224D6A"/>
    <w:rsid w:val="36240EF2"/>
    <w:rsid w:val="3629030D"/>
    <w:rsid w:val="36292C40"/>
    <w:rsid w:val="362F0DC8"/>
    <w:rsid w:val="36386001"/>
    <w:rsid w:val="363C5146"/>
    <w:rsid w:val="363D4306"/>
    <w:rsid w:val="363E4D9A"/>
    <w:rsid w:val="363F0B5D"/>
    <w:rsid w:val="36401D38"/>
    <w:rsid w:val="36412E74"/>
    <w:rsid w:val="3641403C"/>
    <w:rsid w:val="36423ECD"/>
    <w:rsid w:val="364458B1"/>
    <w:rsid w:val="364474EC"/>
    <w:rsid w:val="36467975"/>
    <w:rsid w:val="36476D9B"/>
    <w:rsid w:val="364C2394"/>
    <w:rsid w:val="364D47FD"/>
    <w:rsid w:val="365523A1"/>
    <w:rsid w:val="365A36FA"/>
    <w:rsid w:val="365A5935"/>
    <w:rsid w:val="365F068E"/>
    <w:rsid w:val="365F6D0F"/>
    <w:rsid w:val="366B3DC3"/>
    <w:rsid w:val="366C6CDF"/>
    <w:rsid w:val="367039CF"/>
    <w:rsid w:val="3673731E"/>
    <w:rsid w:val="36786350"/>
    <w:rsid w:val="367E04C9"/>
    <w:rsid w:val="367E2A9F"/>
    <w:rsid w:val="367F32A7"/>
    <w:rsid w:val="367F531E"/>
    <w:rsid w:val="36860689"/>
    <w:rsid w:val="368D5E7C"/>
    <w:rsid w:val="36930369"/>
    <w:rsid w:val="36943402"/>
    <w:rsid w:val="369538F6"/>
    <w:rsid w:val="3697273F"/>
    <w:rsid w:val="369D48A0"/>
    <w:rsid w:val="36A30F7B"/>
    <w:rsid w:val="36A36E4C"/>
    <w:rsid w:val="36A41F48"/>
    <w:rsid w:val="36A95C2C"/>
    <w:rsid w:val="36AD4F8F"/>
    <w:rsid w:val="36AE2D58"/>
    <w:rsid w:val="36B10CB1"/>
    <w:rsid w:val="36B2303F"/>
    <w:rsid w:val="36B30837"/>
    <w:rsid w:val="36B65DBB"/>
    <w:rsid w:val="36B67457"/>
    <w:rsid w:val="36BA0724"/>
    <w:rsid w:val="36BB7D85"/>
    <w:rsid w:val="36BD1DF8"/>
    <w:rsid w:val="36C0207C"/>
    <w:rsid w:val="36C1230B"/>
    <w:rsid w:val="36C34044"/>
    <w:rsid w:val="36C42EC8"/>
    <w:rsid w:val="36C66D48"/>
    <w:rsid w:val="36C91CB3"/>
    <w:rsid w:val="36C93F13"/>
    <w:rsid w:val="36C97E28"/>
    <w:rsid w:val="36CA278E"/>
    <w:rsid w:val="36CA7B0F"/>
    <w:rsid w:val="36CB6D0C"/>
    <w:rsid w:val="36CE1AC7"/>
    <w:rsid w:val="36D273D5"/>
    <w:rsid w:val="36D85C7D"/>
    <w:rsid w:val="36DC6652"/>
    <w:rsid w:val="36DE408B"/>
    <w:rsid w:val="36DF4D46"/>
    <w:rsid w:val="36DF50BD"/>
    <w:rsid w:val="36E050CB"/>
    <w:rsid w:val="36E12883"/>
    <w:rsid w:val="36E55490"/>
    <w:rsid w:val="36E82020"/>
    <w:rsid w:val="36E970F6"/>
    <w:rsid w:val="36EF4353"/>
    <w:rsid w:val="36EF70B9"/>
    <w:rsid w:val="36F20AF4"/>
    <w:rsid w:val="36F52C4D"/>
    <w:rsid w:val="36F72D4F"/>
    <w:rsid w:val="36F77C2B"/>
    <w:rsid w:val="36FD3DFB"/>
    <w:rsid w:val="36FE3DCA"/>
    <w:rsid w:val="37002BE4"/>
    <w:rsid w:val="3702072A"/>
    <w:rsid w:val="3704378E"/>
    <w:rsid w:val="370B4AF2"/>
    <w:rsid w:val="37107E30"/>
    <w:rsid w:val="37114CB3"/>
    <w:rsid w:val="371636B5"/>
    <w:rsid w:val="371A011B"/>
    <w:rsid w:val="371B4616"/>
    <w:rsid w:val="3720272A"/>
    <w:rsid w:val="37204149"/>
    <w:rsid w:val="37227BD4"/>
    <w:rsid w:val="3723528F"/>
    <w:rsid w:val="37267E38"/>
    <w:rsid w:val="3727391E"/>
    <w:rsid w:val="3731176B"/>
    <w:rsid w:val="37340062"/>
    <w:rsid w:val="373727C4"/>
    <w:rsid w:val="373C4D2C"/>
    <w:rsid w:val="373E1FEE"/>
    <w:rsid w:val="37431290"/>
    <w:rsid w:val="374410D5"/>
    <w:rsid w:val="37497A50"/>
    <w:rsid w:val="374B34A6"/>
    <w:rsid w:val="37543BFA"/>
    <w:rsid w:val="37593C80"/>
    <w:rsid w:val="37595C0D"/>
    <w:rsid w:val="3759758E"/>
    <w:rsid w:val="37611947"/>
    <w:rsid w:val="3761344C"/>
    <w:rsid w:val="3765716E"/>
    <w:rsid w:val="37683F0B"/>
    <w:rsid w:val="3769658C"/>
    <w:rsid w:val="376B72E8"/>
    <w:rsid w:val="376D2B75"/>
    <w:rsid w:val="376E43BD"/>
    <w:rsid w:val="376E4420"/>
    <w:rsid w:val="376F3A0E"/>
    <w:rsid w:val="37735581"/>
    <w:rsid w:val="37796950"/>
    <w:rsid w:val="377A25A0"/>
    <w:rsid w:val="377B07A1"/>
    <w:rsid w:val="377B1425"/>
    <w:rsid w:val="377D3D02"/>
    <w:rsid w:val="377D4E2B"/>
    <w:rsid w:val="377E0314"/>
    <w:rsid w:val="37815CF3"/>
    <w:rsid w:val="37864948"/>
    <w:rsid w:val="37881C92"/>
    <w:rsid w:val="378A7221"/>
    <w:rsid w:val="378B217E"/>
    <w:rsid w:val="37956AD8"/>
    <w:rsid w:val="37966BFC"/>
    <w:rsid w:val="379938F1"/>
    <w:rsid w:val="37A12DEF"/>
    <w:rsid w:val="37A25E27"/>
    <w:rsid w:val="37A638CE"/>
    <w:rsid w:val="37A66686"/>
    <w:rsid w:val="37A93671"/>
    <w:rsid w:val="37AB254D"/>
    <w:rsid w:val="37AC20E8"/>
    <w:rsid w:val="37AC7051"/>
    <w:rsid w:val="37B204A5"/>
    <w:rsid w:val="37B24E9D"/>
    <w:rsid w:val="37B675BE"/>
    <w:rsid w:val="37BA5A8E"/>
    <w:rsid w:val="37BD6C3E"/>
    <w:rsid w:val="37BE304D"/>
    <w:rsid w:val="37C40334"/>
    <w:rsid w:val="37C6135F"/>
    <w:rsid w:val="37C84219"/>
    <w:rsid w:val="37CB4FB6"/>
    <w:rsid w:val="37CD380C"/>
    <w:rsid w:val="37D65859"/>
    <w:rsid w:val="37DA769E"/>
    <w:rsid w:val="37DB1098"/>
    <w:rsid w:val="37DD1C25"/>
    <w:rsid w:val="37DF55D2"/>
    <w:rsid w:val="37E24CF3"/>
    <w:rsid w:val="37E83947"/>
    <w:rsid w:val="37E91C71"/>
    <w:rsid w:val="37EA77F4"/>
    <w:rsid w:val="37EB2D89"/>
    <w:rsid w:val="37EB37D8"/>
    <w:rsid w:val="37F51C2E"/>
    <w:rsid w:val="37F80D73"/>
    <w:rsid w:val="37FA7ADE"/>
    <w:rsid w:val="37FC2A61"/>
    <w:rsid w:val="37FF2349"/>
    <w:rsid w:val="380446FA"/>
    <w:rsid w:val="38062252"/>
    <w:rsid w:val="380A4D4D"/>
    <w:rsid w:val="380D686A"/>
    <w:rsid w:val="380F4EFB"/>
    <w:rsid w:val="381168FA"/>
    <w:rsid w:val="38157C6E"/>
    <w:rsid w:val="38190C6C"/>
    <w:rsid w:val="381956F0"/>
    <w:rsid w:val="381B0A61"/>
    <w:rsid w:val="382354DC"/>
    <w:rsid w:val="382633C2"/>
    <w:rsid w:val="382715B7"/>
    <w:rsid w:val="38275374"/>
    <w:rsid w:val="38282CF9"/>
    <w:rsid w:val="38294CF2"/>
    <w:rsid w:val="382B4952"/>
    <w:rsid w:val="382D7349"/>
    <w:rsid w:val="382E1DBA"/>
    <w:rsid w:val="38301E96"/>
    <w:rsid w:val="38305CB7"/>
    <w:rsid w:val="3832728C"/>
    <w:rsid w:val="3833772F"/>
    <w:rsid w:val="3836089C"/>
    <w:rsid w:val="38360C30"/>
    <w:rsid w:val="3837633F"/>
    <w:rsid w:val="38385FF9"/>
    <w:rsid w:val="383A6152"/>
    <w:rsid w:val="383B7885"/>
    <w:rsid w:val="384309BE"/>
    <w:rsid w:val="38445028"/>
    <w:rsid w:val="3845100C"/>
    <w:rsid w:val="384909B3"/>
    <w:rsid w:val="384B2FEB"/>
    <w:rsid w:val="384C2D43"/>
    <w:rsid w:val="384E6CDF"/>
    <w:rsid w:val="38552AA4"/>
    <w:rsid w:val="38587C9E"/>
    <w:rsid w:val="385A49AA"/>
    <w:rsid w:val="385E7C68"/>
    <w:rsid w:val="385F73D2"/>
    <w:rsid w:val="3864340C"/>
    <w:rsid w:val="386475A2"/>
    <w:rsid w:val="38697FDA"/>
    <w:rsid w:val="386A2652"/>
    <w:rsid w:val="386B4F1A"/>
    <w:rsid w:val="386D1258"/>
    <w:rsid w:val="386D6A19"/>
    <w:rsid w:val="386F1B6B"/>
    <w:rsid w:val="38725553"/>
    <w:rsid w:val="38737B7D"/>
    <w:rsid w:val="387500A8"/>
    <w:rsid w:val="38764641"/>
    <w:rsid w:val="38774879"/>
    <w:rsid w:val="38792D19"/>
    <w:rsid w:val="387C0E07"/>
    <w:rsid w:val="387C72C8"/>
    <w:rsid w:val="387F456C"/>
    <w:rsid w:val="3881117F"/>
    <w:rsid w:val="388507E8"/>
    <w:rsid w:val="38867A94"/>
    <w:rsid w:val="388831AA"/>
    <w:rsid w:val="38890337"/>
    <w:rsid w:val="38895A97"/>
    <w:rsid w:val="388C514F"/>
    <w:rsid w:val="388D5324"/>
    <w:rsid w:val="388E25C0"/>
    <w:rsid w:val="38906F4D"/>
    <w:rsid w:val="389341C8"/>
    <w:rsid w:val="389421C9"/>
    <w:rsid w:val="38943C6B"/>
    <w:rsid w:val="38950F01"/>
    <w:rsid w:val="38980F7E"/>
    <w:rsid w:val="389B4E6D"/>
    <w:rsid w:val="38A26D89"/>
    <w:rsid w:val="38A97493"/>
    <w:rsid w:val="38AD3386"/>
    <w:rsid w:val="38AE017C"/>
    <w:rsid w:val="38AF1B13"/>
    <w:rsid w:val="38B20A4C"/>
    <w:rsid w:val="38B35342"/>
    <w:rsid w:val="38B4442F"/>
    <w:rsid w:val="38B555B4"/>
    <w:rsid w:val="38B66550"/>
    <w:rsid w:val="38BC7716"/>
    <w:rsid w:val="38C00197"/>
    <w:rsid w:val="38C130C7"/>
    <w:rsid w:val="38C20833"/>
    <w:rsid w:val="38C603B7"/>
    <w:rsid w:val="38C708C0"/>
    <w:rsid w:val="38CA18E0"/>
    <w:rsid w:val="38CF612D"/>
    <w:rsid w:val="38D2721F"/>
    <w:rsid w:val="38D32242"/>
    <w:rsid w:val="38D34D01"/>
    <w:rsid w:val="38DA53AF"/>
    <w:rsid w:val="38DC39ED"/>
    <w:rsid w:val="38E06B48"/>
    <w:rsid w:val="38E12935"/>
    <w:rsid w:val="38E31F83"/>
    <w:rsid w:val="38E36C1C"/>
    <w:rsid w:val="38E74A62"/>
    <w:rsid w:val="38EA0ADB"/>
    <w:rsid w:val="38EF1867"/>
    <w:rsid w:val="38F020CF"/>
    <w:rsid w:val="38F03339"/>
    <w:rsid w:val="38F17B35"/>
    <w:rsid w:val="38F246DA"/>
    <w:rsid w:val="38F92B55"/>
    <w:rsid w:val="38FA7769"/>
    <w:rsid w:val="38FD63DA"/>
    <w:rsid w:val="39002882"/>
    <w:rsid w:val="39027BC8"/>
    <w:rsid w:val="39057F57"/>
    <w:rsid w:val="39082EC4"/>
    <w:rsid w:val="390B3971"/>
    <w:rsid w:val="390D7447"/>
    <w:rsid w:val="390F4C63"/>
    <w:rsid w:val="391339A6"/>
    <w:rsid w:val="3918549E"/>
    <w:rsid w:val="3918619B"/>
    <w:rsid w:val="391963CB"/>
    <w:rsid w:val="391B58EE"/>
    <w:rsid w:val="391B7F98"/>
    <w:rsid w:val="391D6509"/>
    <w:rsid w:val="391E08FE"/>
    <w:rsid w:val="391F53E1"/>
    <w:rsid w:val="39206791"/>
    <w:rsid w:val="392176DF"/>
    <w:rsid w:val="39240E6B"/>
    <w:rsid w:val="392416D4"/>
    <w:rsid w:val="39242984"/>
    <w:rsid w:val="392460C8"/>
    <w:rsid w:val="3926030E"/>
    <w:rsid w:val="392663E1"/>
    <w:rsid w:val="392879A4"/>
    <w:rsid w:val="392B5EC8"/>
    <w:rsid w:val="392C07BC"/>
    <w:rsid w:val="392D55EA"/>
    <w:rsid w:val="392D6604"/>
    <w:rsid w:val="392F299A"/>
    <w:rsid w:val="39303516"/>
    <w:rsid w:val="39364AF2"/>
    <w:rsid w:val="39395240"/>
    <w:rsid w:val="3941571D"/>
    <w:rsid w:val="394178CF"/>
    <w:rsid w:val="39511A42"/>
    <w:rsid w:val="39550167"/>
    <w:rsid w:val="39586C4C"/>
    <w:rsid w:val="39595C0C"/>
    <w:rsid w:val="395A718D"/>
    <w:rsid w:val="395B6072"/>
    <w:rsid w:val="395C30D4"/>
    <w:rsid w:val="395D5F63"/>
    <w:rsid w:val="396114E9"/>
    <w:rsid w:val="396158E7"/>
    <w:rsid w:val="39626C53"/>
    <w:rsid w:val="396346EE"/>
    <w:rsid w:val="396513A0"/>
    <w:rsid w:val="39664915"/>
    <w:rsid w:val="396778B3"/>
    <w:rsid w:val="396865A9"/>
    <w:rsid w:val="396A73D9"/>
    <w:rsid w:val="39700CD8"/>
    <w:rsid w:val="39717C36"/>
    <w:rsid w:val="39834CE9"/>
    <w:rsid w:val="3985342C"/>
    <w:rsid w:val="39892CAA"/>
    <w:rsid w:val="398D3CD9"/>
    <w:rsid w:val="398E6594"/>
    <w:rsid w:val="39947779"/>
    <w:rsid w:val="39952017"/>
    <w:rsid w:val="399F39B5"/>
    <w:rsid w:val="39A13803"/>
    <w:rsid w:val="39A41164"/>
    <w:rsid w:val="39A80A6C"/>
    <w:rsid w:val="39A85F8E"/>
    <w:rsid w:val="39AA4688"/>
    <w:rsid w:val="39AA47B1"/>
    <w:rsid w:val="39AA7A1D"/>
    <w:rsid w:val="39AB5E09"/>
    <w:rsid w:val="39AD3811"/>
    <w:rsid w:val="39AE2B6E"/>
    <w:rsid w:val="39AE3D8C"/>
    <w:rsid w:val="39AF32EA"/>
    <w:rsid w:val="39B36298"/>
    <w:rsid w:val="39B611E2"/>
    <w:rsid w:val="39BA4381"/>
    <w:rsid w:val="39BC0085"/>
    <w:rsid w:val="39BD2F4A"/>
    <w:rsid w:val="39BF593A"/>
    <w:rsid w:val="39C179C9"/>
    <w:rsid w:val="39C6534F"/>
    <w:rsid w:val="39C80EA9"/>
    <w:rsid w:val="39C823C1"/>
    <w:rsid w:val="39C87664"/>
    <w:rsid w:val="39CD3A41"/>
    <w:rsid w:val="39D12393"/>
    <w:rsid w:val="39DC3FAB"/>
    <w:rsid w:val="39DE6E51"/>
    <w:rsid w:val="39DF66C2"/>
    <w:rsid w:val="39EB2A2E"/>
    <w:rsid w:val="39EC2DBD"/>
    <w:rsid w:val="39EC5E8C"/>
    <w:rsid w:val="39EF5C80"/>
    <w:rsid w:val="39F15307"/>
    <w:rsid w:val="39F4006A"/>
    <w:rsid w:val="39F46B78"/>
    <w:rsid w:val="39F65E81"/>
    <w:rsid w:val="39F71FD6"/>
    <w:rsid w:val="39F908E5"/>
    <w:rsid w:val="39FE182E"/>
    <w:rsid w:val="3A002DF1"/>
    <w:rsid w:val="3A02100B"/>
    <w:rsid w:val="3A024508"/>
    <w:rsid w:val="3A026BFA"/>
    <w:rsid w:val="3A034452"/>
    <w:rsid w:val="3A0429C5"/>
    <w:rsid w:val="3A083278"/>
    <w:rsid w:val="3A0A75B5"/>
    <w:rsid w:val="3A0E314E"/>
    <w:rsid w:val="3A1036B7"/>
    <w:rsid w:val="3A1108AB"/>
    <w:rsid w:val="3A132E31"/>
    <w:rsid w:val="3A171220"/>
    <w:rsid w:val="3A184C36"/>
    <w:rsid w:val="3A1B38ED"/>
    <w:rsid w:val="3A1C211D"/>
    <w:rsid w:val="3A1D4E31"/>
    <w:rsid w:val="3A1F5B19"/>
    <w:rsid w:val="3A20187C"/>
    <w:rsid w:val="3A2073C0"/>
    <w:rsid w:val="3A221B0E"/>
    <w:rsid w:val="3A236E1B"/>
    <w:rsid w:val="3A295784"/>
    <w:rsid w:val="3A3226A8"/>
    <w:rsid w:val="3A3273BB"/>
    <w:rsid w:val="3A370D68"/>
    <w:rsid w:val="3A37519E"/>
    <w:rsid w:val="3A4170AA"/>
    <w:rsid w:val="3A457E1C"/>
    <w:rsid w:val="3A4A544D"/>
    <w:rsid w:val="3A4A5C82"/>
    <w:rsid w:val="3A4B2338"/>
    <w:rsid w:val="3A4D16BC"/>
    <w:rsid w:val="3A4E1EAE"/>
    <w:rsid w:val="3A501C16"/>
    <w:rsid w:val="3A517EC3"/>
    <w:rsid w:val="3A534EF3"/>
    <w:rsid w:val="3A560AAB"/>
    <w:rsid w:val="3A570120"/>
    <w:rsid w:val="3A57429A"/>
    <w:rsid w:val="3A5909E7"/>
    <w:rsid w:val="3A591FD5"/>
    <w:rsid w:val="3A5C573B"/>
    <w:rsid w:val="3A5D2253"/>
    <w:rsid w:val="3A5D30C3"/>
    <w:rsid w:val="3A5F3871"/>
    <w:rsid w:val="3A620A36"/>
    <w:rsid w:val="3A6361D8"/>
    <w:rsid w:val="3A666931"/>
    <w:rsid w:val="3A6764FA"/>
    <w:rsid w:val="3A68088B"/>
    <w:rsid w:val="3A6B4D8A"/>
    <w:rsid w:val="3A700D2F"/>
    <w:rsid w:val="3A756EC8"/>
    <w:rsid w:val="3A764542"/>
    <w:rsid w:val="3A785F4B"/>
    <w:rsid w:val="3A786612"/>
    <w:rsid w:val="3A7A251A"/>
    <w:rsid w:val="3A7A564C"/>
    <w:rsid w:val="3A7F7D0C"/>
    <w:rsid w:val="3A80531A"/>
    <w:rsid w:val="3A810904"/>
    <w:rsid w:val="3A84791C"/>
    <w:rsid w:val="3A8C1546"/>
    <w:rsid w:val="3A8C7BE0"/>
    <w:rsid w:val="3A90726E"/>
    <w:rsid w:val="3A911AEC"/>
    <w:rsid w:val="3A932F9E"/>
    <w:rsid w:val="3A937AB2"/>
    <w:rsid w:val="3A9D55B4"/>
    <w:rsid w:val="3A9F7EC9"/>
    <w:rsid w:val="3AA25D7D"/>
    <w:rsid w:val="3AA34BE2"/>
    <w:rsid w:val="3AA6107C"/>
    <w:rsid w:val="3AA86052"/>
    <w:rsid w:val="3AAA58AE"/>
    <w:rsid w:val="3AAB295E"/>
    <w:rsid w:val="3AAB3E2A"/>
    <w:rsid w:val="3AAF4A62"/>
    <w:rsid w:val="3AB81C9B"/>
    <w:rsid w:val="3ABE7514"/>
    <w:rsid w:val="3AC461EA"/>
    <w:rsid w:val="3ACE2464"/>
    <w:rsid w:val="3ACF7924"/>
    <w:rsid w:val="3AD12D19"/>
    <w:rsid w:val="3AD51E1C"/>
    <w:rsid w:val="3ADF4E9B"/>
    <w:rsid w:val="3AEC2D7B"/>
    <w:rsid w:val="3AEF2329"/>
    <w:rsid w:val="3AF108B2"/>
    <w:rsid w:val="3AF459B0"/>
    <w:rsid w:val="3AFA21FB"/>
    <w:rsid w:val="3AFB24D7"/>
    <w:rsid w:val="3AFE7724"/>
    <w:rsid w:val="3AFF0A06"/>
    <w:rsid w:val="3B0B58E4"/>
    <w:rsid w:val="3B0C3539"/>
    <w:rsid w:val="3B0D45AA"/>
    <w:rsid w:val="3B10666E"/>
    <w:rsid w:val="3B213952"/>
    <w:rsid w:val="3B214C3E"/>
    <w:rsid w:val="3B2954F1"/>
    <w:rsid w:val="3B2D0457"/>
    <w:rsid w:val="3B333E77"/>
    <w:rsid w:val="3B334B2A"/>
    <w:rsid w:val="3B3353BE"/>
    <w:rsid w:val="3B3622DB"/>
    <w:rsid w:val="3B370835"/>
    <w:rsid w:val="3B375032"/>
    <w:rsid w:val="3B444417"/>
    <w:rsid w:val="3B4714DF"/>
    <w:rsid w:val="3B4A147A"/>
    <w:rsid w:val="3B4B3DCB"/>
    <w:rsid w:val="3B507022"/>
    <w:rsid w:val="3B50721F"/>
    <w:rsid w:val="3B516E8F"/>
    <w:rsid w:val="3B544478"/>
    <w:rsid w:val="3B590848"/>
    <w:rsid w:val="3B5C1A94"/>
    <w:rsid w:val="3B622EF9"/>
    <w:rsid w:val="3B63565A"/>
    <w:rsid w:val="3B636184"/>
    <w:rsid w:val="3B650397"/>
    <w:rsid w:val="3B6561C2"/>
    <w:rsid w:val="3B663AD8"/>
    <w:rsid w:val="3B664A24"/>
    <w:rsid w:val="3B6A36C9"/>
    <w:rsid w:val="3B6C06CB"/>
    <w:rsid w:val="3B6C6881"/>
    <w:rsid w:val="3B7038A0"/>
    <w:rsid w:val="3B707D57"/>
    <w:rsid w:val="3B7827C7"/>
    <w:rsid w:val="3B785BD5"/>
    <w:rsid w:val="3B7A0B5B"/>
    <w:rsid w:val="3B7B04AF"/>
    <w:rsid w:val="3B7D5BC1"/>
    <w:rsid w:val="3B811E95"/>
    <w:rsid w:val="3B825D25"/>
    <w:rsid w:val="3B832BBC"/>
    <w:rsid w:val="3B83385A"/>
    <w:rsid w:val="3B8E2CBC"/>
    <w:rsid w:val="3B8E63E6"/>
    <w:rsid w:val="3B981116"/>
    <w:rsid w:val="3B983F9A"/>
    <w:rsid w:val="3B986E05"/>
    <w:rsid w:val="3B9B27EF"/>
    <w:rsid w:val="3B9C1743"/>
    <w:rsid w:val="3B9D1F1D"/>
    <w:rsid w:val="3BA92BF7"/>
    <w:rsid w:val="3BAC5108"/>
    <w:rsid w:val="3BAD0703"/>
    <w:rsid w:val="3BAE3B2E"/>
    <w:rsid w:val="3BAF1880"/>
    <w:rsid w:val="3BAF213B"/>
    <w:rsid w:val="3BAF48F8"/>
    <w:rsid w:val="3BAF5DEA"/>
    <w:rsid w:val="3BB62013"/>
    <w:rsid w:val="3BB64FA1"/>
    <w:rsid w:val="3BB80019"/>
    <w:rsid w:val="3BB86A46"/>
    <w:rsid w:val="3BB96DE0"/>
    <w:rsid w:val="3BBA638E"/>
    <w:rsid w:val="3BBB01F8"/>
    <w:rsid w:val="3BBC3267"/>
    <w:rsid w:val="3BC07F51"/>
    <w:rsid w:val="3BC10251"/>
    <w:rsid w:val="3BCA474D"/>
    <w:rsid w:val="3BCB4209"/>
    <w:rsid w:val="3BCB4CC6"/>
    <w:rsid w:val="3BD07C67"/>
    <w:rsid w:val="3BD12814"/>
    <w:rsid w:val="3BD32679"/>
    <w:rsid w:val="3BD74550"/>
    <w:rsid w:val="3BD82E5B"/>
    <w:rsid w:val="3BDA0A4C"/>
    <w:rsid w:val="3BDB117A"/>
    <w:rsid w:val="3BDE588A"/>
    <w:rsid w:val="3BDF3BEE"/>
    <w:rsid w:val="3BEA24E4"/>
    <w:rsid w:val="3BF060ED"/>
    <w:rsid w:val="3BF177A3"/>
    <w:rsid w:val="3BF33D62"/>
    <w:rsid w:val="3BF5619B"/>
    <w:rsid w:val="3BF8348E"/>
    <w:rsid w:val="3BF83F97"/>
    <w:rsid w:val="3BF84D41"/>
    <w:rsid w:val="3BF937E3"/>
    <w:rsid w:val="3BF97342"/>
    <w:rsid w:val="3BFA725A"/>
    <w:rsid w:val="3BFD28F6"/>
    <w:rsid w:val="3BFF54E9"/>
    <w:rsid w:val="3C046FB6"/>
    <w:rsid w:val="3C0507C8"/>
    <w:rsid w:val="3C060415"/>
    <w:rsid w:val="3C143C78"/>
    <w:rsid w:val="3C154F74"/>
    <w:rsid w:val="3C156CD9"/>
    <w:rsid w:val="3C1623C2"/>
    <w:rsid w:val="3C195B2E"/>
    <w:rsid w:val="3C1B51EF"/>
    <w:rsid w:val="3C1D1A7F"/>
    <w:rsid w:val="3C1E2F6D"/>
    <w:rsid w:val="3C23230D"/>
    <w:rsid w:val="3C287684"/>
    <w:rsid w:val="3C2879A0"/>
    <w:rsid w:val="3C2A2B58"/>
    <w:rsid w:val="3C2B71FE"/>
    <w:rsid w:val="3C2C2670"/>
    <w:rsid w:val="3C2D6900"/>
    <w:rsid w:val="3C2F1F0F"/>
    <w:rsid w:val="3C3014BC"/>
    <w:rsid w:val="3C345721"/>
    <w:rsid w:val="3C3802D5"/>
    <w:rsid w:val="3C3F10C7"/>
    <w:rsid w:val="3C404B98"/>
    <w:rsid w:val="3C46606A"/>
    <w:rsid w:val="3C476B90"/>
    <w:rsid w:val="3C50371B"/>
    <w:rsid w:val="3C506CA3"/>
    <w:rsid w:val="3C512815"/>
    <w:rsid w:val="3C5174DE"/>
    <w:rsid w:val="3C54616F"/>
    <w:rsid w:val="3C571592"/>
    <w:rsid w:val="3C57284B"/>
    <w:rsid w:val="3C5A3BC1"/>
    <w:rsid w:val="3C6130BC"/>
    <w:rsid w:val="3C62546A"/>
    <w:rsid w:val="3C6B79A7"/>
    <w:rsid w:val="3C6C4B24"/>
    <w:rsid w:val="3C6E2566"/>
    <w:rsid w:val="3C736CAB"/>
    <w:rsid w:val="3C7550E0"/>
    <w:rsid w:val="3C790E5A"/>
    <w:rsid w:val="3C797AA8"/>
    <w:rsid w:val="3C7B5E74"/>
    <w:rsid w:val="3C7F161D"/>
    <w:rsid w:val="3C864509"/>
    <w:rsid w:val="3C8674EF"/>
    <w:rsid w:val="3C881C6C"/>
    <w:rsid w:val="3C8A0F61"/>
    <w:rsid w:val="3C8A6E0E"/>
    <w:rsid w:val="3C8F3068"/>
    <w:rsid w:val="3C9029D0"/>
    <w:rsid w:val="3C932289"/>
    <w:rsid w:val="3C9436B8"/>
    <w:rsid w:val="3C946B09"/>
    <w:rsid w:val="3C9A6BA0"/>
    <w:rsid w:val="3C9C76DD"/>
    <w:rsid w:val="3C9E23A7"/>
    <w:rsid w:val="3C9E4ECA"/>
    <w:rsid w:val="3CA064E9"/>
    <w:rsid w:val="3CA257D5"/>
    <w:rsid w:val="3CA34801"/>
    <w:rsid w:val="3CA3638B"/>
    <w:rsid w:val="3CA37D69"/>
    <w:rsid w:val="3CA43349"/>
    <w:rsid w:val="3CA64C50"/>
    <w:rsid w:val="3CA92841"/>
    <w:rsid w:val="3CAA0148"/>
    <w:rsid w:val="3CAA4BDE"/>
    <w:rsid w:val="3CB7637A"/>
    <w:rsid w:val="3CBB4670"/>
    <w:rsid w:val="3CBC1048"/>
    <w:rsid w:val="3CBC6790"/>
    <w:rsid w:val="3CC024E7"/>
    <w:rsid w:val="3CC30DA7"/>
    <w:rsid w:val="3CC43335"/>
    <w:rsid w:val="3CC622E0"/>
    <w:rsid w:val="3CC872B8"/>
    <w:rsid w:val="3CC91632"/>
    <w:rsid w:val="3CC93F89"/>
    <w:rsid w:val="3CD03327"/>
    <w:rsid w:val="3CD2296C"/>
    <w:rsid w:val="3CD72724"/>
    <w:rsid w:val="3CD73D76"/>
    <w:rsid w:val="3CDC736E"/>
    <w:rsid w:val="3CDD3CC4"/>
    <w:rsid w:val="3CE059AD"/>
    <w:rsid w:val="3CE17866"/>
    <w:rsid w:val="3CE4790A"/>
    <w:rsid w:val="3CE64597"/>
    <w:rsid w:val="3CE74244"/>
    <w:rsid w:val="3CF14AB7"/>
    <w:rsid w:val="3CF35794"/>
    <w:rsid w:val="3CF36C51"/>
    <w:rsid w:val="3CFC711F"/>
    <w:rsid w:val="3CFD1F25"/>
    <w:rsid w:val="3CFD5ED1"/>
    <w:rsid w:val="3CFE2A30"/>
    <w:rsid w:val="3D0671CF"/>
    <w:rsid w:val="3D074F9C"/>
    <w:rsid w:val="3D0862C9"/>
    <w:rsid w:val="3D0A1869"/>
    <w:rsid w:val="3D0D2A63"/>
    <w:rsid w:val="3D103366"/>
    <w:rsid w:val="3D132CD7"/>
    <w:rsid w:val="3D146042"/>
    <w:rsid w:val="3D1836D9"/>
    <w:rsid w:val="3D183856"/>
    <w:rsid w:val="3D186CEA"/>
    <w:rsid w:val="3D1A5076"/>
    <w:rsid w:val="3D1D5C29"/>
    <w:rsid w:val="3D1F487D"/>
    <w:rsid w:val="3D204917"/>
    <w:rsid w:val="3D22396B"/>
    <w:rsid w:val="3D245573"/>
    <w:rsid w:val="3D2936B7"/>
    <w:rsid w:val="3D2E67C0"/>
    <w:rsid w:val="3D34209A"/>
    <w:rsid w:val="3D3568E3"/>
    <w:rsid w:val="3D3B0E1F"/>
    <w:rsid w:val="3D3B5C49"/>
    <w:rsid w:val="3D3D7D8D"/>
    <w:rsid w:val="3D3E4063"/>
    <w:rsid w:val="3D456A87"/>
    <w:rsid w:val="3D476482"/>
    <w:rsid w:val="3D4A3E96"/>
    <w:rsid w:val="3D4E3AA2"/>
    <w:rsid w:val="3D5D72BE"/>
    <w:rsid w:val="3D6A72EE"/>
    <w:rsid w:val="3D6C6C1F"/>
    <w:rsid w:val="3D6E79E1"/>
    <w:rsid w:val="3D7532E4"/>
    <w:rsid w:val="3D7A0370"/>
    <w:rsid w:val="3D7B48EE"/>
    <w:rsid w:val="3D7E21F4"/>
    <w:rsid w:val="3D7F7613"/>
    <w:rsid w:val="3D816EAC"/>
    <w:rsid w:val="3D860D2B"/>
    <w:rsid w:val="3D865FC8"/>
    <w:rsid w:val="3D8664D3"/>
    <w:rsid w:val="3D8A4036"/>
    <w:rsid w:val="3D8E5BBB"/>
    <w:rsid w:val="3D8F23A3"/>
    <w:rsid w:val="3D8F50BF"/>
    <w:rsid w:val="3D957D61"/>
    <w:rsid w:val="3D971E25"/>
    <w:rsid w:val="3D972427"/>
    <w:rsid w:val="3DA6553C"/>
    <w:rsid w:val="3DAA0392"/>
    <w:rsid w:val="3DB42580"/>
    <w:rsid w:val="3DBB54F4"/>
    <w:rsid w:val="3DBE496A"/>
    <w:rsid w:val="3DBF66BA"/>
    <w:rsid w:val="3DC22F69"/>
    <w:rsid w:val="3DC558FA"/>
    <w:rsid w:val="3DCA163A"/>
    <w:rsid w:val="3DCF5673"/>
    <w:rsid w:val="3DD0377A"/>
    <w:rsid w:val="3DD4284C"/>
    <w:rsid w:val="3DD56423"/>
    <w:rsid w:val="3DD71240"/>
    <w:rsid w:val="3DD911C9"/>
    <w:rsid w:val="3DDF3389"/>
    <w:rsid w:val="3DE05663"/>
    <w:rsid w:val="3DE1202E"/>
    <w:rsid w:val="3DE23B70"/>
    <w:rsid w:val="3DE41559"/>
    <w:rsid w:val="3DE511B7"/>
    <w:rsid w:val="3DE5576B"/>
    <w:rsid w:val="3DE96C69"/>
    <w:rsid w:val="3DEA6152"/>
    <w:rsid w:val="3DEC09F1"/>
    <w:rsid w:val="3DED6671"/>
    <w:rsid w:val="3DED6D69"/>
    <w:rsid w:val="3DEE1777"/>
    <w:rsid w:val="3DF26E75"/>
    <w:rsid w:val="3DFA394C"/>
    <w:rsid w:val="3DFC32D3"/>
    <w:rsid w:val="3DFE47DB"/>
    <w:rsid w:val="3DFF7B4B"/>
    <w:rsid w:val="3E037592"/>
    <w:rsid w:val="3E09686A"/>
    <w:rsid w:val="3E0A3767"/>
    <w:rsid w:val="3E0B62EC"/>
    <w:rsid w:val="3E0B71D4"/>
    <w:rsid w:val="3E0F3351"/>
    <w:rsid w:val="3E1149C3"/>
    <w:rsid w:val="3E1219EF"/>
    <w:rsid w:val="3E133046"/>
    <w:rsid w:val="3E194435"/>
    <w:rsid w:val="3E1A52E2"/>
    <w:rsid w:val="3E1E34E4"/>
    <w:rsid w:val="3E2A1D01"/>
    <w:rsid w:val="3E2D20AD"/>
    <w:rsid w:val="3E364781"/>
    <w:rsid w:val="3E380063"/>
    <w:rsid w:val="3E3947D5"/>
    <w:rsid w:val="3E417609"/>
    <w:rsid w:val="3E49783A"/>
    <w:rsid w:val="3E4A47C7"/>
    <w:rsid w:val="3E4D68D8"/>
    <w:rsid w:val="3E52442B"/>
    <w:rsid w:val="3E5855EC"/>
    <w:rsid w:val="3E5A5979"/>
    <w:rsid w:val="3E616FDB"/>
    <w:rsid w:val="3E633FE1"/>
    <w:rsid w:val="3E673EFD"/>
    <w:rsid w:val="3E676AC9"/>
    <w:rsid w:val="3E6A33CE"/>
    <w:rsid w:val="3E6D1635"/>
    <w:rsid w:val="3E707BCE"/>
    <w:rsid w:val="3E737A6A"/>
    <w:rsid w:val="3E74491F"/>
    <w:rsid w:val="3E7644F2"/>
    <w:rsid w:val="3E7A1C03"/>
    <w:rsid w:val="3E7A714D"/>
    <w:rsid w:val="3E7B7FE5"/>
    <w:rsid w:val="3E7E6C71"/>
    <w:rsid w:val="3E9000B1"/>
    <w:rsid w:val="3E953BAD"/>
    <w:rsid w:val="3E957C9E"/>
    <w:rsid w:val="3E96696E"/>
    <w:rsid w:val="3E9A2736"/>
    <w:rsid w:val="3E9B2CA5"/>
    <w:rsid w:val="3E9C2B11"/>
    <w:rsid w:val="3E9C6947"/>
    <w:rsid w:val="3E9E427D"/>
    <w:rsid w:val="3EA15AE2"/>
    <w:rsid w:val="3EA544EF"/>
    <w:rsid w:val="3EA568B6"/>
    <w:rsid w:val="3EA76C82"/>
    <w:rsid w:val="3EA96A25"/>
    <w:rsid w:val="3EAE61E5"/>
    <w:rsid w:val="3EAF2F28"/>
    <w:rsid w:val="3EB2542E"/>
    <w:rsid w:val="3EB573E9"/>
    <w:rsid w:val="3EB6732B"/>
    <w:rsid w:val="3EB929F7"/>
    <w:rsid w:val="3EBC144E"/>
    <w:rsid w:val="3EC07AA4"/>
    <w:rsid w:val="3EC536E4"/>
    <w:rsid w:val="3EC56BEE"/>
    <w:rsid w:val="3EC57DC1"/>
    <w:rsid w:val="3ED56272"/>
    <w:rsid w:val="3ED60511"/>
    <w:rsid w:val="3ED7430C"/>
    <w:rsid w:val="3EDA4392"/>
    <w:rsid w:val="3EDD57A7"/>
    <w:rsid w:val="3EE0736D"/>
    <w:rsid w:val="3EE158B1"/>
    <w:rsid w:val="3EE418C6"/>
    <w:rsid w:val="3EE56C85"/>
    <w:rsid w:val="3EE82AD5"/>
    <w:rsid w:val="3EEF4D9E"/>
    <w:rsid w:val="3EF05462"/>
    <w:rsid w:val="3EF2776C"/>
    <w:rsid w:val="3EF33C7B"/>
    <w:rsid w:val="3EF64940"/>
    <w:rsid w:val="3EF87BBC"/>
    <w:rsid w:val="3F013185"/>
    <w:rsid w:val="3F021978"/>
    <w:rsid w:val="3F031A6B"/>
    <w:rsid w:val="3F031C65"/>
    <w:rsid w:val="3F034D4F"/>
    <w:rsid w:val="3F070188"/>
    <w:rsid w:val="3F077377"/>
    <w:rsid w:val="3F0E3281"/>
    <w:rsid w:val="3F125291"/>
    <w:rsid w:val="3F126D02"/>
    <w:rsid w:val="3F166864"/>
    <w:rsid w:val="3F1A22ED"/>
    <w:rsid w:val="3F1B05E7"/>
    <w:rsid w:val="3F1B711A"/>
    <w:rsid w:val="3F1D5535"/>
    <w:rsid w:val="3F215F6C"/>
    <w:rsid w:val="3F262507"/>
    <w:rsid w:val="3F2715BD"/>
    <w:rsid w:val="3F311E28"/>
    <w:rsid w:val="3F3221D1"/>
    <w:rsid w:val="3F351507"/>
    <w:rsid w:val="3F376693"/>
    <w:rsid w:val="3F3B3559"/>
    <w:rsid w:val="3F3F1CA6"/>
    <w:rsid w:val="3F411230"/>
    <w:rsid w:val="3F411941"/>
    <w:rsid w:val="3F44399B"/>
    <w:rsid w:val="3F487D5E"/>
    <w:rsid w:val="3F4905C3"/>
    <w:rsid w:val="3F4A55D1"/>
    <w:rsid w:val="3F4A6E10"/>
    <w:rsid w:val="3F4C0F61"/>
    <w:rsid w:val="3F527CB8"/>
    <w:rsid w:val="3F530DA8"/>
    <w:rsid w:val="3F570601"/>
    <w:rsid w:val="3F593F7A"/>
    <w:rsid w:val="3F5F6DC9"/>
    <w:rsid w:val="3F60183B"/>
    <w:rsid w:val="3F606709"/>
    <w:rsid w:val="3F611BBB"/>
    <w:rsid w:val="3F641F38"/>
    <w:rsid w:val="3F6562AC"/>
    <w:rsid w:val="3F6660B2"/>
    <w:rsid w:val="3F6850FB"/>
    <w:rsid w:val="3F693ADD"/>
    <w:rsid w:val="3F6954EF"/>
    <w:rsid w:val="3F6A0A59"/>
    <w:rsid w:val="3F6C072D"/>
    <w:rsid w:val="3F6C107F"/>
    <w:rsid w:val="3F6E1392"/>
    <w:rsid w:val="3F6E3902"/>
    <w:rsid w:val="3F6F0284"/>
    <w:rsid w:val="3F707D02"/>
    <w:rsid w:val="3F7227AB"/>
    <w:rsid w:val="3F7413A5"/>
    <w:rsid w:val="3F753B05"/>
    <w:rsid w:val="3F7B6D92"/>
    <w:rsid w:val="3F7D6392"/>
    <w:rsid w:val="3F830CD8"/>
    <w:rsid w:val="3F8C0C32"/>
    <w:rsid w:val="3F931747"/>
    <w:rsid w:val="3F947885"/>
    <w:rsid w:val="3F9704F9"/>
    <w:rsid w:val="3F971C49"/>
    <w:rsid w:val="3F9B379D"/>
    <w:rsid w:val="3F9B5ECC"/>
    <w:rsid w:val="3FA01B43"/>
    <w:rsid w:val="3FA02766"/>
    <w:rsid w:val="3FA0664B"/>
    <w:rsid w:val="3FA277CB"/>
    <w:rsid w:val="3FA32D9F"/>
    <w:rsid w:val="3FA376FF"/>
    <w:rsid w:val="3FA52481"/>
    <w:rsid w:val="3FA71787"/>
    <w:rsid w:val="3FA859F8"/>
    <w:rsid w:val="3FAA43A7"/>
    <w:rsid w:val="3FAC3E10"/>
    <w:rsid w:val="3FAF2A0A"/>
    <w:rsid w:val="3FAF3DE8"/>
    <w:rsid w:val="3FB744ED"/>
    <w:rsid w:val="3FB7717B"/>
    <w:rsid w:val="3FBC4E24"/>
    <w:rsid w:val="3FC20C7D"/>
    <w:rsid w:val="3FC44E37"/>
    <w:rsid w:val="3FC60DE9"/>
    <w:rsid w:val="3FC733EC"/>
    <w:rsid w:val="3FCA06DB"/>
    <w:rsid w:val="3FCC64F2"/>
    <w:rsid w:val="3FCD5B2D"/>
    <w:rsid w:val="3FCF3903"/>
    <w:rsid w:val="3FD05963"/>
    <w:rsid w:val="3FD123DF"/>
    <w:rsid w:val="3FD34D51"/>
    <w:rsid w:val="3FD4594A"/>
    <w:rsid w:val="3FD57AD7"/>
    <w:rsid w:val="3FD62557"/>
    <w:rsid w:val="3FD92CF6"/>
    <w:rsid w:val="3FDC50C7"/>
    <w:rsid w:val="3FDF6B19"/>
    <w:rsid w:val="3FE00E00"/>
    <w:rsid w:val="3FE176CE"/>
    <w:rsid w:val="3FE720B5"/>
    <w:rsid w:val="3FEB2B93"/>
    <w:rsid w:val="3FEB2B98"/>
    <w:rsid w:val="3FED4215"/>
    <w:rsid w:val="3FEF398B"/>
    <w:rsid w:val="3FF007CF"/>
    <w:rsid w:val="3FF211E2"/>
    <w:rsid w:val="3FF66FD9"/>
    <w:rsid w:val="3FF84BE6"/>
    <w:rsid w:val="3FFA0EF2"/>
    <w:rsid w:val="3FFC7B4D"/>
    <w:rsid w:val="3FFE72ED"/>
    <w:rsid w:val="400031B8"/>
    <w:rsid w:val="40007920"/>
    <w:rsid w:val="40024CC7"/>
    <w:rsid w:val="400534CD"/>
    <w:rsid w:val="40075E09"/>
    <w:rsid w:val="400B4DC3"/>
    <w:rsid w:val="400C0D10"/>
    <w:rsid w:val="400D65D0"/>
    <w:rsid w:val="400F4CD8"/>
    <w:rsid w:val="40114CC5"/>
    <w:rsid w:val="40134BF7"/>
    <w:rsid w:val="40163E5F"/>
    <w:rsid w:val="401B11D1"/>
    <w:rsid w:val="401B1D6F"/>
    <w:rsid w:val="401E53B5"/>
    <w:rsid w:val="401F6C85"/>
    <w:rsid w:val="402373D8"/>
    <w:rsid w:val="402515EF"/>
    <w:rsid w:val="402722C2"/>
    <w:rsid w:val="40295C59"/>
    <w:rsid w:val="402D285C"/>
    <w:rsid w:val="4030367B"/>
    <w:rsid w:val="40307B17"/>
    <w:rsid w:val="40390186"/>
    <w:rsid w:val="403D2DD2"/>
    <w:rsid w:val="403E6719"/>
    <w:rsid w:val="40400A8A"/>
    <w:rsid w:val="40406964"/>
    <w:rsid w:val="404249B0"/>
    <w:rsid w:val="40437D1A"/>
    <w:rsid w:val="404774EE"/>
    <w:rsid w:val="40485B6B"/>
    <w:rsid w:val="404A55B3"/>
    <w:rsid w:val="404D0D5A"/>
    <w:rsid w:val="404E6603"/>
    <w:rsid w:val="404F08D8"/>
    <w:rsid w:val="405226D9"/>
    <w:rsid w:val="405303B5"/>
    <w:rsid w:val="40564601"/>
    <w:rsid w:val="405709F6"/>
    <w:rsid w:val="406158FD"/>
    <w:rsid w:val="40627DCE"/>
    <w:rsid w:val="4063530B"/>
    <w:rsid w:val="40642EF7"/>
    <w:rsid w:val="406F4BFF"/>
    <w:rsid w:val="40766097"/>
    <w:rsid w:val="40773E17"/>
    <w:rsid w:val="407830EF"/>
    <w:rsid w:val="407A1040"/>
    <w:rsid w:val="407B3410"/>
    <w:rsid w:val="407C2452"/>
    <w:rsid w:val="40817361"/>
    <w:rsid w:val="408666B6"/>
    <w:rsid w:val="40872966"/>
    <w:rsid w:val="40893DB2"/>
    <w:rsid w:val="408A28BD"/>
    <w:rsid w:val="408C59EC"/>
    <w:rsid w:val="40917ECB"/>
    <w:rsid w:val="40926781"/>
    <w:rsid w:val="40975FD7"/>
    <w:rsid w:val="409937DB"/>
    <w:rsid w:val="409B3D12"/>
    <w:rsid w:val="409C63F5"/>
    <w:rsid w:val="409D4696"/>
    <w:rsid w:val="40A0275E"/>
    <w:rsid w:val="40A105B3"/>
    <w:rsid w:val="40A5091F"/>
    <w:rsid w:val="40AB4644"/>
    <w:rsid w:val="40AF1421"/>
    <w:rsid w:val="40B94400"/>
    <w:rsid w:val="40BF2687"/>
    <w:rsid w:val="40C010D4"/>
    <w:rsid w:val="40C01867"/>
    <w:rsid w:val="40C06499"/>
    <w:rsid w:val="40C330A5"/>
    <w:rsid w:val="40C33B18"/>
    <w:rsid w:val="40C3487C"/>
    <w:rsid w:val="40CA38AC"/>
    <w:rsid w:val="40CB37D0"/>
    <w:rsid w:val="40CB7D7F"/>
    <w:rsid w:val="40CD0FFF"/>
    <w:rsid w:val="40CD2365"/>
    <w:rsid w:val="40CD5D35"/>
    <w:rsid w:val="40D0464B"/>
    <w:rsid w:val="40D8687F"/>
    <w:rsid w:val="40DA559A"/>
    <w:rsid w:val="40DB76BB"/>
    <w:rsid w:val="40E26A50"/>
    <w:rsid w:val="40E67F86"/>
    <w:rsid w:val="40E76725"/>
    <w:rsid w:val="40E93958"/>
    <w:rsid w:val="40EA5910"/>
    <w:rsid w:val="40EB7597"/>
    <w:rsid w:val="40F05104"/>
    <w:rsid w:val="40F05E8C"/>
    <w:rsid w:val="40F32E72"/>
    <w:rsid w:val="40F355DE"/>
    <w:rsid w:val="40FA28F0"/>
    <w:rsid w:val="40FD14ED"/>
    <w:rsid w:val="40FE7C0A"/>
    <w:rsid w:val="4101227F"/>
    <w:rsid w:val="41051D1B"/>
    <w:rsid w:val="41064D3E"/>
    <w:rsid w:val="41083884"/>
    <w:rsid w:val="41095809"/>
    <w:rsid w:val="410C72D7"/>
    <w:rsid w:val="410E3D88"/>
    <w:rsid w:val="41120F2D"/>
    <w:rsid w:val="411276F4"/>
    <w:rsid w:val="4116701F"/>
    <w:rsid w:val="411A61A6"/>
    <w:rsid w:val="411A6AF4"/>
    <w:rsid w:val="411B1EF7"/>
    <w:rsid w:val="411C7AFF"/>
    <w:rsid w:val="411D622B"/>
    <w:rsid w:val="411F1B23"/>
    <w:rsid w:val="41206E6A"/>
    <w:rsid w:val="41274A50"/>
    <w:rsid w:val="41281F63"/>
    <w:rsid w:val="412A0829"/>
    <w:rsid w:val="412C0F2C"/>
    <w:rsid w:val="412F4AC3"/>
    <w:rsid w:val="41354291"/>
    <w:rsid w:val="413857A3"/>
    <w:rsid w:val="413B439C"/>
    <w:rsid w:val="41421FE7"/>
    <w:rsid w:val="41465AF9"/>
    <w:rsid w:val="41485E78"/>
    <w:rsid w:val="414866AD"/>
    <w:rsid w:val="414A2085"/>
    <w:rsid w:val="414A250C"/>
    <w:rsid w:val="414D49B7"/>
    <w:rsid w:val="41507712"/>
    <w:rsid w:val="41550AEA"/>
    <w:rsid w:val="41565289"/>
    <w:rsid w:val="415766E6"/>
    <w:rsid w:val="415A1BDF"/>
    <w:rsid w:val="415A7745"/>
    <w:rsid w:val="415C3909"/>
    <w:rsid w:val="4162256F"/>
    <w:rsid w:val="41685780"/>
    <w:rsid w:val="416B0D06"/>
    <w:rsid w:val="416D1769"/>
    <w:rsid w:val="416E2706"/>
    <w:rsid w:val="416E3A6C"/>
    <w:rsid w:val="416E5014"/>
    <w:rsid w:val="41703710"/>
    <w:rsid w:val="4172284F"/>
    <w:rsid w:val="41730F6E"/>
    <w:rsid w:val="41783B85"/>
    <w:rsid w:val="417B35AA"/>
    <w:rsid w:val="417C58E6"/>
    <w:rsid w:val="417E31B0"/>
    <w:rsid w:val="417F463A"/>
    <w:rsid w:val="41805204"/>
    <w:rsid w:val="418203AC"/>
    <w:rsid w:val="41874EDA"/>
    <w:rsid w:val="418B7DF7"/>
    <w:rsid w:val="418D729E"/>
    <w:rsid w:val="418F42DD"/>
    <w:rsid w:val="4190599C"/>
    <w:rsid w:val="41915FA2"/>
    <w:rsid w:val="41924049"/>
    <w:rsid w:val="419407E4"/>
    <w:rsid w:val="41964993"/>
    <w:rsid w:val="41976B73"/>
    <w:rsid w:val="419E3E39"/>
    <w:rsid w:val="41A051E8"/>
    <w:rsid w:val="41A137C0"/>
    <w:rsid w:val="41A1425E"/>
    <w:rsid w:val="41A2749C"/>
    <w:rsid w:val="41A336CD"/>
    <w:rsid w:val="41A41598"/>
    <w:rsid w:val="41A518CC"/>
    <w:rsid w:val="41AB3DD9"/>
    <w:rsid w:val="41B10A00"/>
    <w:rsid w:val="41B1197F"/>
    <w:rsid w:val="41B17EE4"/>
    <w:rsid w:val="41B64ADA"/>
    <w:rsid w:val="41B81D0D"/>
    <w:rsid w:val="41B83C42"/>
    <w:rsid w:val="41B9789A"/>
    <w:rsid w:val="41BE4F8C"/>
    <w:rsid w:val="41C66AFE"/>
    <w:rsid w:val="41C818BB"/>
    <w:rsid w:val="41C974FB"/>
    <w:rsid w:val="41C97ABB"/>
    <w:rsid w:val="41CA3E1B"/>
    <w:rsid w:val="41CC511E"/>
    <w:rsid w:val="41CD1070"/>
    <w:rsid w:val="41CF1BD7"/>
    <w:rsid w:val="41D11BEB"/>
    <w:rsid w:val="41D366B4"/>
    <w:rsid w:val="41D66621"/>
    <w:rsid w:val="41D6675B"/>
    <w:rsid w:val="41D74AC8"/>
    <w:rsid w:val="41DA1FCF"/>
    <w:rsid w:val="41DA6853"/>
    <w:rsid w:val="41DB4629"/>
    <w:rsid w:val="41E23F4D"/>
    <w:rsid w:val="41E46D20"/>
    <w:rsid w:val="41E60A5A"/>
    <w:rsid w:val="41E73223"/>
    <w:rsid w:val="41EA78A8"/>
    <w:rsid w:val="41ED39C1"/>
    <w:rsid w:val="41F10930"/>
    <w:rsid w:val="41F16BF8"/>
    <w:rsid w:val="41F2798B"/>
    <w:rsid w:val="41F34F79"/>
    <w:rsid w:val="41F45B6A"/>
    <w:rsid w:val="41F52951"/>
    <w:rsid w:val="41F67012"/>
    <w:rsid w:val="41F80959"/>
    <w:rsid w:val="41F834BC"/>
    <w:rsid w:val="41F85094"/>
    <w:rsid w:val="41F95B86"/>
    <w:rsid w:val="41FC1AC7"/>
    <w:rsid w:val="41FD28A0"/>
    <w:rsid w:val="42021C61"/>
    <w:rsid w:val="42061DBD"/>
    <w:rsid w:val="42093067"/>
    <w:rsid w:val="420D3BD7"/>
    <w:rsid w:val="421324D7"/>
    <w:rsid w:val="42140774"/>
    <w:rsid w:val="421475EF"/>
    <w:rsid w:val="42164E1B"/>
    <w:rsid w:val="421B4E31"/>
    <w:rsid w:val="421B64AD"/>
    <w:rsid w:val="421D091A"/>
    <w:rsid w:val="42232CE7"/>
    <w:rsid w:val="422429D7"/>
    <w:rsid w:val="422459D2"/>
    <w:rsid w:val="42250117"/>
    <w:rsid w:val="422626B7"/>
    <w:rsid w:val="422F1CA2"/>
    <w:rsid w:val="4232034B"/>
    <w:rsid w:val="42381880"/>
    <w:rsid w:val="423A3CCA"/>
    <w:rsid w:val="423D4935"/>
    <w:rsid w:val="424121F2"/>
    <w:rsid w:val="424E4FE4"/>
    <w:rsid w:val="4253535C"/>
    <w:rsid w:val="42543C78"/>
    <w:rsid w:val="42560A1F"/>
    <w:rsid w:val="42560E5C"/>
    <w:rsid w:val="425965C8"/>
    <w:rsid w:val="425B32F7"/>
    <w:rsid w:val="425C0EE0"/>
    <w:rsid w:val="425E7C4B"/>
    <w:rsid w:val="426109BA"/>
    <w:rsid w:val="426408F2"/>
    <w:rsid w:val="42657A1F"/>
    <w:rsid w:val="4269377A"/>
    <w:rsid w:val="426A2064"/>
    <w:rsid w:val="426B5675"/>
    <w:rsid w:val="426E6D60"/>
    <w:rsid w:val="42770ECE"/>
    <w:rsid w:val="42791AE7"/>
    <w:rsid w:val="427D46B5"/>
    <w:rsid w:val="427F6BA8"/>
    <w:rsid w:val="42826059"/>
    <w:rsid w:val="42892585"/>
    <w:rsid w:val="4289284F"/>
    <w:rsid w:val="428B391E"/>
    <w:rsid w:val="428D17E1"/>
    <w:rsid w:val="4291164C"/>
    <w:rsid w:val="42934853"/>
    <w:rsid w:val="42941DD9"/>
    <w:rsid w:val="429548AD"/>
    <w:rsid w:val="42957960"/>
    <w:rsid w:val="42986666"/>
    <w:rsid w:val="4299406B"/>
    <w:rsid w:val="429B136C"/>
    <w:rsid w:val="429B4A42"/>
    <w:rsid w:val="429D6E9D"/>
    <w:rsid w:val="429E5322"/>
    <w:rsid w:val="429F2959"/>
    <w:rsid w:val="42A45D84"/>
    <w:rsid w:val="42A64200"/>
    <w:rsid w:val="42A90560"/>
    <w:rsid w:val="42A93623"/>
    <w:rsid w:val="42AA7920"/>
    <w:rsid w:val="42AD27B4"/>
    <w:rsid w:val="42B3333E"/>
    <w:rsid w:val="42B40ECC"/>
    <w:rsid w:val="42B60921"/>
    <w:rsid w:val="42B82168"/>
    <w:rsid w:val="42BA1699"/>
    <w:rsid w:val="42BD747A"/>
    <w:rsid w:val="42BE77B1"/>
    <w:rsid w:val="42C12C7D"/>
    <w:rsid w:val="42C24AC7"/>
    <w:rsid w:val="42C2695F"/>
    <w:rsid w:val="42C5468D"/>
    <w:rsid w:val="42C54F2F"/>
    <w:rsid w:val="42C72F0C"/>
    <w:rsid w:val="42C83189"/>
    <w:rsid w:val="42C969A3"/>
    <w:rsid w:val="42CE15BE"/>
    <w:rsid w:val="42CF433D"/>
    <w:rsid w:val="42CF56A3"/>
    <w:rsid w:val="42D070DD"/>
    <w:rsid w:val="42D23292"/>
    <w:rsid w:val="42D31350"/>
    <w:rsid w:val="42D54FCD"/>
    <w:rsid w:val="42DB2C07"/>
    <w:rsid w:val="42DB5839"/>
    <w:rsid w:val="42E06D55"/>
    <w:rsid w:val="42E454B2"/>
    <w:rsid w:val="42E54BBC"/>
    <w:rsid w:val="42E70D92"/>
    <w:rsid w:val="42E9682B"/>
    <w:rsid w:val="42EA5DE7"/>
    <w:rsid w:val="42ED7BDF"/>
    <w:rsid w:val="42F71019"/>
    <w:rsid w:val="42F82B7A"/>
    <w:rsid w:val="42FE6522"/>
    <w:rsid w:val="43044A65"/>
    <w:rsid w:val="4307520D"/>
    <w:rsid w:val="43075EDB"/>
    <w:rsid w:val="43096A76"/>
    <w:rsid w:val="430E5764"/>
    <w:rsid w:val="430E74DD"/>
    <w:rsid w:val="431001F6"/>
    <w:rsid w:val="4311446D"/>
    <w:rsid w:val="4313050A"/>
    <w:rsid w:val="431531F6"/>
    <w:rsid w:val="4315452B"/>
    <w:rsid w:val="431967B0"/>
    <w:rsid w:val="431C0345"/>
    <w:rsid w:val="431C7262"/>
    <w:rsid w:val="431D02BE"/>
    <w:rsid w:val="431E4C1D"/>
    <w:rsid w:val="43237033"/>
    <w:rsid w:val="43247142"/>
    <w:rsid w:val="4326701A"/>
    <w:rsid w:val="43273174"/>
    <w:rsid w:val="432965EA"/>
    <w:rsid w:val="43314B65"/>
    <w:rsid w:val="43317B7E"/>
    <w:rsid w:val="433450FC"/>
    <w:rsid w:val="433604ED"/>
    <w:rsid w:val="4336412A"/>
    <w:rsid w:val="433819F5"/>
    <w:rsid w:val="43381B39"/>
    <w:rsid w:val="433D4E18"/>
    <w:rsid w:val="43412C08"/>
    <w:rsid w:val="4341649E"/>
    <w:rsid w:val="43421168"/>
    <w:rsid w:val="43463C63"/>
    <w:rsid w:val="43490694"/>
    <w:rsid w:val="434C5D02"/>
    <w:rsid w:val="434E384B"/>
    <w:rsid w:val="4354566C"/>
    <w:rsid w:val="43585077"/>
    <w:rsid w:val="435939D8"/>
    <w:rsid w:val="4359774D"/>
    <w:rsid w:val="435A205E"/>
    <w:rsid w:val="435B5379"/>
    <w:rsid w:val="435B5C86"/>
    <w:rsid w:val="435F1C78"/>
    <w:rsid w:val="43611A0C"/>
    <w:rsid w:val="436B3674"/>
    <w:rsid w:val="43766510"/>
    <w:rsid w:val="43782178"/>
    <w:rsid w:val="437A099E"/>
    <w:rsid w:val="437E4C63"/>
    <w:rsid w:val="437F2372"/>
    <w:rsid w:val="437F587B"/>
    <w:rsid w:val="43887CF8"/>
    <w:rsid w:val="438C1AB8"/>
    <w:rsid w:val="438F6BA1"/>
    <w:rsid w:val="43906437"/>
    <w:rsid w:val="439171D6"/>
    <w:rsid w:val="439311E6"/>
    <w:rsid w:val="43934714"/>
    <w:rsid w:val="439B7D3D"/>
    <w:rsid w:val="439E703E"/>
    <w:rsid w:val="43A02C53"/>
    <w:rsid w:val="43A0556C"/>
    <w:rsid w:val="43A27C7D"/>
    <w:rsid w:val="43A4442B"/>
    <w:rsid w:val="43A87F9F"/>
    <w:rsid w:val="43AA3434"/>
    <w:rsid w:val="43AC7C9D"/>
    <w:rsid w:val="43B563BC"/>
    <w:rsid w:val="43B85262"/>
    <w:rsid w:val="43BE6EE8"/>
    <w:rsid w:val="43C25CFD"/>
    <w:rsid w:val="43C33813"/>
    <w:rsid w:val="43C87664"/>
    <w:rsid w:val="43CA69B7"/>
    <w:rsid w:val="43CB38C0"/>
    <w:rsid w:val="43CC1F78"/>
    <w:rsid w:val="43D15686"/>
    <w:rsid w:val="43D4151C"/>
    <w:rsid w:val="43D86165"/>
    <w:rsid w:val="43DB469E"/>
    <w:rsid w:val="43DB7C91"/>
    <w:rsid w:val="43DE14F4"/>
    <w:rsid w:val="43E21D68"/>
    <w:rsid w:val="43E32E46"/>
    <w:rsid w:val="43E36230"/>
    <w:rsid w:val="43E619AD"/>
    <w:rsid w:val="43E95221"/>
    <w:rsid w:val="43EA35DD"/>
    <w:rsid w:val="43ED2879"/>
    <w:rsid w:val="43F158CE"/>
    <w:rsid w:val="43F175EB"/>
    <w:rsid w:val="43F24857"/>
    <w:rsid w:val="43F52CE0"/>
    <w:rsid w:val="43FA4669"/>
    <w:rsid w:val="43FB0708"/>
    <w:rsid w:val="43FD1E6A"/>
    <w:rsid w:val="44002B98"/>
    <w:rsid w:val="44007E79"/>
    <w:rsid w:val="44035515"/>
    <w:rsid w:val="44064B07"/>
    <w:rsid w:val="4408307F"/>
    <w:rsid w:val="440E2340"/>
    <w:rsid w:val="441706C7"/>
    <w:rsid w:val="441920AC"/>
    <w:rsid w:val="44250050"/>
    <w:rsid w:val="4427184B"/>
    <w:rsid w:val="44271F46"/>
    <w:rsid w:val="44300AFD"/>
    <w:rsid w:val="443546F6"/>
    <w:rsid w:val="443664AD"/>
    <w:rsid w:val="44383BC1"/>
    <w:rsid w:val="443A077E"/>
    <w:rsid w:val="443B046E"/>
    <w:rsid w:val="443B5834"/>
    <w:rsid w:val="443B7304"/>
    <w:rsid w:val="443B750F"/>
    <w:rsid w:val="443F108D"/>
    <w:rsid w:val="443F2EAA"/>
    <w:rsid w:val="44435FA0"/>
    <w:rsid w:val="4445488C"/>
    <w:rsid w:val="44485831"/>
    <w:rsid w:val="444D3E9D"/>
    <w:rsid w:val="444E6D55"/>
    <w:rsid w:val="444F6E4F"/>
    <w:rsid w:val="4452001A"/>
    <w:rsid w:val="4452407E"/>
    <w:rsid w:val="445355A9"/>
    <w:rsid w:val="44555269"/>
    <w:rsid w:val="445563F0"/>
    <w:rsid w:val="445B7D6C"/>
    <w:rsid w:val="445E41F3"/>
    <w:rsid w:val="445F6C8B"/>
    <w:rsid w:val="44603292"/>
    <w:rsid w:val="44605D8D"/>
    <w:rsid w:val="446213E9"/>
    <w:rsid w:val="44643C8A"/>
    <w:rsid w:val="44644A07"/>
    <w:rsid w:val="44662558"/>
    <w:rsid w:val="44681D06"/>
    <w:rsid w:val="44690443"/>
    <w:rsid w:val="4469645F"/>
    <w:rsid w:val="44696C71"/>
    <w:rsid w:val="447354EF"/>
    <w:rsid w:val="447414F0"/>
    <w:rsid w:val="447513FC"/>
    <w:rsid w:val="44770433"/>
    <w:rsid w:val="4478088A"/>
    <w:rsid w:val="447978CE"/>
    <w:rsid w:val="447B60A7"/>
    <w:rsid w:val="447D7E14"/>
    <w:rsid w:val="447E3BBA"/>
    <w:rsid w:val="447E4632"/>
    <w:rsid w:val="447E6114"/>
    <w:rsid w:val="44804CA1"/>
    <w:rsid w:val="4484626A"/>
    <w:rsid w:val="44861552"/>
    <w:rsid w:val="448726EB"/>
    <w:rsid w:val="448914B5"/>
    <w:rsid w:val="448D7A7F"/>
    <w:rsid w:val="44950070"/>
    <w:rsid w:val="44980D95"/>
    <w:rsid w:val="449B3B85"/>
    <w:rsid w:val="449D7EB3"/>
    <w:rsid w:val="449F1CA1"/>
    <w:rsid w:val="44A5041C"/>
    <w:rsid w:val="44AB0060"/>
    <w:rsid w:val="44B069ED"/>
    <w:rsid w:val="44B07CBE"/>
    <w:rsid w:val="44B1252C"/>
    <w:rsid w:val="44B149D0"/>
    <w:rsid w:val="44B1702B"/>
    <w:rsid w:val="44B53418"/>
    <w:rsid w:val="44B55045"/>
    <w:rsid w:val="44B72961"/>
    <w:rsid w:val="44BB4431"/>
    <w:rsid w:val="44BC59A5"/>
    <w:rsid w:val="44BD7081"/>
    <w:rsid w:val="44C02154"/>
    <w:rsid w:val="44C15AF4"/>
    <w:rsid w:val="44C7645E"/>
    <w:rsid w:val="44CB51CF"/>
    <w:rsid w:val="44D0693C"/>
    <w:rsid w:val="44D521A2"/>
    <w:rsid w:val="44DD68B7"/>
    <w:rsid w:val="44DE5809"/>
    <w:rsid w:val="44E23B65"/>
    <w:rsid w:val="44E44062"/>
    <w:rsid w:val="44E61F58"/>
    <w:rsid w:val="44EC1B34"/>
    <w:rsid w:val="44F0644A"/>
    <w:rsid w:val="44F158F4"/>
    <w:rsid w:val="44F5266F"/>
    <w:rsid w:val="44F96CE7"/>
    <w:rsid w:val="44FC1F1D"/>
    <w:rsid w:val="44FE3270"/>
    <w:rsid w:val="44FE55C4"/>
    <w:rsid w:val="45063E34"/>
    <w:rsid w:val="45065DC7"/>
    <w:rsid w:val="45076AD1"/>
    <w:rsid w:val="45080CC8"/>
    <w:rsid w:val="450A3113"/>
    <w:rsid w:val="450D199F"/>
    <w:rsid w:val="450F5C40"/>
    <w:rsid w:val="45104AD8"/>
    <w:rsid w:val="45111020"/>
    <w:rsid w:val="451601CE"/>
    <w:rsid w:val="451753AB"/>
    <w:rsid w:val="45190105"/>
    <w:rsid w:val="451C7C32"/>
    <w:rsid w:val="4520559C"/>
    <w:rsid w:val="4522653B"/>
    <w:rsid w:val="4523491A"/>
    <w:rsid w:val="45242D44"/>
    <w:rsid w:val="452440C1"/>
    <w:rsid w:val="45266C54"/>
    <w:rsid w:val="452715BB"/>
    <w:rsid w:val="45301B79"/>
    <w:rsid w:val="45376D19"/>
    <w:rsid w:val="453D382F"/>
    <w:rsid w:val="454023E2"/>
    <w:rsid w:val="4540598B"/>
    <w:rsid w:val="45407B59"/>
    <w:rsid w:val="45415AAB"/>
    <w:rsid w:val="45460B2B"/>
    <w:rsid w:val="45466FFF"/>
    <w:rsid w:val="454C4273"/>
    <w:rsid w:val="454E4E8B"/>
    <w:rsid w:val="45513FDB"/>
    <w:rsid w:val="455558E6"/>
    <w:rsid w:val="45575E1F"/>
    <w:rsid w:val="455D4580"/>
    <w:rsid w:val="455E7D5C"/>
    <w:rsid w:val="456069D6"/>
    <w:rsid w:val="45616878"/>
    <w:rsid w:val="45663E44"/>
    <w:rsid w:val="45693537"/>
    <w:rsid w:val="456A7D12"/>
    <w:rsid w:val="45725A9C"/>
    <w:rsid w:val="457A3518"/>
    <w:rsid w:val="457E49F4"/>
    <w:rsid w:val="458576BE"/>
    <w:rsid w:val="458623A3"/>
    <w:rsid w:val="45870BAE"/>
    <w:rsid w:val="45875493"/>
    <w:rsid w:val="45890C63"/>
    <w:rsid w:val="458C55AD"/>
    <w:rsid w:val="458F4BBF"/>
    <w:rsid w:val="45953C5F"/>
    <w:rsid w:val="459C0631"/>
    <w:rsid w:val="459C1BBC"/>
    <w:rsid w:val="459C4A3E"/>
    <w:rsid w:val="459D700D"/>
    <w:rsid w:val="45A1486C"/>
    <w:rsid w:val="45A3040A"/>
    <w:rsid w:val="45A308B5"/>
    <w:rsid w:val="45A66B2D"/>
    <w:rsid w:val="45A674D4"/>
    <w:rsid w:val="45A85586"/>
    <w:rsid w:val="45AB4DF2"/>
    <w:rsid w:val="45AC4BAB"/>
    <w:rsid w:val="45AD15B4"/>
    <w:rsid w:val="45AE23C2"/>
    <w:rsid w:val="45AF4B4F"/>
    <w:rsid w:val="45B104A2"/>
    <w:rsid w:val="45B31609"/>
    <w:rsid w:val="45B8730F"/>
    <w:rsid w:val="45BB5D30"/>
    <w:rsid w:val="45BC0E3C"/>
    <w:rsid w:val="45BE607D"/>
    <w:rsid w:val="45C253C9"/>
    <w:rsid w:val="45C25788"/>
    <w:rsid w:val="45C3010F"/>
    <w:rsid w:val="45C4714B"/>
    <w:rsid w:val="45C6212A"/>
    <w:rsid w:val="45CB5F2F"/>
    <w:rsid w:val="45CD4392"/>
    <w:rsid w:val="45CE7FCF"/>
    <w:rsid w:val="45D54C36"/>
    <w:rsid w:val="45D565BC"/>
    <w:rsid w:val="45DA6665"/>
    <w:rsid w:val="45E1732C"/>
    <w:rsid w:val="45E210CD"/>
    <w:rsid w:val="45E26C08"/>
    <w:rsid w:val="45E5333A"/>
    <w:rsid w:val="45E875CC"/>
    <w:rsid w:val="45E942DA"/>
    <w:rsid w:val="45E9668D"/>
    <w:rsid w:val="45EA0636"/>
    <w:rsid w:val="45EA18F8"/>
    <w:rsid w:val="45EB151D"/>
    <w:rsid w:val="45EB5814"/>
    <w:rsid w:val="45EC2DA4"/>
    <w:rsid w:val="45EF7C56"/>
    <w:rsid w:val="45F67BF6"/>
    <w:rsid w:val="45F873AD"/>
    <w:rsid w:val="45FC2FD0"/>
    <w:rsid w:val="4607739A"/>
    <w:rsid w:val="46083B2B"/>
    <w:rsid w:val="460E3AFF"/>
    <w:rsid w:val="46107216"/>
    <w:rsid w:val="46130886"/>
    <w:rsid w:val="46137287"/>
    <w:rsid w:val="461910CF"/>
    <w:rsid w:val="462023A0"/>
    <w:rsid w:val="4621269B"/>
    <w:rsid w:val="46217357"/>
    <w:rsid w:val="46255E67"/>
    <w:rsid w:val="462A54AB"/>
    <w:rsid w:val="462D70D9"/>
    <w:rsid w:val="462E448F"/>
    <w:rsid w:val="46311C99"/>
    <w:rsid w:val="463253B5"/>
    <w:rsid w:val="46375164"/>
    <w:rsid w:val="4638433B"/>
    <w:rsid w:val="463D2F94"/>
    <w:rsid w:val="46424F3E"/>
    <w:rsid w:val="46453D93"/>
    <w:rsid w:val="46475B2E"/>
    <w:rsid w:val="464936F7"/>
    <w:rsid w:val="464F282E"/>
    <w:rsid w:val="46531536"/>
    <w:rsid w:val="46552E25"/>
    <w:rsid w:val="46577935"/>
    <w:rsid w:val="465A22EE"/>
    <w:rsid w:val="465E024C"/>
    <w:rsid w:val="465F0524"/>
    <w:rsid w:val="4663235F"/>
    <w:rsid w:val="4663525F"/>
    <w:rsid w:val="46652E5C"/>
    <w:rsid w:val="466A2B53"/>
    <w:rsid w:val="466B6F84"/>
    <w:rsid w:val="467016E7"/>
    <w:rsid w:val="46723212"/>
    <w:rsid w:val="4672340D"/>
    <w:rsid w:val="46743693"/>
    <w:rsid w:val="467B3D2C"/>
    <w:rsid w:val="467F31BD"/>
    <w:rsid w:val="468146E7"/>
    <w:rsid w:val="46853A26"/>
    <w:rsid w:val="46887051"/>
    <w:rsid w:val="46891B95"/>
    <w:rsid w:val="468E14F4"/>
    <w:rsid w:val="46925214"/>
    <w:rsid w:val="469613CF"/>
    <w:rsid w:val="46982EAE"/>
    <w:rsid w:val="46A17229"/>
    <w:rsid w:val="46A74F8B"/>
    <w:rsid w:val="46A75740"/>
    <w:rsid w:val="46A76946"/>
    <w:rsid w:val="46A856AC"/>
    <w:rsid w:val="46A950F3"/>
    <w:rsid w:val="46AC7098"/>
    <w:rsid w:val="46B04D82"/>
    <w:rsid w:val="46B10593"/>
    <w:rsid w:val="46B54483"/>
    <w:rsid w:val="46B66861"/>
    <w:rsid w:val="46B932E3"/>
    <w:rsid w:val="46BA25F8"/>
    <w:rsid w:val="46BF3E90"/>
    <w:rsid w:val="46C03508"/>
    <w:rsid w:val="46C15C8F"/>
    <w:rsid w:val="46C16F17"/>
    <w:rsid w:val="46C47E9B"/>
    <w:rsid w:val="46C64B7D"/>
    <w:rsid w:val="46C81238"/>
    <w:rsid w:val="46CA477F"/>
    <w:rsid w:val="46CD7990"/>
    <w:rsid w:val="46CF6F6D"/>
    <w:rsid w:val="46D2092E"/>
    <w:rsid w:val="46D50F5D"/>
    <w:rsid w:val="46D5364F"/>
    <w:rsid w:val="46D75B1E"/>
    <w:rsid w:val="46DD42F3"/>
    <w:rsid w:val="46E770CE"/>
    <w:rsid w:val="46E80F08"/>
    <w:rsid w:val="46EB6734"/>
    <w:rsid w:val="46ED600E"/>
    <w:rsid w:val="46ED7AC9"/>
    <w:rsid w:val="46F25626"/>
    <w:rsid w:val="46F2632F"/>
    <w:rsid w:val="46F33658"/>
    <w:rsid w:val="46F34A91"/>
    <w:rsid w:val="46FC0298"/>
    <w:rsid w:val="46FD0E0E"/>
    <w:rsid w:val="4700097E"/>
    <w:rsid w:val="470146E9"/>
    <w:rsid w:val="4702678E"/>
    <w:rsid w:val="47030B5D"/>
    <w:rsid w:val="47092F21"/>
    <w:rsid w:val="470F4D81"/>
    <w:rsid w:val="471058DE"/>
    <w:rsid w:val="47211E8B"/>
    <w:rsid w:val="47215C0A"/>
    <w:rsid w:val="472556F4"/>
    <w:rsid w:val="472A5DBA"/>
    <w:rsid w:val="472B2C03"/>
    <w:rsid w:val="47377F02"/>
    <w:rsid w:val="47394653"/>
    <w:rsid w:val="473A214E"/>
    <w:rsid w:val="473A7573"/>
    <w:rsid w:val="47404D78"/>
    <w:rsid w:val="47415677"/>
    <w:rsid w:val="47415AC0"/>
    <w:rsid w:val="474A0CA6"/>
    <w:rsid w:val="474C54DD"/>
    <w:rsid w:val="474C62F6"/>
    <w:rsid w:val="474E12F0"/>
    <w:rsid w:val="474E7880"/>
    <w:rsid w:val="475046A9"/>
    <w:rsid w:val="475066F4"/>
    <w:rsid w:val="475122B3"/>
    <w:rsid w:val="475B1DB0"/>
    <w:rsid w:val="475B37E6"/>
    <w:rsid w:val="475E3B39"/>
    <w:rsid w:val="475E69C2"/>
    <w:rsid w:val="475E761D"/>
    <w:rsid w:val="475F6D6B"/>
    <w:rsid w:val="47633CFF"/>
    <w:rsid w:val="476756E4"/>
    <w:rsid w:val="4768629C"/>
    <w:rsid w:val="476A2443"/>
    <w:rsid w:val="476D28AB"/>
    <w:rsid w:val="476D66F0"/>
    <w:rsid w:val="476F6EC5"/>
    <w:rsid w:val="4770561B"/>
    <w:rsid w:val="4771569E"/>
    <w:rsid w:val="477339FF"/>
    <w:rsid w:val="47767243"/>
    <w:rsid w:val="477741C0"/>
    <w:rsid w:val="477A3046"/>
    <w:rsid w:val="477D7782"/>
    <w:rsid w:val="477F474D"/>
    <w:rsid w:val="478154DD"/>
    <w:rsid w:val="47827A5F"/>
    <w:rsid w:val="47852601"/>
    <w:rsid w:val="47897E61"/>
    <w:rsid w:val="478A2DE1"/>
    <w:rsid w:val="478B07BF"/>
    <w:rsid w:val="478C6AB1"/>
    <w:rsid w:val="47952769"/>
    <w:rsid w:val="47971289"/>
    <w:rsid w:val="4797300F"/>
    <w:rsid w:val="479C703D"/>
    <w:rsid w:val="479D51AA"/>
    <w:rsid w:val="479F4F6A"/>
    <w:rsid w:val="47A237DE"/>
    <w:rsid w:val="47A238B8"/>
    <w:rsid w:val="47A7601A"/>
    <w:rsid w:val="47AA74FA"/>
    <w:rsid w:val="47AB769D"/>
    <w:rsid w:val="47AE0AB6"/>
    <w:rsid w:val="47B13DD5"/>
    <w:rsid w:val="47B2685E"/>
    <w:rsid w:val="47B73C40"/>
    <w:rsid w:val="47BE5F1A"/>
    <w:rsid w:val="47BE6EAD"/>
    <w:rsid w:val="47C12FF0"/>
    <w:rsid w:val="47C26CC1"/>
    <w:rsid w:val="47C724C3"/>
    <w:rsid w:val="47C726E1"/>
    <w:rsid w:val="47C850FC"/>
    <w:rsid w:val="47CC1082"/>
    <w:rsid w:val="47D37EDA"/>
    <w:rsid w:val="47DA0FA7"/>
    <w:rsid w:val="47DF2160"/>
    <w:rsid w:val="47E11262"/>
    <w:rsid w:val="47E158AD"/>
    <w:rsid w:val="47E6037B"/>
    <w:rsid w:val="47E67FB9"/>
    <w:rsid w:val="47E87DCE"/>
    <w:rsid w:val="47ED09F7"/>
    <w:rsid w:val="47ED2F37"/>
    <w:rsid w:val="47ED7C6A"/>
    <w:rsid w:val="47EE6320"/>
    <w:rsid w:val="47F21C84"/>
    <w:rsid w:val="47F356FB"/>
    <w:rsid w:val="47FC0B37"/>
    <w:rsid w:val="47FF6626"/>
    <w:rsid w:val="4803128D"/>
    <w:rsid w:val="480356D7"/>
    <w:rsid w:val="480E2906"/>
    <w:rsid w:val="48143E01"/>
    <w:rsid w:val="481D6D04"/>
    <w:rsid w:val="481D7619"/>
    <w:rsid w:val="481F1A18"/>
    <w:rsid w:val="482858B2"/>
    <w:rsid w:val="482A018D"/>
    <w:rsid w:val="482C6E54"/>
    <w:rsid w:val="482D448D"/>
    <w:rsid w:val="482E0DE6"/>
    <w:rsid w:val="482F64D9"/>
    <w:rsid w:val="483240E7"/>
    <w:rsid w:val="48365F46"/>
    <w:rsid w:val="48372BFE"/>
    <w:rsid w:val="48395003"/>
    <w:rsid w:val="48450349"/>
    <w:rsid w:val="484E470A"/>
    <w:rsid w:val="484E5700"/>
    <w:rsid w:val="48544562"/>
    <w:rsid w:val="48593A30"/>
    <w:rsid w:val="485A6D4D"/>
    <w:rsid w:val="4861068D"/>
    <w:rsid w:val="48662B9D"/>
    <w:rsid w:val="486A4BE0"/>
    <w:rsid w:val="486E6A2E"/>
    <w:rsid w:val="487862F7"/>
    <w:rsid w:val="487B17C7"/>
    <w:rsid w:val="487D7560"/>
    <w:rsid w:val="488404DF"/>
    <w:rsid w:val="488613B6"/>
    <w:rsid w:val="48871475"/>
    <w:rsid w:val="48883A00"/>
    <w:rsid w:val="488859F0"/>
    <w:rsid w:val="489847F5"/>
    <w:rsid w:val="4898717C"/>
    <w:rsid w:val="489C69AA"/>
    <w:rsid w:val="48A16FE3"/>
    <w:rsid w:val="48A30275"/>
    <w:rsid w:val="48A53E02"/>
    <w:rsid w:val="48A8540D"/>
    <w:rsid w:val="48AB65B5"/>
    <w:rsid w:val="48AE2FF7"/>
    <w:rsid w:val="48B0371B"/>
    <w:rsid w:val="48B0799F"/>
    <w:rsid w:val="48B13170"/>
    <w:rsid w:val="48B23538"/>
    <w:rsid w:val="48B43C6E"/>
    <w:rsid w:val="48BC043F"/>
    <w:rsid w:val="48BE2A12"/>
    <w:rsid w:val="48BF6039"/>
    <w:rsid w:val="48C00268"/>
    <w:rsid w:val="48C335BE"/>
    <w:rsid w:val="48C54464"/>
    <w:rsid w:val="48C64771"/>
    <w:rsid w:val="48C956AE"/>
    <w:rsid w:val="48C95A3D"/>
    <w:rsid w:val="48CB4A7B"/>
    <w:rsid w:val="48CE2726"/>
    <w:rsid w:val="48CF6359"/>
    <w:rsid w:val="48D06391"/>
    <w:rsid w:val="48D11913"/>
    <w:rsid w:val="48D22E29"/>
    <w:rsid w:val="48D52D24"/>
    <w:rsid w:val="48D662FC"/>
    <w:rsid w:val="48D6783E"/>
    <w:rsid w:val="48D70EA1"/>
    <w:rsid w:val="48DD4D0F"/>
    <w:rsid w:val="48DF0059"/>
    <w:rsid w:val="48E22B21"/>
    <w:rsid w:val="48E34DAF"/>
    <w:rsid w:val="48E77EB2"/>
    <w:rsid w:val="48E83C9D"/>
    <w:rsid w:val="48EA065F"/>
    <w:rsid w:val="48EB1B95"/>
    <w:rsid w:val="48EE5E7C"/>
    <w:rsid w:val="48EF1929"/>
    <w:rsid w:val="48EF4BBA"/>
    <w:rsid w:val="48EF76B1"/>
    <w:rsid w:val="48F16907"/>
    <w:rsid w:val="48F17871"/>
    <w:rsid w:val="48F539F6"/>
    <w:rsid w:val="48FA36A2"/>
    <w:rsid w:val="48FE64C4"/>
    <w:rsid w:val="48FF172B"/>
    <w:rsid w:val="48FF59CC"/>
    <w:rsid w:val="490063C3"/>
    <w:rsid w:val="490213E3"/>
    <w:rsid w:val="49060E94"/>
    <w:rsid w:val="49070E92"/>
    <w:rsid w:val="490E4C13"/>
    <w:rsid w:val="491328AD"/>
    <w:rsid w:val="491450C9"/>
    <w:rsid w:val="49152237"/>
    <w:rsid w:val="491679B5"/>
    <w:rsid w:val="491B4529"/>
    <w:rsid w:val="491C7340"/>
    <w:rsid w:val="4920202C"/>
    <w:rsid w:val="492046B7"/>
    <w:rsid w:val="49212E9D"/>
    <w:rsid w:val="49250B73"/>
    <w:rsid w:val="49275ADE"/>
    <w:rsid w:val="492B534A"/>
    <w:rsid w:val="492F30BD"/>
    <w:rsid w:val="493062F5"/>
    <w:rsid w:val="4935184B"/>
    <w:rsid w:val="49366871"/>
    <w:rsid w:val="493701C6"/>
    <w:rsid w:val="4941724A"/>
    <w:rsid w:val="49445D9E"/>
    <w:rsid w:val="49454684"/>
    <w:rsid w:val="49463EE2"/>
    <w:rsid w:val="494E1597"/>
    <w:rsid w:val="494E2449"/>
    <w:rsid w:val="494F4640"/>
    <w:rsid w:val="494F76C6"/>
    <w:rsid w:val="49561889"/>
    <w:rsid w:val="49623112"/>
    <w:rsid w:val="4963762A"/>
    <w:rsid w:val="49667F2E"/>
    <w:rsid w:val="49687CE4"/>
    <w:rsid w:val="496B1925"/>
    <w:rsid w:val="496C4542"/>
    <w:rsid w:val="49700075"/>
    <w:rsid w:val="49702ABE"/>
    <w:rsid w:val="497F5AE5"/>
    <w:rsid w:val="49812FBB"/>
    <w:rsid w:val="49882E91"/>
    <w:rsid w:val="498A70B7"/>
    <w:rsid w:val="498B5122"/>
    <w:rsid w:val="498B6B69"/>
    <w:rsid w:val="4991535C"/>
    <w:rsid w:val="49930820"/>
    <w:rsid w:val="499A787A"/>
    <w:rsid w:val="499C6335"/>
    <w:rsid w:val="49A118C2"/>
    <w:rsid w:val="49A16CEF"/>
    <w:rsid w:val="49A54111"/>
    <w:rsid w:val="49A74B6F"/>
    <w:rsid w:val="49A75262"/>
    <w:rsid w:val="49A8191D"/>
    <w:rsid w:val="49A84E47"/>
    <w:rsid w:val="49AC4C85"/>
    <w:rsid w:val="49AD3383"/>
    <w:rsid w:val="49AF269E"/>
    <w:rsid w:val="49B06CB5"/>
    <w:rsid w:val="49B31E06"/>
    <w:rsid w:val="49B767CA"/>
    <w:rsid w:val="49B86269"/>
    <w:rsid w:val="49BB14DD"/>
    <w:rsid w:val="49BD1067"/>
    <w:rsid w:val="49BD5489"/>
    <w:rsid w:val="49BE2ACC"/>
    <w:rsid w:val="49C0589E"/>
    <w:rsid w:val="49C744D0"/>
    <w:rsid w:val="49C957AE"/>
    <w:rsid w:val="49C965A5"/>
    <w:rsid w:val="49D27A29"/>
    <w:rsid w:val="49D53493"/>
    <w:rsid w:val="49D760DA"/>
    <w:rsid w:val="49DA29B4"/>
    <w:rsid w:val="49DF446F"/>
    <w:rsid w:val="49E16290"/>
    <w:rsid w:val="49E66721"/>
    <w:rsid w:val="49E81CA4"/>
    <w:rsid w:val="49EC0BA9"/>
    <w:rsid w:val="49EC3A00"/>
    <w:rsid w:val="49F3124A"/>
    <w:rsid w:val="49F41507"/>
    <w:rsid w:val="49F71742"/>
    <w:rsid w:val="49FD06F4"/>
    <w:rsid w:val="4A003B02"/>
    <w:rsid w:val="4A033E73"/>
    <w:rsid w:val="4A0405C9"/>
    <w:rsid w:val="4A075B96"/>
    <w:rsid w:val="4A0E0CA9"/>
    <w:rsid w:val="4A117B6D"/>
    <w:rsid w:val="4A1615F1"/>
    <w:rsid w:val="4A1850DE"/>
    <w:rsid w:val="4A1C02A6"/>
    <w:rsid w:val="4A1E0B14"/>
    <w:rsid w:val="4A232C16"/>
    <w:rsid w:val="4A264AA3"/>
    <w:rsid w:val="4A2777C1"/>
    <w:rsid w:val="4A29730D"/>
    <w:rsid w:val="4A2D602B"/>
    <w:rsid w:val="4A2E04A5"/>
    <w:rsid w:val="4A2E309D"/>
    <w:rsid w:val="4A2E7D73"/>
    <w:rsid w:val="4A2F3F66"/>
    <w:rsid w:val="4A2F7CB1"/>
    <w:rsid w:val="4A302CD1"/>
    <w:rsid w:val="4A32611D"/>
    <w:rsid w:val="4A34350A"/>
    <w:rsid w:val="4A3E13CF"/>
    <w:rsid w:val="4A412865"/>
    <w:rsid w:val="4A414CAA"/>
    <w:rsid w:val="4A4A4A2C"/>
    <w:rsid w:val="4A4C1241"/>
    <w:rsid w:val="4A4E59E9"/>
    <w:rsid w:val="4A4E72FB"/>
    <w:rsid w:val="4A4F41AF"/>
    <w:rsid w:val="4A53463E"/>
    <w:rsid w:val="4A546917"/>
    <w:rsid w:val="4A5C4C63"/>
    <w:rsid w:val="4A5F1593"/>
    <w:rsid w:val="4A5F6118"/>
    <w:rsid w:val="4A605626"/>
    <w:rsid w:val="4A647162"/>
    <w:rsid w:val="4A656E91"/>
    <w:rsid w:val="4A6745FD"/>
    <w:rsid w:val="4A6752DC"/>
    <w:rsid w:val="4A685E5D"/>
    <w:rsid w:val="4A692133"/>
    <w:rsid w:val="4A6A6B76"/>
    <w:rsid w:val="4A6C50F7"/>
    <w:rsid w:val="4A6E1565"/>
    <w:rsid w:val="4A745CB3"/>
    <w:rsid w:val="4A761369"/>
    <w:rsid w:val="4A7A5EC5"/>
    <w:rsid w:val="4A7D5C7F"/>
    <w:rsid w:val="4A7E24F9"/>
    <w:rsid w:val="4A80417C"/>
    <w:rsid w:val="4A8413D8"/>
    <w:rsid w:val="4A8619F3"/>
    <w:rsid w:val="4A8A5C8E"/>
    <w:rsid w:val="4A8F6D0A"/>
    <w:rsid w:val="4A920F03"/>
    <w:rsid w:val="4A95367B"/>
    <w:rsid w:val="4A97351D"/>
    <w:rsid w:val="4A97432F"/>
    <w:rsid w:val="4A9C0F13"/>
    <w:rsid w:val="4A9E7C59"/>
    <w:rsid w:val="4A9F4758"/>
    <w:rsid w:val="4AA113E2"/>
    <w:rsid w:val="4AA46B29"/>
    <w:rsid w:val="4AA47F21"/>
    <w:rsid w:val="4AA73544"/>
    <w:rsid w:val="4AAD3FE3"/>
    <w:rsid w:val="4AB00E8D"/>
    <w:rsid w:val="4AB040B5"/>
    <w:rsid w:val="4AB324C0"/>
    <w:rsid w:val="4AB80CFC"/>
    <w:rsid w:val="4ABC05E5"/>
    <w:rsid w:val="4ABD045D"/>
    <w:rsid w:val="4ABD45CA"/>
    <w:rsid w:val="4ABE4849"/>
    <w:rsid w:val="4AC51CA4"/>
    <w:rsid w:val="4AC8040E"/>
    <w:rsid w:val="4ACC57E7"/>
    <w:rsid w:val="4AD40EF8"/>
    <w:rsid w:val="4AD45609"/>
    <w:rsid w:val="4AD6391B"/>
    <w:rsid w:val="4AD66CB5"/>
    <w:rsid w:val="4ADC151E"/>
    <w:rsid w:val="4ADC6901"/>
    <w:rsid w:val="4ADC7D57"/>
    <w:rsid w:val="4AE216EA"/>
    <w:rsid w:val="4AE34100"/>
    <w:rsid w:val="4AE341E1"/>
    <w:rsid w:val="4AE44A05"/>
    <w:rsid w:val="4AE57FCC"/>
    <w:rsid w:val="4AEC4B12"/>
    <w:rsid w:val="4AEE77F5"/>
    <w:rsid w:val="4AEF60D1"/>
    <w:rsid w:val="4AEF7DF0"/>
    <w:rsid w:val="4AF03568"/>
    <w:rsid w:val="4AF307D9"/>
    <w:rsid w:val="4AF72156"/>
    <w:rsid w:val="4AFB7A4D"/>
    <w:rsid w:val="4AFE7134"/>
    <w:rsid w:val="4AFF4488"/>
    <w:rsid w:val="4B092796"/>
    <w:rsid w:val="4B0F0AF4"/>
    <w:rsid w:val="4B0F7284"/>
    <w:rsid w:val="4B115AD9"/>
    <w:rsid w:val="4B186B86"/>
    <w:rsid w:val="4B1C1190"/>
    <w:rsid w:val="4B256A6D"/>
    <w:rsid w:val="4B273827"/>
    <w:rsid w:val="4B284E94"/>
    <w:rsid w:val="4B2D57D4"/>
    <w:rsid w:val="4B2E29A1"/>
    <w:rsid w:val="4B3443C3"/>
    <w:rsid w:val="4B380878"/>
    <w:rsid w:val="4B386ABA"/>
    <w:rsid w:val="4B387751"/>
    <w:rsid w:val="4B3C451B"/>
    <w:rsid w:val="4B3C6437"/>
    <w:rsid w:val="4B3E4195"/>
    <w:rsid w:val="4B400570"/>
    <w:rsid w:val="4B433B50"/>
    <w:rsid w:val="4B4E20EF"/>
    <w:rsid w:val="4B4E2665"/>
    <w:rsid w:val="4B5409E3"/>
    <w:rsid w:val="4B544817"/>
    <w:rsid w:val="4B5A0CB0"/>
    <w:rsid w:val="4B614BD0"/>
    <w:rsid w:val="4B6353D4"/>
    <w:rsid w:val="4B6B5AB9"/>
    <w:rsid w:val="4B6B725D"/>
    <w:rsid w:val="4B6F1D6D"/>
    <w:rsid w:val="4B6F66FF"/>
    <w:rsid w:val="4B714CDC"/>
    <w:rsid w:val="4B7272FA"/>
    <w:rsid w:val="4B792B59"/>
    <w:rsid w:val="4B7B2DA0"/>
    <w:rsid w:val="4B7C3B72"/>
    <w:rsid w:val="4B7D06F6"/>
    <w:rsid w:val="4B81532D"/>
    <w:rsid w:val="4B846F21"/>
    <w:rsid w:val="4B8705E9"/>
    <w:rsid w:val="4B89008E"/>
    <w:rsid w:val="4B896B99"/>
    <w:rsid w:val="4B8B4C57"/>
    <w:rsid w:val="4B8D2C06"/>
    <w:rsid w:val="4B8F4DE0"/>
    <w:rsid w:val="4B90319B"/>
    <w:rsid w:val="4B9271FA"/>
    <w:rsid w:val="4B9411BA"/>
    <w:rsid w:val="4B9533DE"/>
    <w:rsid w:val="4B970494"/>
    <w:rsid w:val="4B9842BC"/>
    <w:rsid w:val="4B9941CC"/>
    <w:rsid w:val="4B99780F"/>
    <w:rsid w:val="4B9A662E"/>
    <w:rsid w:val="4B9E3DD4"/>
    <w:rsid w:val="4B9F79DB"/>
    <w:rsid w:val="4BA072A3"/>
    <w:rsid w:val="4BA24C0F"/>
    <w:rsid w:val="4BA77FCB"/>
    <w:rsid w:val="4BA823A5"/>
    <w:rsid w:val="4BA97BAE"/>
    <w:rsid w:val="4BB426D0"/>
    <w:rsid w:val="4BB444DD"/>
    <w:rsid w:val="4BB940D5"/>
    <w:rsid w:val="4BB96625"/>
    <w:rsid w:val="4BC001F7"/>
    <w:rsid w:val="4BC12B87"/>
    <w:rsid w:val="4BC2417E"/>
    <w:rsid w:val="4BC24B53"/>
    <w:rsid w:val="4BC30CA5"/>
    <w:rsid w:val="4BC34531"/>
    <w:rsid w:val="4BC349B2"/>
    <w:rsid w:val="4BC92586"/>
    <w:rsid w:val="4BC95587"/>
    <w:rsid w:val="4BCF4C0C"/>
    <w:rsid w:val="4BD22771"/>
    <w:rsid w:val="4BDB4139"/>
    <w:rsid w:val="4BDC73DC"/>
    <w:rsid w:val="4BE06F80"/>
    <w:rsid w:val="4BE21CAB"/>
    <w:rsid w:val="4BE36343"/>
    <w:rsid w:val="4BE53544"/>
    <w:rsid w:val="4BE579F1"/>
    <w:rsid w:val="4BE67DBD"/>
    <w:rsid w:val="4BE71E96"/>
    <w:rsid w:val="4BEE0025"/>
    <w:rsid w:val="4BF106F6"/>
    <w:rsid w:val="4BF55558"/>
    <w:rsid w:val="4BFB5749"/>
    <w:rsid w:val="4BFB5ECE"/>
    <w:rsid w:val="4BFE5C1C"/>
    <w:rsid w:val="4C07309C"/>
    <w:rsid w:val="4C0777A2"/>
    <w:rsid w:val="4C09021B"/>
    <w:rsid w:val="4C0C19A3"/>
    <w:rsid w:val="4C0C3251"/>
    <w:rsid w:val="4C0D0EEB"/>
    <w:rsid w:val="4C126487"/>
    <w:rsid w:val="4C13502B"/>
    <w:rsid w:val="4C136949"/>
    <w:rsid w:val="4C14395D"/>
    <w:rsid w:val="4C182535"/>
    <w:rsid w:val="4C1C17A8"/>
    <w:rsid w:val="4C1D57B8"/>
    <w:rsid w:val="4C1F6159"/>
    <w:rsid w:val="4C234D43"/>
    <w:rsid w:val="4C274EF5"/>
    <w:rsid w:val="4C2964D8"/>
    <w:rsid w:val="4C2B3D46"/>
    <w:rsid w:val="4C2B4F40"/>
    <w:rsid w:val="4C2C4030"/>
    <w:rsid w:val="4C2E1524"/>
    <w:rsid w:val="4C306EEC"/>
    <w:rsid w:val="4C3248EF"/>
    <w:rsid w:val="4C326B7A"/>
    <w:rsid w:val="4C363D16"/>
    <w:rsid w:val="4C3750F1"/>
    <w:rsid w:val="4C39379C"/>
    <w:rsid w:val="4C3B0DAF"/>
    <w:rsid w:val="4C3C1148"/>
    <w:rsid w:val="4C3E6F07"/>
    <w:rsid w:val="4C3E7B0E"/>
    <w:rsid w:val="4C4302C8"/>
    <w:rsid w:val="4C43516F"/>
    <w:rsid w:val="4C4355B0"/>
    <w:rsid w:val="4C4368F3"/>
    <w:rsid w:val="4C470B74"/>
    <w:rsid w:val="4C4C33B9"/>
    <w:rsid w:val="4C4C3935"/>
    <w:rsid w:val="4C4C690A"/>
    <w:rsid w:val="4C4E6719"/>
    <w:rsid w:val="4C4F7E0E"/>
    <w:rsid w:val="4C510086"/>
    <w:rsid w:val="4C553590"/>
    <w:rsid w:val="4C566B83"/>
    <w:rsid w:val="4C58095D"/>
    <w:rsid w:val="4C5E0112"/>
    <w:rsid w:val="4C603EC9"/>
    <w:rsid w:val="4C623552"/>
    <w:rsid w:val="4C624391"/>
    <w:rsid w:val="4C677A07"/>
    <w:rsid w:val="4C6B16B3"/>
    <w:rsid w:val="4C6D643F"/>
    <w:rsid w:val="4C6F4CE5"/>
    <w:rsid w:val="4C72131F"/>
    <w:rsid w:val="4C7963C8"/>
    <w:rsid w:val="4C7C690D"/>
    <w:rsid w:val="4C7E40CB"/>
    <w:rsid w:val="4C7F7AFD"/>
    <w:rsid w:val="4C8055DB"/>
    <w:rsid w:val="4C805E96"/>
    <w:rsid w:val="4C822384"/>
    <w:rsid w:val="4C87001B"/>
    <w:rsid w:val="4C884256"/>
    <w:rsid w:val="4C8A4C55"/>
    <w:rsid w:val="4C926455"/>
    <w:rsid w:val="4C945E52"/>
    <w:rsid w:val="4C967F01"/>
    <w:rsid w:val="4C984D1E"/>
    <w:rsid w:val="4C995D59"/>
    <w:rsid w:val="4C9A6B86"/>
    <w:rsid w:val="4C9D4CD6"/>
    <w:rsid w:val="4C9F2FD0"/>
    <w:rsid w:val="4CA1781F"/>
    <w:rsid w:val="4CAA39BC"/>
    <w:rsid w:val="4CAB0938"/>
    <w:rsid w:val="4CAC5E15"/>
    <w:rsid w:val="4CAD0E16"/>
    <w:rsid w:val="4CAE55F6"/>
    <w:rsid w:val="4CAE78C6"/>
    <w:rsid w:val="4CBA3EB1"/>
    <w:rsid w:val="4CBB5241"/>
    <w:rsid w:val="4CBC5139"/>
    <w:rsid w:val="4CBE3F13"/>
    <w:rsid w:val="4CC3795E"/>
    <w:rsid w:val="4CCE009F"/>
    <w:rsid w:val="4CCE2EAD"/>
    <w:rsid w:val="4CCF76C2"/>
    <w:rsid w:val="4CD00F61"/>
    <w:rsid w:val="4CD107B2"/>
    <w:rsid w:val="4CD30BE3"/>
    <w:rsid w:val="4CD37ECA"/>
    <w:rsid w:val="4CD80D61"/>
    <w:rsid w:val="4CDB3CA3"/>
    <w:rsid w:val="4CDB5033"/>
    <w:rsid w:val="4CDD416E"/>
    <w:rsid w:val="4CE076E9"/>
    <w:rsid w:val="4CE579AF"/>
    <w:rsid w:val="4CE74405"/>
    <w:rsid w:val="4CEB7E1A"/>
    <w:rsid w:val="4CEC2D32"/>
    <w:rsid w:val="4CEC593F"/>
    <w:rsid w:val="4CF339ED"/>
    <w:rsid w:val="4CF51B2D"/>
    <w:rsid w:val="4CF5608F"/>
    <w:rsid w:val="4CFB5FB2"/>
    <w:rsid w:val="4CFD766D"/>
    <w:rsid w:val="4D014C2D"/>
    <w:rsid w:val="4D0173F8"/>
    <w:rsid w:val="4D0247A3"/>
    <w:rsid w:val="4D0337E9"/>
    <w:rsid w:val="4D0C130C"/>
    <w:rsid w:val="4D0E3402"/>
    <w:rsid w:val="4D121223"/>
    <w:rsid w:val="4D16433C"/>
    <w:rsid w:val="4D176618"/>
    <w:rsid w:val="4D1A0B89"/>
    <w:rsid w:val="4D1B360A"/>
    <w:rsid w:val="4D1D2ECE"/>
    <w:rsid w:val="4D226FD4"/>
    <w:rsid w:val="4D234F00"/>
    <w:rsid w:val="4D27321B"/>
    <w:rsid w:val="4D2D7E5F"/>
    <w:rsid w:val="4D303B37"/>
    <w:rsid w:val="4D316480"/>
    <w:rsid w:val="4D320E1A"/>
    <w:rsid w:val="4D332EE0"/>
    <w:rsid w:val="4D34799E"/>
    <w:rsid w:val="4D3634D5"/>
    <w:rsid w:val="4D38701E"/>
    <w:rsid w:val="4D4B48DE"/>
    <w:rsid w:val="4D4C1986"/>
    <w:rsid w:val="4D4C4B76"/>
    <w:rsid w:val="4D5107B8"/>
    <w:rsid w:val="4D512488"/>
    <w:rsid w:val="4D53418C"/>
    <w:rsid w:val="4D542D28"/>
    <w:rsid w:val="4D5802D6"/>
    <w:rsid w:val="4D5A391A"/>
    <w:rsid w:val="4D5C3E27"/>
    <w:rsid w:val="4D5F0624"/>
    <w:rsid w:val="4D6233AB"/>
    <w:rsid w:val="4D661451"/>
    <w:rsid w:val="4D672685"/>
    <w:rsid w:val="4D6778C3"/>
    <w:rsid w:val="4D686E1A"/>
    <w:rsid w:val="4D752AEB"/>
    <w:rsid w:val="4D763A81"/>
    <w:rsid w:val="4D786D67"/>
    <w:rsid w:val="4D790F9D"/>
    <w:rsid w:val="4D7C3633"/>
    <w:rsid w:val="4D7F14A6"/>
    <w:rsid w:val="4D853603"/>
    <w:rsid w:val="4D86309C"/>
    <w:rsid w:val="4D867ADC"/>
    <w:rsid w:val="4D871447"/>
    <w:rsid w:val="4D8C286F"/>
    <w:rsid w:val="4D901DFE"/>
    <w:rsid w:val="4D90223D"/>
    <w:rsid w:val="4D917483"/>
    <w:rsid w:val="4D933066"/>
    <w:rsid w:val="4D9516E0"/>
    <w:rsid w:val="4D981BE9"/>
    <w:rsid w:val="4D997029"/>
    <w:rsid w:val="4D9B2706"/>
    <w:rsid w:val="4D9C3A5C"/>
    <w:rsid w:val="4D9D6E24"/>
    <w:rsid w:val="4D9E4ACB"/>
    <w:rsid w:val="4DA16DCF"/>
    <w:rsid w:val="4DA44708"/>
    <w:rsid w:val="4DA54EC9"/>
    <w:rsid w:val="4DA631C9"/>
    <w:rsid w:val="4DAB1725"/>
    <w:rsid w:val="4DAC5C19"/>
    <w:rsid w:val="4DB34D83"/>
    <w:rsid w:val="4DBD56F0"/>
    <w:rsid w:val="4DC53859"/>
    <w:rsid w:val="4DCB77D1"/>
    <w:rsid w:val="4DCC0E97"/>
    <w:rsid w:val="4DCD654A"/>
    <w:rsid w:val="4DCE5648"/>
    <w:rsid w:val="4DCF5197"/>
    <w:rsid w:val="4DD74110"/>
    <w:rsid w:val="4DD75ED7"/>
    <w:rsid w:val="4DDC16B1"/>
    <w:rsid w:val="4DDC2059"/>
    <w:rsid w:val="4DDE5485"/>
    <w:rsid w:val="4DE11359"/>
    <w:rsid w:val="4DE31700"/>
    <w:rsid w:val="4DEC71CB"/>
    <w:rsid w:val="4DEF6579"/>
    <w:rsid w:val="4DF1418F"/>
    <w:rsid w:val="4DF16C14"/>
    <w:rsid w:val="4DF306EF"/>
    <w:rsid w:val="4DF31680"/>
    <w:rsid w:val="4DF41F71"/>
    <w:rsid w:val="4DF63555"/>
    <w:rsid w:val="4DF66BB7"/>
    <w:rsid w:val="4DFA0627"/>
    <w:rsid w:val="4DFA6497"/>
    <w:rsid w:val="4DFB258E"/>
    <w:rsid w:val="4DFE06DF"/>
    <w:rsid w:val="4DFE1743"/>
    <w:rsid w:val="4E022E90"/>
    <w:rsid w:val="4E033612"/>
    <w:rsid w:val="4E047455"/>
    <w:rsid w:val="4E056DFE"/>
    <w:rsid w:val="4E057B92"/>
    <w:rsid w:val="4E087F86"/>
    <w:rsid w:val="4E0B1831"/>
    <w:rsid w:val="4E0D5597"/>
    <w:rsid w:val="4E0F22C3"/>
    <w:rsid w:val="4E12141D"/>
    <w:rsid w:val="4E126F6C"/>
    <w:rsid w:val="4E1510F9"/>
    <w:rsid w:val="4E155B39"/>
    <w:rsid w:val="4E17656B"/>
    <w:rsid w:val="4E1C61D3"/>
    <w:rsid w:val="4E211174"/>
    <w:rsid w:val="4E2133F4"/>
    <w:rsid w:val="4E22058D"/>
    <w:rsid w:val="4E2745F4"/>
    <w:rsid w:val="4E2960A3"/>
    <w:rsid w:val="4E2B18C7"/>
    <w:rsid w:val="4E30275D"/>
    <w:rsid w:val="4E312DC5"/>
    <w:rsid w:val="4E313DC0"/>
    <w:rsid w:val="4E363131"/>
    <w:rsid w:val="4E3B52CE"/>
    <w:rsid w:val="4E415ED2"/>
    <w:rsid w:val="4E523EF9"/>
    <w:rsid w:val="4E5266DF"/>
    <w:rsid w:val="4E610856"/>
    <w:rsid w:val="4E6158C6"/>
    <w:rsid w:val="4E645B10"/>
    <w:rsid w:val="4E645F47"/>
    <w:rsid w:val="4E680C3C"/>
    <w:rsid w:val="4E7325BC"/>
    <w:rsid w:val="4E7831AA"/>
    <w:rsid w:val="4E784612"/>
    <w:rsid w:val="4E7A7080"/>
    <w:rsid w:val="4E7E1786"/>
    <w:rsid w:val="4E7E278A"/>
    <w:rsid w:val="4E7F49B6"/>
    <w:rsid w:val="4E803DC7"/>
    <w:rsid w:val="4E854C20"/>
    <w:rsid w:val="4E86486F"/>
    <w:rsid w:val="4E8A0C64"/>
    <w:rsid w:val="4E8A4A13"/>
    <w:rsid w:val="4E8C73F6"/>
    <w:rsid w:val="4E9046C3"/>
    <w:rsid w:val="4E916038"/>
    <w:rsid w:val="4E9879EF"/>
    <w:rsid w:val="4E997A35"/>
    <w:rsid w:val="4E9B3122"/>
    <w:rsid w:val="4E9D5F19"/>
    <w:rsid w:val="4EA05F32"/>
    <w:rsid w:val="4EA201C6"/>
    <w:rsid w:val="4EA7786C"/>
    <w:rsid w:val="4EAB673E"/>
    <w:rsid w:val="4EAC4278"/>
    <w:rsid w:val="4EAE71B7"/>
    <w:rsid w:val="4EB03DBC"/>
    <w:rsid w:val="4EB04DF7"/>
    <w:rsid w:val="4EB574C6"/>
    <w:rsid w:val="4EB67AD3"/>
    <w:rsid w:val="4EB81E54"/>
    <w:rsid w:val="4EBB6F20"/>
    <w:rsid w:val="4EBC42B6"/>
    <w:rsid w:val="4EBE608E"/>
    <w:rsid w:val="4EC37F47"/>
    <w:rsid w:val="4EC51ABA"/>
    <w:rsid w:val="4EC522AD"/>
    <w:rsid w:val="4ECB5455"/>
    <w:rsid w:val="4ECC538A"/>
    <w:rsid w:val="4ECE19CC"/>
    <w:rsid w:val="4ED17E6C"/>
    <w:rsid w:val="4ED20B17"/>
    <w:rsid w:val="4ED44B60"/>
    <w:rsid w:val="4EDA7B74"/>
    <w:rsid w:val="4EDB00DE"/>
    <w:rsid w:val="4EDE6747"/>
    <w:rsid w:val="4EE55AD9"/>
    <w:rsid w:val="4EE565C9"/>
    <w:rsid w:val="4EE61D5C"/>
    <w:rsid w:val="4EE82691"/>
    <w:rsid w:val="4EE83615"/>
    <w:rsid w:val="4EE83B36"/>
    <w:rsid w:val="4EE865CB"/>
    <w:rsid w:val="4EEA63DE"/>
    <w:rsid w:val="4EEC2BD4"/>
    <w:rsid w:val="4EEC38BA"/>
    <w:rsid w:val="4EF00240"/>
    <w:rsid w:val="4EF70848"/>
    <w:rsid w:val="4EF751D5"/>
    <w:rsid w:val="4EF80964"/>
    <w:rsid w:val="4EF96A47"/>
    <w:rsid w:val="4EFC15A1"/>
    <w:rsid w:val="4EFC770C"/>
    <w:rsid w:val="4F027BDD"/>
    <w:rsid w:val="4F0533C6"/>
    <w:rsid w:val="4F063F7F"/>
    <w:rsid w:val="4F0A47A7"/>
    <w:rsid w:val="4F0D069C"/>
    <w:rsid w:val="4F103C47"/>
    <w:rsid w:val="4F115C5E"/>
    <w:rsid w:val="4F183ECE"/>
    <w:rsid w:val="4F1B5D45"/>
    <w:rsid w:val="4F1D294F"/>
    <w:rsid w:val="4F200977"/>
    <w:rsid w:val="4F2227A6"/>
    <w:rsid w:val="4F2577C9"/>
    <w:rsid w:val="4F283D3E"/>
    <w:rsid w:val="4F2976ED"/>
    <w:rsid w:val="4F2B769E"/>
    <w:rsid w:val="4F2D3846"/>
    <w:rsid w:val="4F30119D"/>
    <w:rsid w:val="4F312CB9"/>
    <w:rsid w:val="4F3350BD"/>
    <w:rsid w:val="4F345EF6"/>
    <w:rsid w:val="4F357A72"/>
    <w:rsid w:val="4F357FEB"/>
    <w:rsid w:val="4F3655DE"/>
    <w:rsid w:val="4F3A0237"/>
    <w:rsid w:val="4F3A6955"/>
    <w:rsid w:val="4F3C05EC"/>
    <w:rsid w:val="4F3C6EBF"/>
    <w:rsid w:val="4F420548"/>
    <w:rsid w:val="4F445FD9"/>
    <w:rsid w:val="4F4D295D"/>
    <w:rsid w:val="4F521150"/>
    <w:rsid w:val="4F5B7261"/>
    <w:rsid w:val="4F5D334F"/>
    <w:rsid w:val="4F5E284A"/>
    <w:rsid w:val="4F5E4336"/>
    <w:rsid w:val="4F615607"/>
    <w:rsid w:val="4F67093A"/>
    <w:rsid w:val="4F674611"/>
    <w:rsid w:val="4F693052"/>
    <w:rsid w:val="4F6C5AF2"/>
    <w:rsid w:val="4F6E70C7"/>
    <w:rsid w:val="4F72068B"/>
    <w:rsid w:val="4F740A85"/>
    <w:rsid w:val="4F7763DC"/>
    <w:rsid w:val="4F7860F7"/>
    <w:rsid w:val="4F7B6A95"/>
    <w:rsid w:val="4F81333C"/>
    <w:rsid w:val="4F846021"/>
    <w:rsid w:val="4F896643"/>
    <w:rsid w:val="4F8A143B"/>
    <w:rsid w:val="4F904911"/>
    <w:rsid w:val="4F905843"/>
    <w:rsid w:val="4F9729FF"/>
    <w:rsid w:val="4F976EF4"/>
    <w:rsid w:val="4F9C2D98"/>
    <w:rsid w:val="4F9F7AF8"/>
    <w:rsid w:val="4FA80F18"/>
    <w:rsid w:val="4FA92AD3"/>
    <w:rsid w:val="4FA93B39"/>
    <w:rsid w:val="4FAB73D1"/>
    <w:rsid w:val="4FAD3A56"/>
    <w:rsid w:val="4FAE050F"/>
    <w:rsid w:val="4FB276B3"/>
    <w:rsid w:val="4FB81E36"/>
    <w:rsid w:val="4FC03E9E"/>
    <w:rsid w:val="4FC4069F"/>
    <w:rsid w:val="4FC559ED"/>
    <w:rsid w:val="4FC705EA"/>
    <w:rsid w:val="4FCA3332"/>
    <w:rsid w:val="4FCB721B"/>
    <w:rsid w:val="4FCC0283"/>
    <w:rsid w:val="4FD00C54"/>
    <w:rsid w:val="4FD155C3"/>
    <w:rsid w:val="4FD4351F"/>
    <w:rsid w:val="4FD55255"/>
    <w:rsid w:val="4FD630AD"/>
    <w:rsid w:val="4FD6642A"/>
    <w:rsid w:val="4FD93247"/>
    <w:rsid w:val="4FDA4B24"/>
    <w:rsid w:val="4FDB0431"/>
    <w:rsid w:val="4FE0653D"/>
    <w:rsid w:val="4FE16524"/>
    <w:rsid w:val="4FE32693"/>
    <w:rsid w:val="4FE34017"/>
    <w:rsid w:val="4FE90D82"/>
    <w:rsid w:val="4FEB5566"/>
    <w:rsid w:val="4FEE03A6"/>
    <w:rsid w:val="4FF16548"/>
    <w:rsid w:val="4FF53A8C"/>
    <w:rsid w:val="4FF71841"/>
    <w:rsid w:val="4FFF132A"/>
    <w:rsid w:val="50034056"/>
    <w:rsid w:val="50057DE2"/>
    <w:rsid w:val="50067120"/>
    <w:rsid w:val="50076960"/>
    <w:rsid w:val="500E6DBC"/>
    <w:rsid w:val="500F3A11"/>
    <w:rsid w:val="50117899"/>
    <w:rsid w:val="50132FA2"/>
    <w:rsid w:val="501347B1"/>
    <w:rsid w:val="5015236C"/>
    <w:rsid w:val="5016799A"/>
    <w:rsid w:val="50187CC9"/>
    <w:rsid w:val="501915B4"/>
    <w:rsid w:val="501B28C8"/>
    <w:rsid w:val="501B540B"/>
    <w:rsid w:val="501E4F1E"/>
    <w:rsid w:val="501F10A8"/>
    <w:rsid w:val="50206E59"/>
    <w:rsid w:val="50237434"/>
    <w:rsid w:val="50244CA2"/>
    <w:rsid w:val="50260B86"/>
    <w:rsid w:val="502E114D"/>
    <w:rsid w:val="50325167"/>
    <w:rsid w:val="503354AB"/>
    <w:rsid w:val="50341997"/>
    <w:rsid w:val="503553B8"/>
    <w:rsid w:val="503946C5"/>
    <w:rsid w:val="503C2766"/>
    <w:rsid w:val="503F280E"/>
    <w:rsid w:val="50406070"/>
    <w:rsid w:val="50421F8B"/>
    <w:rsid w:val="50452ACD"/>
    <w:rsid w:val="50487E30"/>
    <w:rsid w:val="504A1780"/>
    <w:rsid w:val="504A2246"/>
    <w:rsid w:val="504B410F"/>
    <w:rsid w:val="504C4E53"/>
    <w:rsid w:val="504F3172"/>
    <w:rsid w:val="5051641E"/>
    <w:rsid w:val="50542C25"/>
    <w:rsid w:val="5054308E"/>
    <w:rsid w:val="50547312"/>
    <w:rsid w:val="50557BCB"/>
    <w:rsid w:val="50564ACA"/>
    <w:rsid w:val="50574D86"/>
    <w:rsid w:val="505938CA"/>
    <w:rsid w:val="505A6308"/>
    <w:rsid w:val="505E70E8"/>
    <w:rsid w:val="505F4F7E"/>
    <w:rsid w:val="506101E5"/>
    <w:rsid w:val="506234F8"/>
    <w:rsid w:val="506420B6"/>
    <w:rsid w:val="50651879"/>
    <w:rsid w:val="5065360E"/>
    <w:rsid w:val="50672B40"/>
    <w:rsid w:val="506B0C39"/>
    <w:rsid w:val="506C5FF5"/>
    <w:rsid w:val="507819AA"/>
    <w:rsid w:val="50785D36"/>
    <w:rsid w:val="50791850"/>
    <w:rsid w:val="507A5A81"/>
    <w:rsid w:val="5081275C"/>
    <w:rsid w:val="50847936"/>
    <w:rsid w:val="50865792"/>
    <w:rsid w:val="508A110A"/>
    <w:rsid w:val="508C7A6C"/>
    <w:rsid w:val="508D2176"/>
    <w:rsid w:val="50956027"/>
    <w:rsid w:val="50973B3F"/>
    <w:rsid w:val="50996D40"/>
    <w:rsid w:val="509A30A1"/>
    <w:rsid w:val="509B1D6F"/>
    <w:rsid w:val="509C39ED"/>
    <w:rsid w:val="509C41B7"/>
    <w:rsid w:val="509F1314"/>
    <w:rsid w:val="50A14719"/>
    <w:rsid w:val="50A60E69"/>
    <w:rsid w:val="50A94284"/>
    <w:rsid w:val="50AD4149"/>
    <w:rsid w:val="50AE491A"/>
    <w:rsid w:val="50B31F8C"/>
    <w:rsid w:val="50B3279F"/>
    <w:rsid w:val="50B719E3"/>
    <w:rsid w:val="50B87874"/>
    <w:rsid w:val="50BB3B5B"/>
    <w:rsid w:val="50BE061F"/>
    <w:rsid w:val="50BF65C7"/>
    <w:rsid w:val="50C041DF"/>
    <w:rsid w:val="50C05AC4"/>
    <w:rsid w:val="50C21A5E"/>
    <w:rsid w:val="50C31386"/>
    <w:rsid w:val="50CA79B3"/>
    <w:rsid w:val="50D37137"/>
    <w:rsid w:val="50D6087F"/>
    <w:rsid w:val="50D94EA6"/>
    <w:rsid w:val="50DC27C5"/>
    <w:rsid w:val="50DF6EDC"/>
    <w:rsid w:val="50E62AC3"/>
    <w:rsid w:val="50F67088"/>
    <w:rsid w:val="50F6725F"/>
    <w:rsid w:val="50F717E2"/>
    <w:rsid w:val="50FA4B9E"/>
    <w:rsid w:val="51007BB3"/>
    <w:rsid w:val="510676C1"/>
    <w:rsid w:val="51076FBD"/>
    <w:rsid w:val="510D0B41"/>
    <w:rsid w:val="510F0E70"/>
    <w:rsid w:val="511159AF"/>
    <w:rsid w:val="51153592"/>
    <w:rsid w:val="51183764"/>
    <w:rsid w:val="512075F7"/>
    <w:rsid w:val="512214FF"/>
    <w:rsid w:val="51241979"/>
    <w:rsid w:val="51254C93"/>
    <w:rsid w:val="512558BA"/>
    <w:rsid w:val="51291FA7"/>
    <w:rsid w:val="5129361C"/>
    <w:rsid w:val="51350361"/>
    <w:rsid w:val="51353739"/>
    <w:rsid w:val="51367CC4"/>
    <w:rsid w:val="51382CEF"/>
    <w:rsid w:val="51384300"/>
    <w:rsid w:val="513C09D1"/>
    <w:rsid w:val="513C0A4D"/>
    <w:rsid w:val="513D7414"/>
    <w:rsid w:val="51435988"/>
    <w:rsid w:val="51440E6F"/>
    <w:rsid w:val="51474CBA"/>
    <w:rsid w:val="514B3923"/>
    <w:rsid w:val="514E38C4"/>
    <w:rsid w:val="514F104A"/>
    <w:rsid w:val="514F5F90"/>
    <w:rsid w:val="51544D84"/>
    <w:rsid w:val="5165006D"/>
    <w:rsid w:val="516B658F"/>
    <w:rsid w:val="516C46FA"/>
    <w:rsid w:val="51720DE3"/>
    <w:rsid w:val="517A6425"/>
    <w:rsid w:val="517C51CF"/>
    <w:rsid w:val="517C6190"/>
    <w:rsid w:val="51871B66"/>
    <w:rsid w:val="518946C2"/>
    <w:rsid w:val="518A7318"/>
    <w:rsid w:val="518A7EA8"/>
    <w:rsid w:val="518B1460"/>
    <w:rsid w:val="518D0008"/>
    <w:rsid w:val="518F10A6"/>
    <w:rsid w:val="51900BE2"/>
    <w:rsid w:val="51945DDC"/>
    <w:rsid w:val="51986111"/>
    <w:rsid w:val="519B22D7"/>
    <w:rsid w:val="51A03A09"/>
    <w:rsid w:val="51A144E7"/>
    <w:rsid w:val="51A62F1E"/>
    <w:rsid w:val="51A7102A"/>
    <w:rsid w:val="51A7785D"/>
    <w:rsid w:val="51A83802"/>
    <w:rsid w:val="51AA29CD"/>
    <w:rsid w:val="51AB35D8"/>
    <w:rsid w:val="51AB7920"/>
    <w:rsid w:val="51AF00AC"/>
    <w:rsid w:val="51B008DA"/>
    <w:rsid w:val="51B016A6"/>
    <w:rsid w:val="51B03766"/>
    <w:rsid w:val="51B24470"/>
    <w:rsid w:val="51B44C15"/>
    <w:rsid w:val="51B74327"/>
    <w:rsid w:val="51BC236F"/>
    <w:rsid w:val="51C56840"/>
    <w:rsid w:val="51C81908"/>
    <w:rsid w:val="51CD7C63"/>
    <w:rsid w:val="51CE03B1"/>
    <w:rsid w:val="51CE0770"/>
    <w:rsid w:val="51D31CB1"/>
    <w:rsid w:val="51DA383A"/>
    <w:rsid w:val="51DB6757"/>
    <w:rsid w:val="51DC3F6E"/>
    <w:rsid w:val="51DD35F4"/>
    <w:rsid w:val="51DD6B6C"/>
    <w:rsid w:val="51E02DA4"/>
    <w:rsid w:val="51E0796F"/>
    <w:rsid w:val="51E131E6"/>
    <w:rsid w:val="51E32595"/>
    <w:rsid w:val="51E82F0F"/>
    <w:rsid w:val="51ED669D"/>
    <w:rsid w:val="51F61BB4"/>
    <w:rsid w:val="51F832A1"/>
    <w:rsid w:val="51F9475B"/>
    <w:rsid w:val="51FC0B57"/>
    <w:rsid w:val="51FE2856"/>
    <w:rsid w:val="52004BE5"/>
    <w:rsid w:val="52034D6E"/>
    <w:rsid w:val="520953DC"/>
    <w:rsid w:val="520C36D8"/>
    <w:rsid w:val="520D30BA"/>
    <w:rsid w:val="520F6645"/>
    <w:rsid w:val="521A7F04"/>
    <w:rsid w:val="522027DA"/>
    <w:rsid w:val="522076C0"/>
    <w:rsid w:val="52236DAE"/>
    <w:rsid w:val="52261A70"/>
    <w:rsid w:val="522E0EE4"/>
    <w:rsid w:val="52351480"/>
    <w:rsid w:val="52352DC8"/>
    <w:rsid w:val="52373C3C"/>
    <w:rsid w:val="5238029E"/>
    <w:rsid w:val="52396864"/>
    <w:rsid w:val="523F1FCF"/>
    <w:rsid w:val="52400092"/>
    <w:rsid w:val="52410EB7"/>
    <w:rsid w:val="52474D0E"/>
    <w:rsid w:val="52492B6A"/>
    <w:rsid w:val="524A5B5D"/>
    <w:rsid w:val="524D783E"/>
    <w:rsid w:val="52517655"/>
    <w:rsid w:val="525250DB"/>
    <w:rsid w:val="52554D57"/>
    <w:rsid w:val="52567CD6"/>
    <w:rsid w:val="5257396D"/>
    <w:rsid w:val="525810CC"/>
    <w:rsid w:val="52601552"/>
    <w:rsid w:val="52606F10"/>
    <w:rsid w:val="52623825"/>
    <w:rsid w:val="526D2A1A"/>
    <w:rsid w:val="526D3C86"/>
    <w:rsid w:val="526F3F2C"/>
    <w:rsid w:val="526F4CDA"/>
    <w:rsid w:val="52734439"/>
    <w:rsid w:val="52762433"/>
    <w:rsid w:val="52783C01"/>
    <w:rsid w:val="527C7B66"/>
    <w:rsid w:val="527D1ACD"/>
    <w:rsid w:val="52831D6C"/>
    <w:rsid w:val="52846B80"/>
    <w:rsid w:val="52852EE4"/>
    <w:rsid w:val="52876C2B"/>
    <w:rsid w:val="52890BA5"/>
    <w:rsid w:val="528A4DA9"/>
    <w:rsid w:val="528B0024"/>
    <w:rsid w:val="52944274"/>
    <w:rsid w:val="52964C5C"/>
    <w:rsid w:val="52970F05"/>
    <w:rsid w:val="529758D9"/>
    <w:rsid w:val="529A2CEE"/>
    <w:rsid w:val="529A2FA6"/>
    <w:rsid w:val="529D6DF4"/>
    <w:rsid w:val="52A0090C"/>
    <w:rsid w:val="52A13906"/>
    <w:rsid w:val="52A518FD"/>
    <w:rsid w:val="52AB1B2F"/>
    <w:rsid w:val="52B215A9"/>
    <w:rsid w:val="52B33894"/>
    <w:rsid w:val="52B527E4"/>
    <w:rsid w:val="52B56E49"/>
    <w:rsid w:val="52B634C4"/>
    <w:rsid w:val="52B654CC"/>
    <w:rsid w:val="52B67E6B"/>
    <w:rsid w:val="52B83A6C"/>
    <w:rsid w:val="52BA7069"/>
    <w:rsid w:val="52BC5ED8"/>
    <w:rsid w:val="52BD0120"/>
    <w:rsid w:val="52BE0FB7"/>
    <w:rsid w:val="52BF6CF3"/>
    <w:rsid w:val="52C169A3"/>
    <w:rsid w:val="52CC7C55"/>
    <w:rsid w:val="52CE4C62"/>
    <w:rsid w:val="52CF1E46"/>
    <w:rsid w:val="52D1790D"/>
    <w:rsid w:val="52D81877"/>
    <w:rsid w:val="52D867C5"/>
    <w:rsid w:val="52DC7AF2"/>
    <w:rsid w:val="52DD0374"/>
    <w:rsid w:val="52E102CD"/>
    <w:rsid w:val="52E1285F"/>
    <w:rsid w:val="52E86FE5"/>
    <w:rsid w:val="52E90625"/>
    <w:rsid w:val="52EB4AC2"/>
    <w:rsid w:val="52EE1257"/>
    <w:rsid w:val="52EE2BEB"/>
    <w:rsid w:val="52F43CD9"/>
    <w:rsid w:val="52F564D7"/>
    <w:rsid w:val="52F64831"/>
    <w:rsid w:val="52F8160E"/>
    <w:rsid w:val="52F84F82"/>
    <w:rsid w:val="52FB1527"/>
    <w:rsid w:val="52FF645F"/>
    <w:rsid w:val="53005D5D"/>
    <w:rsid w:val="53057F89"/>
    <w:rsid w:val="53064862"/>
    <w:rsid w:val="5310212E"/>
    <w:rsid w:val="531504C6"/>
    <w:rsid w:val="531B482E"/>
    <w:rsid w:val="531D3A91"/>
    <w:rsid w:val="531D796E"/>
    <w:rsid w:val="531E2E46"/>
    <w:rsid w:val="531F32A3"/>
    <w:rsid w:val="5326442C"/>
    <w:rsid w:val="532C70EA"/>
    <w:rsid w:val="532F5977"/>
    <w:rsid w:val="533032C2"/>
    <w:rsid w:val="53352255"/>
    <w:rsid w:val="533A4B5D"/>
    <w:rsid w:val="533E720B"/>
    <w:rsid w:val="53434D04"/>
    <w:rsid w:val="53453D57"/>
    <w:rsid w:val="53462C15"/>
    <w:rsid w:val="534B1282"/>
    <w:rsid w:val="534B423B"/>
    <w:rsid w:val="534C29ED"/>
    <w:rsid w:val="534D0817"/>
    <w:rsid w:val="5356427E"/>
    <w:rsid w:val="53595C44"/>
    <w:rsid w:val="535B42C8"/>
    <w:rsid w:val="535B5F4F"/>
    <w:rsid w:val="53617171"/>
    <w:rsid w:val="53634065"/>
    <w:rsid w:val="53671D4D"/>
    <w:rsid w:val="53681A53"/>
    <w:rsid w:val="53684E89"/>
    <w:rsid w:val="536861D0"/>
    <w:rsid w:val="53687A36"/>
    <w:rsid w:val="53695A03"/>
    <w:rsid w:val="536A0360"/>
    <w:rsid w:val="536A6C1A"/>
    <w:rsid w:val="536C6069"/>
    <w:rsid w:val="53721E6F"/>
    <w:rsid w:val="5375155B"/>
    <w:rsid w:val="537A62C1"/>
    <w:rsid w:val="537F0545"/>
    <w:rsid w:val="53813642"/>
    <w:rsid w:val="538451A9"/>
    <w:rsid w:val="538600EC"/>
    <w:rsid w:val="53893B46"/>
    <w:rsid w:val="53947F3C"/>
    <w:rsid w:val="53973F49"/>
    <w:rsid w:val="539825B4"/>
    <w:rsid w:val="53996BF7"/>
    <w:rsid w:val="539C3D37"/>
    <w:rsid w:val="539D5EEA"/>
    <w:rsid w:val="539F5902"/>
    <w:rsid w:val="53A22C42"/>
    <w:rsid w:val="53A62194"/>
    <w:rsid w:val="53A8428F"/>
    <w:rsid w:val="53A86FE7"/>
    <w:rsid w:val="53AA513D"/>
    <w:rsid w:val="53AA561F"/>
    <w:rsid w:val="53AA7CDB"/>
    <w:rsid w:val="53AC65F0"/>
    <w:rsid w:val="53AD12EC"/>
    <w:rsid w:val="53AF19DD"/>
    <w:rsid w:val="53B27A4D"/>
    <w:rsid w:val="53B328C2"/>
    <w:rsid w:val="53B51E8A"/>
    <w:rsid w:val="53B66D3C"/>
    <w:rsid w:val="53B85472"/>
    <w:rsid w:val="53B92CBC"/>
    <w:rsid w:val="53C1601B"/>
    <w:rsid w:val="53C76B28"/>
    <w:rsid w:val="53CC26E8"/>
    <w:rsid w:val="53D206E2"/>
    <w:rsid w:val="53D242F8"/>
    <w:rsid w:val="53D94819"/>
    <w:rsid w:val="53DB253C"/>
    <w:rsid w:val="53DC643D"/>
    <w:rsid w:val="53DD6D6C"/>
    <w:rsid w:val="53DF0338"/>
    <w:rsid w:val="53E240BE"/>
    <w:rsid w:val="53E278BB"/>
    <w:rsid w:val="53E54746"/>
    <w:rsid w:val="53E61DB5"/>
    <w:rsid w:val="53EA1618"/>
    <w:rsid w:val="53EB1F1A"/>
    <w:rsid w:val="53EE2580"/>
    <w:rsid w:val="53F2314D"/>
    <w:rsid w:val="53F40A8C"/>
    <w:rsid w:val="53F57DE9"/>
    <w:rsid w:val="53F964E7"/>
    <w:rsid w:val="53FA75EA"/>
    <w:rsid w:val="53FD2760"/>
    <w:rsid w:val="54000B65"/>
    <w:rsid w:val="54017F80"/>
    <w:rsid w:val="5403159B"/>
    <w:rsid w:val="54036101"/>
    <w:rsid w:val="54055078"/>
    <w:rsid w:val="5406560E"/>
    <w:rsid w:val="54075F6D"/>
    <w:rsid w:val="540875DF"/>
    <w:rsid w:val="5409585F"/>
    <w:rsid w:val="540A4E7F"/>
    <w:rsid w:val="54127323"/>
    <w:rsid w:val="54151E4C"/>
    <w:rsid w:val="5418224D"/>
    <w:rsid w:val="54210B70"/>
    <w:rsid w:val="54233F06"/>
    <w:rsid w:val="542364BC"/>
    <w:rsid w:val="54263007"/>
    <w:rsid w:val="54285427"/>
    <w:rsid w:val="542A4DDE"/>
    <w:rsid w:val="542E286C"/>
    <w:rsid w:val="543502DE"/>
    <w:rsid w:val="54350FAA"/>
    <w:rsid w:val="54354E67"/>
    <w:rsid w:val="54372677"/>
    <w:rsid w:val="54384E4E"/>
    <w:rsid w:val="543C11F3"/>
    <w:rsid w:val="544006FB"/>
    <w:rsid w:val="54415A62"/>
    <w:rsid w:val="544179F7"/>
    <w:rsid w:val="54424447"/>
    <w:rsid w:val="54425060"/>
    <w:rsid w:val="54441EFA"/>
    <w:rsid w:val="54443261"/>
    <w:rsid w:val="54463183"/>
    <w:rsid w:val="54465415"/>
    <w:rsid w:val="54481D8B"/>
    <w:rsid w:val="54492104"/>
    <w:rsid w:val="5449329E"/>
    <w:rsid w:val="54496A35"/>
    <w:rsid w:val="544D20D1"/>
    <w:rsid w:val="54531F2F"/>
    <w:rsid w:val="54537E93"/>
    <w:rsid w:val="54541188"/>
    <w:rsid w:val="54544DE6"/>
    <w:rsid w:val="54560870"/>
    <w:rsid w:val="545758E2"/>
    <w:rsid w:val="54611D9C"/>
    <w:rsid w:val="546B2B73"/>
    <w:rsid w:val="54730DB5"/>
    <w:rsid w:val="54753F27"/>
    <w:rsid w:val="54763027"/>
    <w:rsid w:val="54767B5B"/>
    <w:rsid w:val="547D2149"/>
    <w:rsid w:val="547E1D99"/>
    <w:rsid w:val="547E4348"/>
    <w:rsid w:val="54827E0D"/>
    <w:rsid w:val="548318B7"/>
    <w:rsid w:val="548345E6"/>
    <w:rsid w:val="548C0C02"/>
    <w:rsid w:val="548D4287"/>
    <w:rsid w:val="548E5077"/>
    <w:rsid w:val="549306C9"/>
    <w:rsid w:val="54947270"/>
    <w:rsid w:val="549479B0"/>
    <w:rsid w:val="549553A4"/>
    <w:rsid w:val="54985EE3"/>
    <w:rsid w:val="54987231"/>
    <w:rsid w:val="549B325C"/>
    <w:rsid w:val="549E5BB2"/>
    <w:rsid w:val="54A10ACF"/>
    <w:rsid w:val="54A244E4"/>
    <w:rsid w:val="54A26FD6"/>
    <w:rsid w:val="54A337EA"/>
    <w:rsid w:val="54A465C7"/>
    <w:rsid w:val="54A62C4C"/>
    <w:rsid w:val="54A8608C"/>
    <w:rsid w:val="54A90FC9"/>
    <w:rsid w:val="54AB22D2"/>
    <w:rsid w:val="54AF56E2"/>
    <w:rsid w:val="54B14AE8"/>
    <w:rsid w:val="54B17821"/>
    <w:rsid w:val="54B345F7"/>
    <w:rsid w:val="54B43D51"/>
    <w:rsid w:val="54B91307"/>
    <w:rsid w:val="54BA3C66"/>
    <w:rsid w:val="54BC38D2"/>
    <w:rsid w:val="54BC5E2C"/>
    <w:rsid w:val="54C10264"/>
    <w:rsid w:val="54C50DB1"/>
    <w:rsid w:val="54C65619"/>
    <w:rsid w:val="54C73E5D"/>
    <w:rsid w:val="54CB0322"/>
    <w:rsid w:val="54CC4CEA"/>
    <w:rsid w:val="54D21607"/>
    <w:rsid w:val="54D839C3"/>
    <w:rsid w:val="54D96763"/>
    <w:rsid w:val="54DB1756"/>
    <w:rsid w:val="54DE78AF"/>
    <w:rsid w:val="54DF4123"/>
    <w:rsid w:val="54E223E0"/>
    <w:rsid w:val="54E22B3F"/>
    <w:rsid w:val="54E5358F"/>
    <w:rsid w:val="54EB0E9F"/>
    <w:rsid w:val="54EF7AE9"/>
    <w:rsid w:val="54F450ED"/>
    <w:rsid w:val="54FA70F5"/>
    <w:rsid w:val="54FC6930"/>
    <w:rsid w:val="54FF295E"/>
    <w:rsid w:val="55006BB0"/>
    <w:rsid w:val="550107C7"/>
    <w:rsid w:val="550117DA"/>
    <w:rsid w:val="55052FBF"/>
    <w:rsid w:val="550A1F37"/>
    <w:rsid w:val="550F336B"/>
    <w:rsid w:val="551963A9"/>
    <w:rsid w:val="551B6A49"/>
    <w:rsid w:val="551C6554"/>
    <w:rsid w:val="551D3D28"/>
    <w:rsid w:val="551F12FF"/>
    <w:rsid w:val="552204A5"/>
    <w:rsid w:val="5524693B"/>
    <w:rsid w:val="552550C6"/>
    <w:rsid w:val="55266DD9"/>
    <w:rsid w:val="552A5918"/>
    <w:rsid w:val="552D69AE"/>
    <w:rsid w:val="552E2BEC"/>
    <w:rsid w:val="552E705D"/>
    <w:rsid w:val="553050AF"/>
    <w:rsid w:val="55350529"/>
    <w:rsid w:val="55356010"/>
    <w:rsid w:val="553652E5"/>
    <w:rsid w:val="553A0F86"/>
    <w:rsid w:val="553B0D70"/>
    <w:rsid w:val="553B702F"/>
    <w:rsid w:val="554048C8"/>
    <w:rsid w:val="554753E8"/>
    <w:rsid w:val="55487779"/>
    <w:rsid w:val="555128BF"/>
    <w:rsid w:val="555162FE"/>
    <w:rsid w:val="555506DF"/>
    <w:rsid w:val="555702FA"/>
    <w:rsid w:val="555772B8"/>
    <w:rsid w:val="55661961"/>
    <w:rsid w:val="55663B82"/>
    <w:rsid w:val="5567004E"/>
    <w:rsid w:val="556743B3"/>
    <w:rsid w:val="556F1C28"/>
    <w:rsid w:val="5571126A"/>
    <w:rsid w:val="55714523"/>
    <w:rsid w:val="55722F55"/>
    <w:rsid w:val="557449C3"/>
    <w:rsid w:val="55760656"/>
    <w:rsid w:val="55786E35"/>
    <w:rsid w:val="557D5599"/>
    <w:rsid w:val="55826910"/>
    <w:rsid w:val="5582760A"/>
    <w:rsid w:val="558312B4"/>
    <w:rsid w:val="55872823"/>
    <w:rsid w:val="55872DE4"/>
    <w:rsid w:val="558C532E"/>
    <w:rsid w:val="55921CB3"/>
    <w:rsid w:val="55984DCF"/>
    <w:rsid w:val="559A77E1"/>
    <w:rsid w:val="559C7997"/>
    <w:rsid w:val="559F334D"/>
    <w:rsid w:val="559F79A5"/>
    <w:rsid w:val="55A234DE"/>
    <w:rsid w:val="55A5335D"/>
    <w:rsid w:val="55A667C7"/>
    <w:rsid w:val="55AA6823"/>
    <w:rsid w:val="55AB4F99"/>
    <w:rsid w:val="55AB5E43"/>
    <w:rsid w:val="55B01833"/>
    <w:rsid w:val="55B02A97"/>
    <w:rsid w:val="55B62743"/>
    <w:rsid w:val="55BB541E"/>
    <w:rsid w:val="55BD70D2"/>
    <w:rsid w:val="55BE352C"/>
    <w:rsid w:val="55C13C94"/>
    <w:rsid w:val="55C1466E"/>
    <w:rsid w:val="55C409C8"/>
    <w:rsid w:val="55C664E5"/>
    <w:rsid w:val="55C84CFA"/>
    <w:rsid w:val="55CB46BE"/>
    <w:rsid w:val="55CC4D0E"/>
    <w:rsid w:val="55CD3107"/>
    <w:rsid w:val="55D33393"/>
    <w:rsid w:val="55D515D5"/>
    <w:rsid w:val="55D75BAA"/>
    <w:rsid w:val="55DA6E75"/>
    <w:rsid w:val="55DC202E"/>
    <w:rsid w:val="55DC360D"/>
    <w:rsid w:val="55E76AA7"/>
    <w:rsid w:val="55EC0648"/>
    <w:rsid w:val="55ED0B7B"/>
    <w:rsid w:val="55EF47F0"/>
    <w:rsid w:val="55EF749E"/>
    <w:rsid w:val="55F75A7B"/>
    <w:rsid w:val="55F7645E"/>
    <w:rsid w:val="55F81E5A"/>
    <w:rsid w:val="55FA0518"/>
    <w:rsid w:val="55FC7900"/>
    <w:rsid w:val="55FD627C"/>
    <w:rsid w:val="55FD768E"/>
    <w:rsid w:val="55FF6A0F"/>
    <w:rsid w:val="55FF7395"/>
    <w:rsid w:val="56020CC4"/>
    <w:rsid w:val="560531D3"/>
    <w:rsid w:val="56097A1F"/>
    <w:rsid w:val="560E38DB"/>
    <w:rsid w:val="560E6FBA"/>
    <w:rsid w:val="56117141"/>
    <w:rsid w:val="56142876"/>
    <w:rsid w:val="5615718E"/>
    <w:rsid w:val="5619059D"/>
    <w:rsid w:val="561C5B31"/>
    <w:rsid w:val="56210D81"/>
    <w:rsid w:val="5629093B"/>
    <w:rsid w:val="562B16C0"/>
    <w:rsid w:val="562E6634"/>
    <w:rsid w:val="56335A16"/>
    <w:rsid w:val="56337B6F"/>
    <w:rsid w:val="563464CC"/>
    <w:rsid w:val="563B762C"/>
    <w:rsid w:val="563D04D1"/>
    <w:rsid w:val="563E0B4E"/>
    <w:rsid w:val="563F6529"/>
    <w:rsid w:val="56405103"/>
    <w:rsid w:val="56483B35"/>
    <w:rsid w:val="564A5DDC"/>
    <w:rsid w:val="564D47A4"/>
    <w:rsid w:val="564E4E83"/>
    <w:rsid w:val="5650757A"/>
    <w:rsid w:val="5651752E"/>
    <w:rsid w:val="565D20BA"/>
    <w:rsid w:val="56611602"/>
    <w:rsid w:val="56612FCA"/>
    <w:rsid w:val="56640B23"/>
    <w:rsid w:val="56675B1C"/>
    <w:rsid w:val="56691160"/>
    <w:rsid w:val="56732A75"/>
    <w:rsid w:val="56755289"/>
    <w:rsid w:val="56773621"/>
    <w:rsid w:val="567E3781"/>
    <w:rsid w:val="56816863"/>
    <w:rsid w:val="56877AA3"/>
    <w:rsid w:val="568C3A16"/>
    <w:rsid w:val="568F4F72"/>
    <w:rsid w:val="568F62C4"/>
    <w:rsid w:val="569520F1"/>
    <w:rsid w:val="5695323D"/>
    <w:rsid w:val="56973C24"/>
    <w:rsid w:val="569A19F1"/>
    <w:rsid w:val="569E4069"/>
    <w:rsid w:val="56A1250C"/>
    <w:rsid w:val="56A57BEC"/>
    <w:rsid w:val="56A605CE"/>
    <w:rsid w:val="56A82FD1"/>
    <w:rsid w:val="56A95052"/>
    <w:rsid w:val="56AE45A8"/>
    <w:rsid w:val="56B3288A"/>
    <w:rsid w:val="56B37CFD"/>
    <w:rsid w:val="56B51F28"/>
    <w:rsid w:val="56B732F8"/>
    <w:rsid w:val="56B81440"/>
    <w:rsid w:val="56BA277A"/>
    <w:rsid w:val="56BC2805"/>
    <w:rsid w:val="56BD38DC"/>
    <w:rsid w:val="56C736E7"/>
    <w:rsid w:val="56C93C1C"/>
    <w:rsid w:val="56D057FF"/>
    <w:rsid w:val="56D70AE0"/>
    <w:rsid w:val="56D73E64"/>
    <w:rsid w:val="56D81C87"/>
    <w:rsid w:val="56D91D25"/>
    <w:rsid w:val="56D93696"/>
    <w:rsid w:val="56DA3BBC"/>
    <w:rsid w:val="56E44D13"/>
    <w:rsid w:val="56EE0481"/>
    <w:rsid w:val="56EE17AC"/>
    <w:rsid w:val="56F327E9"/>
    <w:rsid w:val="56F73463"/>
    <w:rsid w:val="56F832EB"/>
    <w:rsid w:val="56FA63D7"/>
    <w:rsid w:val="56FB3A63"/>
    <w:rsid w:val="56FB65F8"/>
    <w:rsid w:val="56FC0A82"/>
    <w:rsid w:val="56FC3AAE"/>
    <w:rsid w:val="570B0372"/>
    <w:rsid w:val="57156B20"/>
    <w:rsid w:val="57176362"/>
    <w:rsid w:val="57190BB5"/>
    <w:rsid w:val="571A0FA8"/>
    <w:rsid w:val="571E0D1B"/>
    <w:rsid w:val="57200EDA"/>
    <w:rsid w:val="57205806"/>
    <w:rsid w:val="57221631"/>
    <w:rsid w:val="57235F56"/>
    <w:rsid w:val="572521AA"/>
    <w:rsid w:val="57255C9A"/>
    <w:rsid w:val="57287795"/>
    <w:rsid w:val="572B180F"/>
    <w:rsid w:val="572C1588"/>
    <w:rsid w:val="572E79DC"/>
    <w:rsid w:val="57314081"/>
    <w:rsid w:val="57390135"/>
    <w:rsid w:val="573B0BA6"/>
    <w:rsid w:val="573F210B"/>
    <w:rsid w:val="574468DA"/>
    <w:rsid w:val="57467F1F"/>
    <w:rsid w:val="5748311A"/>
    <w:rsid w:val="57495A60"/>
    <w:rsid w:val="574A45A3"/>
    <w:rsid w:val="574E285C"/>
    <w:rsid w:val="574E2FD8"/>
    <w:rsid w:val="575409C1"/>
    <w:rsid w:val="5757657E"/>
    <w:rsid w:val="57595901"/>
    <w:rsid w:val="575B09E7"/>
    <w:rsid w:val="575C314C"/>
    <w:rsid w:val="575C585E"/>
    <w:rsid w:val="575D2A54"/>
    <w:rsid w:val="575E16D7"/>
    <w:rsid w:val="575F7860"/>
    <w:rsid w:val="576325BD"/>
    <w:rsid w:val="576623DC"/>
    <w:rsid w:val="57663802"/>
    <w:rsid w:val="57664A3C"/>
    <w:rsid w:val="576B78A0"/>
    <w:rsid w:val="576E366A"/>
    <w:rsid w:val="57711458"/>
    <w:rsid w:val="57714C8A"/>
    <w:rsid w:val="57733DD4"/>
    <w:rsid w:val="57744B0C"/>
    <w:rsid w:val="57750C92"/>
    <w:rsid w:val="577606EB"/>
    <w:rsid w:val="57783D38"/>
    <w:rsid w:val="5779219F"/>
    <w:rsid w:val="577C0C96"/>
    <w:rsid w:val="577F4DB2"/>
    <w:rsid w:val="57800C99"/>
    <w:rsid w:val="5780474C"/>
    <w:rsid w:val="5780632F"/>
    <w:rsid w:val="57817B5A"/>
    <w:rsid w:val="57841D3E"/>
    <w:rsid w:val="578424D5"/>
    <w:rsid w:val="57867E5B"/>
    <w:rsid w:val="5788674E"/>
    <w:rsid w:val="57887311"/>
    <w:rsid w:val="578C51C1"/>
    <w:rsid w:val="578D5350"/>
    <w:rsid w:val="578F3583"/>
    <w:rsid w:val="57901B66"/>
    <w:rsid w:val="57953211"/>
    <w:rsid w:val="57964788"/>
    <w:rsid w:val="57A3208F"/>
    <w:rsid w:val="57AB5390"/>
    <w:rsid w:val="57AB758E"/>
    <w:rsid w:val="57B009B7"/>
    <w:rsid w:val="57B02012"/>
    <w:rsid w:val="57B26C1D"/>
    <w:rsid w:val="57B81EC4"/>
    <w:rsid w:val="57B90885"/>
    <w:rsid w:val="57B90E41"/>
    <w:rsid w:val="57BD5D29"/>
    <w:rsid w:val="57BD7402"/>
    <w:rsid w:val="57C15AFA"/>
    <w:rsid w:val="57C31215"/>
    <w:rsid w:val="57C3721D"/>
    <w:rsid w:val="57C4618F"/>
    <w:rsid w:val="57C6256E"/>
    <w:rsid w:val="57C72AEA"/>
    <w:rsid w:val="57CB443E"/>
    <w:rsid w:val="57CD42F3"/>
    <w:rsid w:val="57CE3CBB"/>
    <w:rsid w:val="57D348A0"/>
    <w:rsid w:val="57D8624A"/>
    <w:rsid w:val="57DA7D91"/>
    <w:rsid w:val="57DC155E"/>
    <w:rsid w:val="57DC4DC6"/>
    <w:rsid w:val="57DE6EA5"/>
    <w:rsid w:val="57EB6A70"/>
    <w:rsid w:val="57ED0321"/>
    <w:rsid w:val="57EE345F"/>
    <w:rsid w:val="57F7387F"/>
    <w:rsid w:val="57F94FAC"/>
    <w:rsid w:val="57F9608B"/>
    <w:rsid w:val="57FD0003"/>
    <w:rsid w:val="580711AB"/>
    <w:rsid w:val="58084D2D"/>
    <w:rsid w:val="580D26AE"/>
    <w:rsid w:val="58105AA1"/>
    <w:rsid w:val="58166DA9"/>
    <w:rsid w:val="58175B81"/>
    <w:rsid w:val="58196A4C"/>
    <w:rsid w:val="581B0195"/>
    <w:rsid w:val="581D51C5"/>
    <w:rsid w:val="582212EB"/>
    <w:rsid w:val="58224BD0"/>
    <w:rsid w:val="58287CCF"/>
    <w:rsid w:val="582A43FB"/>
    <w:rsid w:val="582B1A0E"/>
    <w:rsid w:val="582B41C2"/>
    <w:rsid w:val="58326678"/>
    <w:rsid w:val="58397C43"/>
    <w:rsid w:val="583B4296"/>
    <w:rsid w:val="583C2FB6"/>
    <w:rsid w:val="583C5431"/>
    <w:rsid w:val="583F7F59"/>
    <w:rsid w:val="584048BD"/>
    <w:rsid w:val="58455956"/>
    <w:rsid w:val="58462B1B"/>
    <w:rsid w:val="5847099E"/>
    <w:rsid w:val="58496FDD"/>
    <w:rsid w:val="584A2244"/>
    <w:rsid w:val="584A77A8"/>
    <w:rsid w:val="584C2D93"/>
    <w:rsid w:val="584D1E86"/>
    <w:rsid w:val="584F0483"/>
    <w:rsid w:val="585011E8"/>
    <w:rsid w:val="58512DD2"/>
    <w:rsid w:val="586003F6"/>
    <w:rsid w:val="5861505D"/>
    <w:rsid w:val="58636079"/>
    <w:rsid w:val="58683EB7"/>
    <w:rsid w:val="586B7C72"/>
    <w:rsid w:val="586F0D9D"/>
    <w:rsid w:val="5874620E"/>
    <w:rsid w:val="58777E0C"/>
    <w:rsid w:val="58785D56"/>
    <w:rsid w:val="587A4A04"/>
    <w:rsid w:val="587B0092"/>
    <w:rsid w:val="587C076B"/>
    <w:rsid w:val="58812FF4"/>
    <w:rsid w:val="58816917"/>
    <w:rsid w:val="58832FBF"/>
    <w:rsid w:val="5884000A"/>
    <w:rsid w:val="58847BE4"/>
    <w:rsid w:val="588D3821"/>
    <w:rsid w:val="588D41E6"/>
    <w:rsid w:val="588E0252"/>
    <w:rsid w:val="58906316"/>
    <w:rsid w:val="58927559"/>
    <w:rsid w:val="58934D78"/>
    <w:rsid w:val="58995C25"/>
    <w:rsid w:val="589A382F"/>
    <w:rsid w:val="589E3FF7"/>
    <w:rsid w:val="58A05E5D"/>
    <w:rsid w:val="58A20771"/>
    <w:rsid w:val="58A2604D"/>
    <w:rsid w:val="58A43B60"/>
    <w:rsid w:val="58A5486D"/>
    <w:rsid w:val="58B05947"/>
    <w:rsid w:val="58BA2917"/>
    <w:rsid w:val="58BA5855"/>
    <w:rsid w:val="58BB60BE"/>
    <w:rsid w:val="58BC054D"/>
    <w:rsid w:val="58BC4946"/>
    <w:rsid w:val="58C27946"/>
    <w:rsid w:val="58C44649"/>
    <w:rsid w:val="58C4582A"/>
    <w:rsid w:val="58C764FD"/>
    <w:rsid w:val="58C90042"/>
    <w:rsid w:val="58C91F53"/>
    <w:rsid w:val="58CC2379"/>
    <w:rsid w:val="58CE31E4"/>
    <w:rsid w:val="58CE5527"/>
    <w:rsid w:val="58D161B5"/>
    <w:rsid w:val="58D35030"/>
    <w:rsid w:val="58D36451"/>
    <w:rsid w:val="58DD66EA"/>
    <w:rsid w:val="58E12BB2"/>
    <w:rsid w:val="58E15239"/>
    <w:rsid w:val="58E2396B"/>
    <w:rsid w:val="58E52F6D"/>
    <w:rsid w:val="58ED1739"/>
    <w:rsid w:val="58EE6726"/>
    <w:rsid w:val="58EE74E9"/>
    <w:rsid w:val="58EF1CB2"/>
    <w:rsid w:val="58EF5C84"/>
    <w:rsid w:val="58FF3D44"/>
    <w:rsid w:val="59062293"/>
    <w:rsid w:val="59077B4E"/>
    <w:rsid w:val="590872AD"/>
    <w:rsid w:val="590D2E2F"/>
    <w:rsid w:val="590E3478"/>
    <w:rsid w:val="590F0DB3"/>
    <w:rsid w:val="59184A84"/>
    <w:rsid w:val="591B005C"/>
    <w:rsid w:val="592055D7"/>
    <w:rsid w:val="59225965"/>
    <w:rsid w:val="59260A3A"/>
    <w:rsid w:val="592A1700"/>
    <w:rsid w:val="592C5AE4"/>
    <w:rsid w:val="592F1CFF"/>
    <w:rsid w:val="59306DE5"/>
    <w:rsid w:val="593915B6"/>
    <w:rsid w:val="593B1739"/>
    <w:rsid w:val="593E144C"/>
    <w:rsid w:val="59401020"/>
    <w:rsid w:val="59452BAC"/>
    <w:rsid w:val="59483339"/>
    <w:rsid w:val="59494F8C"/>
    <w:rsid w:val="594C035E"/>
    <w:rsid w:val="59514557"/>
    <w:rsid w:val="59524614"/>
    <w:rsid w:val="59546A2C"/>
    <w:rsid w:val="59547850"/>
    <w:rsid w:val="59556629"/>
    <w:rsid w:val="5956007A"/>
    <w:rsid w:val="59561A8E"/>
    <w:rsid w:val="5958050D"/>
    <w:rsid w:val="595B0297"/>
    <w:rsid w:val="595F1CB3"/>
    <w:rsid w:val="5964717E"/>
    <w:rsid w:val="596777EB"/>
    <w:rsid w:val="596C3633"/>
    <w:rsid w:val="596D3C52"/>
    <w:rsid w:val="59737350"/>
    <w:rsid w:val="5977499D"/>
    <w:rsid w:val="597B4F29"/>
    <w:rsid w:val="597D1601"/>
    <w:rsid w:val="597D3DFC"/>
    <w:rsid w:val="597F680F"/>
    <w:rsid w:val="59803047"/>
    <w:rsid w:val="59812D88"/>
    <w:rsid w:val="59842158"/>
    <w:rsid w:val="59846709"/>
    <w:rsid w:val="59865337"/>
    <w:rsid w:val="598841A8"/>
    <w:rsid w:val="5989469D"/>
    <w:rsid w:val="598C48F8"/>
    <w:rsid w:val="599107D3"/>
    <w:rsid w:val="59923355"/>
    <w:rsid w:val="59947BC6"/>
    <w:rsid w:val="59990990"/>
    <w:rsid w:val="59A055E4"/>
    <w:rsid w:val="59A10909"/>
    <w:rsid w:val="59A24DCD"/>
    <w:rsid w:val="59A3016F"/>
    <w:rsid w:val="59AA2DB7"/>
    <w:rsid w:val="59AA5459"/>
    <w:rsid w:val="59AB28C9"/>
    <w:rsid w:val="59AC2599"/>
    <w:rsid w:val="59AF1BB8"/>
    <w:rsid w:val="59B613E9"/>
    <w:rsid w:val="59BB0FC6"/>
    <w:rsid w:val="59BD4777"/>
    <w:rsid w:val="59C05B65"/>
    <w:rsid w:val="59C10436"/>
    <w:rsid w:val="59C12B30"/>
    <w:rsid w:val="59C16708"/>
    <w:rsid w:val="59C33A42"/>
    <w:rsid w:val="59C515F9"/>
    <w:rsid w:val="59CB28D7"/>
    <w:rsid w:val="59D44B62"/>
    <w:rsid w:val="59D660EB"/>
    <w:rsid w:val="59D74F5A"/>
    <w:rsid w:val="59DA4BE6"/>
    <w:rsid w:val="59EB6822"/>
    <w:rsid w:val="59ED4681"/>
    <w:rsid w:val="59EE0803"/>
    <w:rsid w:val="59F05462"/>
    <w:rsid w:val="59F23DA6"/>
    <w:rsid w:val="59F3139B"/>
    <w:rsid w:val="59F51C26"/>
    <w:rsid w:val="59F6464C"/>
    <w:rsid w:val="59FB736E"/>
    <w:rsid w:val="59FC6A5E"/>
    <w:rsid w:val="59FE6662"/>
    <w:rsid w:val="59FF04DF"/>
    <w:rsid w:val="5A004FCD"/>
    <w:rsid w:val="5A007EF4"/>
    <w:rsid w:val="5A026634"/>
    <w:rsid w:val="5A0530AB"/>
    <w:rsid w:val="5A091EAB"/>
    <w:rsid w:val="5A11310E"/>
    <w:rsid w:val="5A1A67F3"/>
    <w:rsid w:val="5A1B5597"/>
    <w:rsid w:val="5A1C2566"/>
    <w:rsid w:val="5A1E117D"/>
    <w:rsid w:val="5A1F1EA5"/>
    <w:rsid w:val="5A2119D2"/>
    <w:rsid w:val="5A242CC8"/>
    <w:rsid w:val="5A281D05"/>
    <w:rsid w:val="5A29273B"/>
    <w:rsid w:val="5A292E36"/>
    <w:rsid w:val="5A2B5116"/>
    <w:rsid w:val="5A2C0CA5"/>
    <w:rsid w:val="5A2C1BFA"/>
    <w:rsid w:val="5A2D2B6D"/>
    <w:rsid w:val="5A303DF2"/>
    <w:rsid w:val="5A340620"/>
    <w:rsid w:val="5A38666C"/>
    <w:rsid w:val="5A3C62F6"/>
    <w:rsid w:val="5A3D287A"/>
    <w:rsid w:val="5A486FF8"/>
    <w:rsid w:val="5A490624"/>
    <w:rsid w:val="5A4D33C0"/>
    <w:rsid w:val="5A4E1857"/>
    <w:rsid w:val="5A5202CE"/>
    <w:rsid w:val="5A585409"/>
    <w:rsid w:val="5A5A33E1"/>
    <w:rsid w:val="5A5F2A6E"/>
    <w:rsid w:val="5A621C3A"/>
    <w:rsid w:val="5A633FC1"/>
    <w:rsid w:val="5A645B3E"/>
    <w:rsid w:val="5A651639"/>
    <w:rsid w:val="5A6A25B9"/>
    <w:rsid w:val="5A6C19F4"/>
    <w:rsid w:val="5A711122"/>
    <w:rsid w:val="5A7F60AF"/>
    <w:rsid w:val="5A7F7FB1"/>
    <w:rsid w:val="5A805FBF"/>
    <w:rsid w:val="5A807C35"/>
    <w:rsid w:val="5A85444C"/>
    <w:rsid w:val="5A857E9D"/>
    <w:rsid w:val="5A87420F"/>
    <w:rsid w:val="5A876124"/>
    <w:rsid w:val="5A8957D7"/>
    <w:rsid w:val="5A8A673C"/>
    <w:rsid w:val="5A8C71A2"/>
    <w:rsid w:val="5A9060CD"/>
    <w:rsid w:val="5A9178AF"/>
    <w:rsid w:val="5A925EAB"/>
    <w:rsid w:val="5A927EDE"/>
    <w:rsid w:val="5A933660"/>
    <w:rsid w:val="5A9418D4"/>
    <w:rsid w:val="5A947530"/>
    <w:rsid w:val="5A9518A2"/>
    <w:rsid w:val="5A953EAF"/>
    <w:rsid w:val="5A96270E"/>
    <w:rsid w:val="5A964EB3"/>
    <w:rsid w:val="5A982D90"/>
    <w:rsid w:val="5A99112F"/>
    <w:rsid w:val="5A99734A"/>
    <w:rsid w:val="5A9A120F"/>
    <w:rsid w:val="5A9B40BE"/>
    <w:rsid w:val="5A9C25FD"/>
    <w:rsid w:val="5A9D4D6B"/>
    <w:rsid w:val="5A9E5F50"/>
    <w:rsid w:val="5AA20102"/>
    <w:rsid w:val="5AA41629"/>
    <w:rsid w:val="5AA871B5"/>
    <w:rsid w:val="5AAA30B1"/>
    <w:rsid w:val="5AAE0B4C"/>
    <w:rsid w:val="5AB14B31"/>
    <w:rsid w:val="5AB1534D"/>
    <w:rsid w:val="5AB226D9"/>
    <w:rsid w:val="5AB4745C"/>
    <w:rsid w:val="5ABB2216"/>
    <w:rsid w:val="5ABF1B9D"/>
    <w:rsid w:val="5ABF24EF"/>
    <w:rsid w:val="5ABF36C2"/>
    <w:rsid w:val="5AC1235A"/>
    <w:rsid w:val="5AC227D5"/>
    <w:rsid w:val="5AC671D5"/>
    <w:rsid w:val="5AC71021"/>
    <w:rsid w:val="5ACC40A9"/>
    <w:rsid w:val="5ACD032E"/>
    <w:rsid w:val="5AD64F8D"/>
    <w:rsid w:val="5ADB32D2"/>
    <w:rsid w:val="5AE82187"/>
    <w:rsid w:val="5AED6AE7"/>
    <w:rsid w:val="5AEF7616"/>
    <w:rsid w:val="5AF327C8"/>
    <w:rsid w:val="5AF806B8"/>
    <w:rsid w:val="5AF8443F"/>
    <w:rsid w:val="5AFB388F"/>
    <w:rsid w:val="5B0331F3"/>
    <w:rsid w:val="5B0540C3"/>
    <w:rsid w:val="5B092DA3"/>
    <w:rsid w:val="5B0B36B1"/>
    <w:rsid w:val="5B0C3209"/>
    <w:rsid w:val="5B0D2A2F"/>
    <w:rsid w:val="5B102452"/>
    <w:rsid w:val="5B1460B0"/>
    <w:rsid w:val="5B15029D"/>
    <w:rsid w:val="5B16424A"/>
    <w:rsid w:val="5B1951D7"/>
    <w:rsid w:val="5B26519D"/>
    <w:rsid w:val="5B281FE6"/>
    <w:rsid w:val="5B290615"/>
    <w:rsid w:val="5B2C3065"/>
    <w:rsid w:val="5B2F3E8D"/>
    <w:rsid w:val="5B331B8C"/>
    <w:rsid w:val="5B420DD6"/>
    <w:rsid w:val="5B430432"/>
    <w:rsid w:val="5B430BA1"/>
    <w:rsid w:val="5B435827"/>
    <w:rsid w:val="5B437E0F"/>
    <w:rsid w:val="5B455CE3"/>
    <w:rsid w:val="5B457B75"/>
    <w:rsid w:val="5B471B40"/>
    <w:rsid w:val="5B4C4168"/>
    <w:rsid w:val="5B504975"/>
    <w:rsid w:val="5B5500EC"/>
    <w:rsid w:val="5B5768FC"/>
    <w:rsid w:val="5B5F2776"/>
    <w:rsid w:val="5B644D73"/>
    <w:rsid w:val="5B6525A5"/>
    <w:rsid w:val="5B6574FE"/>
    <w:rsid w:val="5B69057A"/>
    <w:rsid w:val="5B6A6B83"/>
    <w:rsid w:val="5B6D2CA9"/>
    <w:rsid w:val="5B755F68"/>
    <w:rsid w:val="5B7629AA"/>
    <w:rsid w:val="5B7A1352"/>
    <w:rsid w:val="5B803A1D"/>
    <w:rsid w:val="5B805A3F"/>
    <w:rsid w:val="5B830E58"/>
    <w:rsid w:val="5B835C01"/>
    <w:rsid w:val="5B87200B"/>
    <w:rsid w:val="5B8E665F"/>
    <w:rsid w:val="5B8F288E"/>
    <w:rsid w:val="5B904802"/>
    <w:rsid w:val="5B961BCB"/>
    <w:rsid w:val="5B966705"/>
    <w:rsid w:val="5B9741DD"/>
    <w:rsid w:val="5B9C3856"/>
    <w:rsid w:val="5B9C646C"/>
    <w:rsid w:val="5B9E34BB"/>
    <w:rsid w:val="5BA502EF"/>
    <w:rsid w:val="5BA52230"/>
    <w:rsid w:val="5BA823CB"/>
    <w:rsid w:val="5BAC55C0"/>
    <w:rsid w:val="5BAD06D1"/>
    <w:rsid w:val="5BAD32EE"/>
    <w:rsid w:val="5BAD4933"/>
    <w:rsid w:val="5BB45248"/>
    <w:rsid w:val="5BB7749F"/>
    <w:rsid w:val="5BBA10D5"/>
    <w:rsid w:val="5BBB34FA"/>
    <w:rsid w:val="5BBB5A00"/>
    <w:rsid w:val="5BC519FF"/>
    <w:rsid w:val="5BC7759D"/>
    <w:rsid w:val="5BD11B74"/>
    <w:rsid w:val="5BD303D6"/>
    <w:rsid w:val="5BD418DC"/>
    <w:rsid w:val="5BD44468"/>
    <w:rsid w:val="5BD90AB0"/>
    <w:rsid w:val="5BDC60C5"/>
    <w:rsid w:val="5BDD7D52"/>
    <w:rsid w:val="5BE05150"/>
    <w:rsid w:val="5BE21CA2"/>
    <w:rsid w:val="5BE24981"/>
    <w:rsid w:val="5BE2513A"/>
    <w:rsid w:val="5BE43213"/>
    <w:rsid w:val="5BE43B6B"/>
    <w:rsid w:val="5BE727BD"/>
    <w:rsid w:val="5BE9422D"/>
    <w:rsid w:val="5BEE29F4"/>
    <w:rsid w:val="5BF13FDB"/>
    <w:rsid w:val="5BF26181"/>
    <w:rsid w:val="5BF436CB"/>
    <w:rsid w:val="5BF65A07"/>
    <w:rsid w:val="5BF74EE7"/>
    <w:rsid w:val="5BF82BEA"/>
    <w:rsid w:val="5C003538"/>
    <w:rsid w:val="5C036C19"/>
    <w:rsid w:val="5C0B5E90"/>
    <w:rsid w:val="5C0C4CEC"/>
    <w:rsid w:val="5C0D66D1"/>
    <w:rsid w:val="5C0D7BF1"/>
    <w:rsid w:val="5C126772"/>
    <w:rsid w:val="5C126A40"/>
    <w:rsid w:val="5C143F7C"/>
    <w:rsid w:val="5C1721EE"/>
    <w:rsid w:val="5C180129"/>
    <w:rsid w:val="5C187E3C"/>
    <w:rsid w:val="5C194080"/>
    <w:rsid w:val="5C1D0FA7"/>
    <w:rsid w:val="5C235B6B"/>
    <w:rsid w:val="5C285292"/>
    <w:rsid w:val="5C2D0AB8"/>
    <w:rsid w:val="5C2E424B"/>
    <w:rsid w:val="5C313CA1"/>
    <w:rsid w:val="5C315BB9"/>
    <w:rsid w:val="5C331C12"/>
    <w:rsid w:val="5C3C7909"/>
    <w:rsid w:val="5C3F55C9"/>
    <w:rsid w:val="5C4028A3"/>
    <w:rsid w:val="5C4344B2"/>
    <w:rsid w:val="5C454D7D"/>
    <w:rsid w:val="5C4C1B4F"/>
    <w:rsid w:val="5C4D36FF"/>
    <w:rsid w:val="5C4E6B73"/>
    <w:rsid w:val="5C545DBF"/>
    <w:rsid w:val="5C562AC6"/>
    <w:rsid w:val="5C575F69"/>
    <w:rsid w:val="5C5935E2"/>
    <w:rsid w:val="5C5E546E"/>
    <w:rsid w:val="5C5F2312"/>
    <w:rsid w:val="5C6546CC"/>
    <w:rsid w:val="5C68170B"/>
    <w:rsid w:val="5C722AAC"/>
    <w:rsid w:val="5C74190C"/>
    <w:rsid w:val="5C76114C"/>
    <w:rsid w:val="5C7622B3"/>
    <w:rsid w:val="5C77653A"/>
    <w:rsid w:val="5C7A1987"/>
    <w:rsid w:val="5C7F4164"/>
    <w:rsid w:val="5C8173E6"/>
    <w:rsid w:val="5C81776A"/>
    <w:rsid w:val="5C8B49D4"/>
    <w:rsid w:val="5C8F6835"/>
    <w:rsid w:val="5C90763B"/>
    <w:rsid w:val="5C91292D"/>
    <w:rsid w:val="5C9411E3"/>
    <w:rsid w:val="5C9C5E80"/>
    <w:rsid w:val="5C9E5022"/>
    <w:rsid w:val="5CA45521"/>
    <w:rsid w:val="5CA55355"/>
    <w:rsid w:val="5CA65790"/>
    <w:rsid w:val="5CA80606"/>
    <w:rsid w:val="5CA86577"/>
    <w:rsid w:val="5CA95531"/>
    <w:rsid w:val="5CAB1B28"/>
    <w:rsid w:val="5CAD0811"/>
    <w:rsid w:val="5CAE0CAA"/>
    <w:rsid w:val="5CAE2CB5"/>
    <w:rsid w:val="5CB15319"/>
    <w:rsid w:val="5CB45D2B"/>
    <w:rsid w:val="5CB46D4B"/>
    <w:rsid w:val="5CB75715"/>
    <w:rsid w:val="5CB92A01"/>
    <w:rsid w:val="5CB9746C"/>
    <w:rsid w:val="5CBA67B2"/>
    <w:rsid w:val="5CBA6D0C"/>
    <w:rsid w:val="5CBB57DB"/>
    <w:rsid w:val="5CBB75B4"/>
    <w:rsid w:val="5CBD0835"/>
    <w:rsid w:val="5CC32044"/>
    <w:rsid w:val="5CC446A6"/>
    <w:rsid w:val="5CC47490"/>
    <w:rsid w:val="5CC50669"/>
    <w:rsid w:val="5CC654C6"/>
    <w:rsid w:val="5CC724FE"/>
    <w:rsid w:val="5CC7419D"/>
    <w:rsid w:val="5CCC0B42"/>
    <w:rsid w:val="5CCC2FE9"/>
    <w:rsid w:val="5CD06528"/>
    <w:rsid w:val="5CD11DEF"/>
    <w:rsid w:val="5CD201A5"/>
    <w:rsid w:val="5CD6003C"/>
    <w:rsid w:val="5CDD0632"/>
    <w:rsid w:val="5CDD13DD"/>
    <w:rsid w:val="5CDD6504"/>
    <w:rsid w:val="5CE020D1"/>
    <w:rsid w:val="5CE145C1"/>
    <w:rsid w:val="5CEA5F86"/>
    <w:rsid w:val="5CEB5536"/>
    <w:rsid w:val="5CF06CD7"/>
    <w:rsid w:val="5CF11B57"/>
    <w:rsid w:val="5CF277EF"/>
    <w:rsid w:val="5CF32C59"/>
    <w:rsid w:val="5CF337F6"/>
    <w:rsid w:val="5CF47A44"/>
    <w:rsid w:val="5CFA1642"/>
    <w:rsid w:val="5D063664"/>
    <w:rsid w:val="5D066046"/>
    <w:rsid w:val="5D0740AE"/>
    <w:rsid w:val="5D0B1E57"/>
    <w:rsid w:val="5D0C56BF"/>
    <w:rsid w:val="5D124043"/>
    <w:rsid w:val="5D1C596E"/>
    <w:rsid w:val="5D226B1E"/>
    <w:rsid w:val="5D227E4B"/>
    <w:rsid w:val="5D260ABB"/>
    <w:rsid w:val="5D2949D8"/>
    <w:rsid w:val="5D295C8B"/>
    <w:rsid w:val="5D2B1407"/>
    <w:rsid w:val="5D2D063F"/>
    <w:rsid w:val="5D334FA2"/>
    <w:rsid w:val="5D33700B"/>
    <w:rsid w:val="5D3A0282"/>
    <w:rsid w:val="5D3E2B7B"/>
    <w:rsid w:val="5D40093D"/>
    <w:rsid w:val="5D413894"/>
    <w:rsid w:val="5D49750C"/>
    <w:rsid w:val="5D4F421B"/>
    <w:rsid w:val="5D4F5DB8"/>
    <w:rsid w:val="5D52420C"/>
    <w:rsid w:val="5D555A99"/>
    <w:rsid w:val="5D565B01"/>
    <w:rsid w:val="5D5B58EF"/>
    <w:rsid w:val="5D5C762A"/>
    <w:rsid w:val="5D5D4A25"/>
    <w:rsid w:val="5D610E96"/>
    <w:rsid w:val="5D6424D4"/>
    <w:rsid w:val="5D667321"/>
    <w:rsid w:val="5D682035"/>
    <w:rsid w:val="5D69355E"/>
    <w:rsid w:val="5D6A1D19"/>
    <w:rsid w:val="5D6B2012"/>
    <w:rsid w:val="5D6E11F9"/>
    <w:rsid w:val="5D751F0E"/>
    <w:rsid w:val="5D76518A"/>
    <w:rsid w:val="5D7C2B5D"/>
    <w:rsid w:val="5D7F320D"/>
    <w:rsid w:val="5D8D7E63"/>
    <w:rsid w:val="5D8E301D"/>
    <w:rsid w:val="5D90172B"/>
    <w:rsid w:val="5D910B20"/>
    <w:rsid w:val="5D920641"/>
    <w:rsid w:val="5D931166"/>
    <w:rsid w:val="5D9367DE"/>
    <w:rsid w:val="5D9417B2"/>
    <w:rsid w:val="5D962CFB"/>
    <w:rsid w:val="5D981210"/>
    <w:rsid w:val="5D9A34A3"/>
    <w:rsid w:val="5D9E3C39"/>
    <w:rsid w:val="5DA0013A"/>
    <w:rsid w:val="5DA67A89"/>
    <w:rsid w:val="5DA968A7"/>
    <w:rsid w:val="5DAA1637"/>
    <w:rsid w:val="5DAA7C73"/>
    <w:rsid w:val="5DAB1E8C"/>
    <w:rsid w:val="5DAC0BD8"/>
    <w:rsid w:val="5DAD7059"/>
    <w:rsid w:val="5DAF080C"/>
    <w:rsid w:val="5DB25D8E"/>
    <w:rsid w:val="5DB74BA1"/>
    <w:rsid w:val="5DB82C65"/>
    <w:rsid w:val="5DBE20ED"/>
    <w:rsid w:val="5DBF45EE"/>
    <w:rsid w:val="5DBF661C"/>
    <w:rsid w:val="5DC05C42"/>
    <w:rsid w:val="5DC17AE5"/>
    <w:rsid w:val="5DC641BE"/>
    <w:rsid w:val="5DD11330"/>
    <w:rsid w:val="5DD1558A"/>
    <w:rsid w:val="5DD16245"/>
    <w:rsid w:val="5DD3347E"/>
    <w:rsid w:val="5DD74547"/>
    <w:rsid w:val="5DDB41F0"/>
    <w:rsid w:val="5DDB4AE6"/>
    <w:rsid w:val="5DDF1552"/>
    <w:rsid w:val="5DE00818"/>
    <w:rsid w:val="5DE61760"/>
    <w:rsid w:val="5DE64AC4"/>
    <w:rsid w:val="5DE73A8D"/>
    <w:rsid w:val="5DE84C69"/>
    <w:rsid w:val="5DE93680"/>
    <w:rsid w:val="5DE974C4"/>
    <w:rsid w:val="5DEA6730"/>
    <w:rsid w:val="5DEC2EC4"/>
    <w:rsid w:val="5DEE1717"/>
    <w:rsid w:val="5DEE3272"/>
    <w:rsid w:val="5DF376A7"/>
    <w:rsid w:val="5DF44F79"/>
    <w:rsid w:val="5DF75B22"/>
    <w:rsid w:val="5DF80419"/>
    <w:rsid w:val="5DF91211"/>
    <w:rsid w:val="5DF971B7"/>
    <w:rsid w:val="5DFF1243"/>
    <w:rsid w:val="5E026745"/>
    <w:rsid w:val="5E073C36"/>
    <w:rsid w:val="5E093764"/>
    <w:rsid w:val="5E094D74"/>
    <w:rsid w:val="5E1015D9"/>
    <w:rsid w:val="5E1C6D99"/>
    <w:rsid w:val="5E234612"/>
    <w:rsid w:val="5E28327D"/>
    <w:rsid w:val="5E310F8F"/>
    <w:rsid w:val="5E320F2D"/>
    <w:rsid w:val="5E32375C"/>
    <w:rsid w:val="5E3317D3"/>
    <w:rsid w:val="5E363B3B"/>
    <w:rsid w:val="5E36582D"/>
    <w:rsid w:val="5E38004D"/>
    <w:rsid w:val="5E3A5825"/>
    <w:rsid w:val="5E3B24E7"/>
    <w:rsid w:val="5E3B4900"/>
    <w:rsid w:val="5E3B7ECE"/>
    <w:rsid w:val="5E3C1DD8"/>
    <w:rsid w:val="5E3D2B37"/>
    <w:rsid w:val="5E3D4005"/>
    <w:rsid w:val="5E3E3765"/>
    <w:rsid w:val="5E424759"/>
    <w:rsid w:val="5E48352E"/>
    <w:rsid w:val="5E49070E"/>
    <w:rsid w:val="5E497339"/>
    <w:rsid w:val="5E4A091E"/>
    <w:rsid w:val="5E4C5537"/>
    <w:rsid w:val="5E4C7315"/>
    <w:rsid w:val="5E505BB6"/>
    <w:rsid w:val="5E517BDD"/>
    <w:rsid w:val="5E5415F0"/>
    <w:rsid w:val="5E552F65"/>
    <w:rsid w:val="5E583D26"/>
    <w:rsid w:val="5E5B650C"/>
    <w:rsid w:val="5E5C66FA"/>
    <w:rsid w:val="5E5D2F31"/>
    <w:rsid w:val="5E61179B"/>
    <w:rsid w:val="5E612F1F"/>
    <w:rsid w:val="5E640CC9"/>
    <w:rsid w:val="5E6413E8"/>
    <w:rsid w:val="5E6955E1"/>
    <w:rsid w:val="5E6A3B94"/>
    <w:rsid w:val="5E6C71A1"/>
    <w:rsid w:val="5E6E59AB"/>
    <w:rsid w:val="5E733023"/>
    <w:rsid w:val="5E8161A5"/>
    <w:rsid w:val="5E831D72"/>
    <w:rsid w:val="5E8721C9"/>
    <w:rsid w:val="5E8904B6"/>
    <w:rsid w:val="5E8E52A9"/>
    <w:rsid w:val="5E8E55E1"/>
    <w:rsid w:val="5E915360"/>
    <w:rsid w:val="5E92276A"/>
    <w:rsid w:val="5E960557"/>
    <w:rsid w:val="5E991764"/>
    <w:rsid w:val="5EA04D10"/>
    <w:rsid w:val="5EA060F8"/>
    <w:rsid w:val="5EA35716"/>
    <w:rsid w:val="5EA42B00"/>
    <w:rsid w:val="5EA97C47"/>
    <w:rsid w:val="5EAE5DDF"/>
    <w:rsid w:val="5EB45970"/>
    <w:rsid w:val="5EB85B5C"/>
    <w:rsid w:val="5EBB2A1D"/>
    <w:rsid w:val="5EBF0B24"/>
    <w:rsid w:val="5EC10A69"/>
    <w:rsid w:val="5EC61817"/>
    <w:rsid w:val="5EC84339"/>
    <w:rsid w:val="5EC93C27"/>
    <w:rsid w:val="5ECB5306"/>
    <w:rsid w:val="5ECB6237"/>
    <w:rsid w:val="5ED05B37"/>
    <w:rsid w:val="5ED232D6"/>
    <w:rsid w:val="5ED40997"/>
    <w:rsid w:val="5ED618F7"/>
    <w:rsid w:val="5ED645E1"/>
    <w:rsid w:val="5EDC4409"/>
    <w:rsid w:val="5EDD553D"/>
    <w:rsid w:val="5EE623CC"/>
    <w:rsid w:val="5EE757F8"/>
    <w:rsid w:val="5EE854E1"/>
    <w:rsid w:val="5EE929CA"/>
    <w:rsid w:val="5EEB09F0"/>
    <w:rsid w:val="5EEB385E"/>
    <w:rsid w:val="5EEC75EC"/>
    <w:rsid w:val="5EEF7BBA"/>
    <w:rsid w:val="5EF57875"/>
    <w:rsid w:val="5EF64D27"/>
    <w:rsid w:val="5EF84F7B"/>
    <w:rsid w:val="5EFD7F08"/>
    <w:rsid w:val="5F014654"/>
    <w:rsid w:val="5F021A63"/>
    <w:rsid w:val="5F04636C"/>
    <w:rsid w:val="5F066109"/>
    <w:rsid w:val="5F081C6F"/>
    <w:rsid w:val="5F13329A"/>
    <w:rsid w:val="5F1673C3"/>
    <w:rsid w:val="5F18646E"/>
    <w:rsid w:val="5F1875DA"/>
    <w:rsid w:val="5F1C100B"/>
    <w:rsid w:val="5F1C2D26"/>
    <w:rsid w:val="5F1D7D3B"/>
    <w:rsid w:val="5F1E2F35"/>
    <w:rsid w:val="5F227D29"/>
    <w:rsid w:val="5F246D09"/>
    <w:rsid w:val="5F2577EF"/>
    <w:rsid w:val="5F265908"/>
    <w:rsid w:val="5F286017"/>
    <w:rsid w:val="5F2D06A7"/>
    <w:rsid w:val="5F312C23"/>
    <w:rsid w:val="5F3274C6"/>
    <w:rsid w:val="5F3476C4"/>
    <w:rsid w:val="5F355991"/>
    <w:rsid w:val="5F3C5AAF"/>
    <w:rsid w:val="5F3E34D1"/>
    <w:rsid w:val="5F403FEF"/>
    <w:rsid w:val="5F414779"/>
    <w:rsid w:val="5F4B5147"/>
    <w:rsid w:val="5F4D48E9"/>
    <w:rsid w:val="5F4F5630"/>
    <w:rsid w:val="5F4F6776"/>
    <w:rsid w:val="5F56502A"/>
    <w:rsid w:val="5F5833BE"/>
    <w:rsid w:val="5F5C5504"/>
    <w:rsid w:val="5F5D3E50"/>
    <w:rsid w:val="5F5E5709"/>
    <w:rsid w:val="5F5F6E7A"/>
    <w:rsid w:val="5F614F76"/>
    <w:rsid w:val="5F664C53"/>
    <w:rsid w:val="5F670D83"/>
    <w:rsid w:val="5F6752B3"/>
    <w:rsid w:val="5F697A64"/>
    <w:rsid w:val="5F6A511C"/>
    <w:rsid w:val="5F6E24D6"/>
    <w:rsid w:val="5F6E75DB"/>
    <w:rsid w:val="5F730D07"/>
    <w:rsid w:val="5F75352C"/>
    <w:rsid w:val="5F78098E"/>
    <w:rsid w:val="5F7C62A7"/>
    <w:rsid w:val="5F7D2A9A"/>
    <w:rsid w:val="5F7D3BC2"/>
    <w:rsid w:val="5F830977"/>
    <w:rsid w:val="5F856D15"/>
    <w:rsid w:val="5F8904C8"/>
    <w:rsid w:val="5F9953E8"/>
    <w:rsid w:val="5FA05538"/>
    <w:rsid w:val="5FA3204E"/>
    <w:rsid w:val="5FA34528"/>
    <w:rsid w:val="5FA54DC1"/>
    <w:rsid w:val="5FA55C09"/>
    <w:rsid w:val="5FA6685D"/>
    <w:rsid w:val="5FA73FA8"/>
    <w:rsid w:val="5FAB2D2E"/>
    <w:rsid w:val="5FAD4089"/>
    <w:rsid w:val="5FB42CAB"/>
    <w:rsid w:val="5FB763A9"/>
    <w:rsid w:val="5FB919CB"/>
    <w:rsid w:val="5FBB099B"/>
    <w:rsid w:val="5FBD531E"/>
    <w:rsid w:val="5FBE6935"/>
    <w:rsid w:val="5FBF2CA3"/>
    <w:rsid w:val="5FC177B0"/>
    <w:rsid w:val="5FC736A2"/>
    <w:rsid w:val="5FC877A8"/>
    <w:rsid w:val="5FCA0436"/>
    <w:rsid w:val="5FD12F51"/>
    <w:rsid w:val="5FD62205"/>
    <w:rsid w:val="5FD73715"/>
    <w:rsid w:val="5FDA5114"/>
    <w:rsid w:val="5FDC31D2"/>
    <w:rsid w:val="5FDD442A"/>
    <w:rsid w:val="5FDE6B70"/>
    <w:rsid w:val="5FE01AAE"/>
    <w:rsid w:val="5FEA07A2"/>
    <w:rsid w:val="5FEA27CD"/>
    <w:rsid w:val="5FF0357E"/>
    <w:rsid w:val="5FF072EF"/>
    <w:rsid w:val="5FF07804"/>
    <w:rsid w:val="5FF202FA"/>
    <w:rsid w:val="5FF336DB"/>
    <w:rsid w:val="5FF601CD"/>
    <w:rsid w:val="5FFA7B82"/>
    <w:rsid w:val="5FFD4183"/>
    <w:rsid w:val="5FFE7A01"/>
    <w:rsid w:val="5FFF7AD0"/>
    <w:rsid w:val="60002A39"/>
    <w:rsid w:val="600030D2"/>
    <w:rsid w:val="60020268"/>
    <w:rsid w:val="6003108F"/>
    <w:rsid w:val="600529BF"/>
    <w:rsid w:val="60090FB0"/>
    <w:rsid w:val="6011295B"/>
    <w:rsid w:val="6014353D"/>
    <w:rsid w:val="60187E05"/>
    <w:rsid w:val="601C783D"/>
    <w:rsid w:val="601E7676"/>
    <w:rsid w:val="601F549C"/>
    <w:rsid w:val="6026054B"/>
    <w:rsid w:val="602B4960"/>
    <w:rsid w:val="602D0950"/>
    <w:rsid w:val="60306BB1"/>
    <w:rsid w:val="603414DE"/>
    <w:rsid w:val="60380240"/>
    <w:rsid w:val="603A697C"/>
    <w:rsid w:val="603B04E5"/>
    <w:rsid w:val="60410C11"/>
    <w:rsid w:val="60461BBC"/>
    <w:rsid w:val="60491156"/>
    <w:rsid w:val="60495CC4"/>
    <w:rsid w:val="604C136B"/>
    <w:rsid w:val="604D2544"/>
    <w:rsid w:val="604E199A"/>
    <w:rsid w:val="6055642F"/>
    <w:rsid w:val="60564C33"/>
    <w:rsid w:val="60590AA6"/>
    <w:rsid w:val="605B2508"/>
    <w:rsid w:val="605B697E"/>
    <w:rsid w:val="605E6509"/>
    <w:rsid w:val="60612F93"/>
    <w:rsid w:val="60637139"/>
    <w:rsid w:val="60661D80"/>
    <w:rsid w:val="606902B9"/>
    <w:rsid w:val="606B07EF"/>
    <w:rsid w:val="606B6344"/>
    <w:rsid w:val="606D6B91"/>
    <w:rsid w:val="607460C0"/>
    <w:rsid w:val="60764DAC"/>
    <w:rsid w:val="607B7773"/>
    <w:rsid w:val="607F1554"/>
    <w:rsid w:val="60845F55"/>
    <w:rsid w:val="60874D43"/>
    <w:rsid w:val="608A737B"/>
    <w:rsid w:val="608B7646"/>
    <w:rsid w:val="608F1210"/>
    <w:rsid w:val="6091176B"/>
    <w:rsid w:val="609133B8"/>
    <w:rsid w:val="60982710"/>
    <w:rsid w:val="60992E4A"/>
    <w:rsid w:val="609A194E"/>
    <w:rsid w:val="609C4EDD"/>
    <w:rsid w:val="609F443D"/>
    <w:rsid w:val="609F712A"/>
    <w:rsid w:val="60A00359"/>
    <w:rsid w:val="60A4243D"/>
    <w:rsid w:val="60A50E17"/>
    <w:rsid w:val="60AC6529"/>
    <w:rsid w:val="60AF2EDF"/>
    <w:rsid w:val="60B52350"/>
    <w:rsid w:val="60B918CA"/>
    <w:rsid w:val="60BB33C5"/>
    <w:rsid w:val="60BE6A5C"/>
    <w:rsid w:val="60BF0495"/>
    <w:rsid w:val="60BF589E"/>
    <w:rsid w:val="60C15F94"/>
    <w:rsid w:val="60C5300F"/>
    <w:rsid w:val="60C54652"/>
    <w:rsid w:val="60C60093"/>
    <w:rsid w:val="60C77E82"/>
    <w:rsid w:val="60C8224C"/>
    <w:rsid w:val="60C977CC"/>
    <w:rsid w:val="60D008BC"/>
    <w:rsid w:val="60D01993"/>
    <w:rsid w:val="60DB27CB"/>
    <w:rsid w:val="60DB6AC9"/>
    <w:rsid w:val="60DD405C"/>
    <w:rsid w:val="60E10054"/>
    <w:rsid w:val="60E54BE0"/>
    <w:rsid w:val="60E57D26"/>
    <w:rsid w:val="60ED2CC5"/>
    <w:rsid w:val="60EE6204"/>
    <w:rsid w:val="60EF1C91"/>
    <w:rsid w:val="60F3357A"/>
    <w:rsid w:val="60F63F58"/>
    <w:rsid w:val="60F93B68"/>
    <w:rsid w:val="60FB126A"/>
    <w:rsid w:val="60FC3745"/>
    <w:rsid w:val="610450DD"/>
    <w:rsid w:val="61064C50"/>
    <w:rsid w:val="610941A5"/>
    <w:rsid w:val="6113686F"/>
    <w:rsid w:val="6114678B"/>
    <w:rsid w:val="61182A9C"/>
    <w:rsid w:val="61182F71"/>
    <w:rsid w:val="61193DEF"/>
    <w:rsid w:val="611A06C1"/>
    <w:rsid w:val="611B767B"/>
    <w:rsid w:val="611C235A"/>
    <w:rsid w:val="611D3E78"/>
    <w:rsid w:val="61204DE3"/>
    <w:rsid w:val="612348E1"/>
    <w:rsid w:val="61295ADD"/>
    <w:rsid w:val="61307C81"/>
    <w:rsid w:val="613153C9"/>
    <w:rsid w:val="61336113"/>
    <w:rsid w:val="61351ACD"/>
    <w:rsid w:val="61374A14"/>
    <w:rsid w:val="613A647B"/>
    <w:rsid w:val="613D291A"/>
    <w:rsid w:val="61411934"/>
    <w:rsid w:val="61414B55"/>
    <w:rsid w:val="61440BBF"/>
    <w:rsid w:val="614E568A"/>
    <w:rsid w:val="614F1C7E"/>
    <w:rsid w:val="61545FFD"/>
    <w:rsid w:val="61610F83"/>
    <w:rsid w:val="61611009"/>
    <w:rsid w:val="6161654B"/>
    <w:rsid w:val="61625C94"/>
    <w:rsid w:val="6163400C"/>
    <w:rsid w:val="61642E35"/>
    <w:rsid w:val="61645091"/>
    <w:rsid w:val="616518AE"/>
    <w:rsid w:val="61675552"/>
    <w:rsid w:val="61693986"/>
    <w:rsid w:val="616B436C"/>
    <w:rsid w:val="616C4A8A"/>
    <w:rsid w:val="6170302E"/>
    <w:rsid w:val="617A18F1"/>
    <w:rsid w:val="617D03AB"/>
    <w:rsid w:val="617D77A0"/>
    <w:rsid w:val="617E11AD"/>
    <w:rsid w:val="617F3701"/>
    <w:rsid w:val="61806815"/>
    <w:rsid w:val="6187022F"/>
    <w:rsid w:val="61876B6B"/>
    <w:rsid w:val="6189580C"/>
    <w:rsid w:val="618E4F72"/>
    <w:rsid w:val="618F14FA"/>
    <w:rsid w:val="61923E02"/>
    <w:rsid w:val="619430D7"/>
    <w:rsid w:val="61944194"/>
    <w:rsid w:val="61972444"/>
    <w:rsid w:val="619762AF"/>
    <w:rsid w:val="619A37FC"/>
    <w:rsid w:val="61A80C13"/>
    <w:rsid w:val="61AA35CB"/>
    <w:rsid w:val="61B42910"/>
    <w:rsid w:val="61B807F4"/>
    <w:rsid w:val="61B833AD"/>
    <w:rsid w:val="61C24BDC"/>
    <w:rsid w:val="61C35776"/>
    <w:rsid w:val="61C40AC4"/>
    <w:rsid w:val="61C4472C"/>
    <w:rsid w:val="61D21FAD"/>
    <w:rsid w:val="61D66984"/>
    <w:rsid w:val="61DE10D9"/>
    <w:rsid w:val="61DF68BE"/>
    <w:rsid w:val="61E04061"/>
    <w:rsid w:val="61E04629"/>
    <w:rsid w:val="61E121BD"/>
    <w:rsid w:val="61E36B73"/>
    <w:rsid w:val="61E42231"/>
    <w:rsid w:val="61E5215C"/>
    <w:rsid w:val="61E73D1C"/>
    <w:rsid w:val="61E96A68"/>
    <w:rsid w:val="61EF0211"/>
    <w:rsid w:val="61F443F8"/>
    <w:rsid w:val="61F63690"/>
    <w:rsid w:val="61F719C7"/>
    <w:rsid w:val="61FC4F26"/>
    <w:rsid w:val="61FF3A51"/>
    <w:rsid w:val="62015F4B"/>
    <w:rsid w:val="620305A8"/>
    <w:rsid w:val="62076B49"/>
    <w:rsid w:val="620A740E"/>
    <w:rsid w:val="621052FF"/>
    <w:rsid w:val="62154F46"/>
    <w:rsid w:val="621671B0"/>
    <w:rsid w:val="62182498"/>
    <w:rsid w:val="621872B2"/>
    <w:rsid w:val="62197FB3"/>
    <w:rsid w:val="621D3C39"/>
    <w:rsid w:val="621F1251"/>
    <w:rsid w:val="622103AA"/>
    <w:rsid w:val="6224164E"/>
    <w:rsid w:val="62255314"/>
    <w:rsid w:val="622F2293"/>
    <w:rsid w:val="623720EE"/>
    <w:rsid w:val="623912FA"/>
    <w:rsid w:val="623C6B87"/>
    <w:rsid w:val="623D6727"/>
    <w:rsid w:val="623D6FE5"/>
    <w:rsid w:val="623E1C94"/>
    <w:rsid w:val="623F24A3"/>
    <w:rsid w:val="623F2F7E"/>
    <w:rsid w:val="6241494D"/>
    <w:rsid w:val="624870CB"/>
    <w:rsid w:val="62493A05"/>
    <w:rsid w:val="624C4E10"/>
    <w:rsid w:val="624C5BAC"/>
    <w:rsid w:val="624D7334"/>
    <w:rsid w:val="624E5621"/>
    <w:rsid w:val="62500D05"/>
    <w:rsid w:val="62512575"/>
    <w:rsid w:val="62523F1D"/>
    <w:rsid w:val="62582C65"/>
    <w:rsid w:val="625976A6"/>
    <w:rsid w:val="625B3C86"/>
    <w:rsid w:val="625C7167"/>
    <w:rsid w:val="625F182D"/>
    <w:rsid w:val="626406B2"/>
    <w:rsid w:val="6265048B"/>
    <w:rsid w:val="62655E98"/>
    <w:rsid w:val="6267328A"/>
    <w:rsid w:val="626C34E4"/>
    <w:rsid w:val="626C5505"/>
    <w:rsid w:val="626F157A"/>
    <w:rsid w:val="627448FA"/>
    <w:rsid w:val="62775AC1"/>
    <w:rsid w:val="62780FA1"/>
    <w:rsid w:val="62781EA7"/>
    <w:rsid w:val="627B4669"/>
    <w:rsid w:val="627B6D2A"/>
    <w:rsid w:val="627C5B72"/>
    <w:rsid w:val="627E0B93"/>
    <w:rsid w:val="627F2D8E"/>
    <w:rsid w:val="62806AD4"/>
    <w:rsid w:val="62842352"/>
    <w:rsid w:val="62854A07"/>
    <w:rsid w:val="628A1EEA"/>
    <w:rsid w:val="628C0F85"/>
    <w:rsid w:val="628C428A"/>
    <w:rsid w:val="628D3667"/>
    <w:rsid w:val="6293537C"/>
    <w:rsid w:val="62945A67"/>
    <w:rsid w:val="629A6270"/>
    <w:rsid w:val="629E6847"/>
    <w:rsid w:val="629F1AD0"/>
    <w:rsid w:val="62A03866"/>
    <w:rsid w:val="62A36794"/>
    <w:rsid w:val="62A921AB"/>
    <w:rsid w:val="62AA147E"/>
    <w:rsid w:val="62AA385C"/>
    <w:rsid w:val="62AC0D20"/>
    <w:rsid w:val="62AC40F9"/>
    <w:rsid w:val="62B15EFF"/>
    <w:rsid w:val="62B16F48"/>
    <w:rsid w:val="62B37745"/>
    <w:rsid w:val="62B60B52"/>
    <w:rsid w:val="62B7681A"/>
    <w:rsid w:val="62B77F53"/>
    <w:rsid w:val="62BB6C5C"/>
    <w:rsid w:val="62BD7E46"/>
    <w:rsid w:val="62BF48D0"/>
    <w:rsid w:val="62C41149"/>
    <w:rsid w:val="62CF3F6B"/>
    <w:rsid w:val="62CF41C3"/>
    <w:rsid w:val="62D3609B"/>
    <w:rsid w:val="62D444ED"/>
    <w:rsid w:val="62D5174A"/>
    <w:rsid w:val="62D80579"/>
    <w:rsid w:val="62D84786"/>
    <w:rsid w:val="62D90067"/>
    <w:rsid w:val="62D925A8"/>
    <w:rsid w:val="62DE34CD"/>
    <w:rsid w:val="62DE5A01"/>
    <w:rsid w:val="62E2577A"/>
    <w:rsid w:val="62E414A0"/>
    <w:rsid w:val="62E64DD3"/>
    <w:rsid w:val="62E81941"/>
    <w:rsid w:val="62EC443D"/>
    <w:rsid w:val="62EF0449"/>
    <w:rsid w:val="62F0540C"/>
    <w:rsid w:val="62F22650"/>
    <w:rsid w:val="62F26863"/>
    <w:rsid w:val="62F348A1"/>
    <w:rsid w:val="62F354F0"/>
    <w:rsid w:val="62F54E26"/>
    <w:rsid w:val="62F562F8"/>
    <w:rsid w:val="62FD2419"/>
    <w:rsid w:val="62FD3C47"/>
    <w:rsid w:val="63007762"/>
    <w:rsid w:val="630430AF"/>
    <w:rsid w:val="63121447"/>
    <w:rsid w:val="63154A5B"/>
    <w:rsid w:val="631847D0"/>
    <w:rsid w:val="63191D9B"/>
    <w:rsid w:val="631C471B"/>
    <w:rsid w:val="631F5E06"/>
    <w:rsid w:val="63221D7C"/>
    <w:rsid w:val="63265CA0"/>
    <w:rsid w:val="632702A8"/>
    <w:rsid w:val="632B429E"/>
    <w:rsid w:val="632D3C0C"/>
    <w:rsid w:val="633077E5"/>
    <w:rsid w:val="63320364"/>
    <w:rsid w:val="63354F53"/>
    <w:rsid w:val="63367BF3"/>
    <w:rsid w:val="63386990"/>
    <w:rsid w:val="633C1053"/>
    <w:rsid w:val="63400576"/>
    <w:rsid w:val="634057D8"/>
    <w:rsid w:val="63435718"/>
    <w:rsid w:val="63464CC1"/>
    <w:rsid w:val="634805D0"/>
    <w:rsid w:val="634857D5"/>
    <w:rsid w:val="63494305"/>
    <w:rsid w:val="634E46D0"/>
    <w:rsid w:val="634E6C44"/>
    <w:rsid w:val="634E7EA4"/>
    <w:rsid w:val="634F44E0"/>
    <w:rsid w:val="63505099"/>
    <w:rsid w:val="63552391"/>
    <w:rsid w:val="63572E96"/>
    <w:rsid w:val="63575CC9"/>
    <w:rsid w:val="63575F5C"/>
    <w:rsid w:val="63593765"/>
    <w:rsid w:val="635D3FED"/>
    <w:rsid w:val="635D7CF4"/>
    <w:rsid w:val="635E09E5"/>
    <w:rsid w:val="635E3C5E"/>
    <w:rsid w:val="636160EE"/>
    <w:rsid w:val="63622C41"/>
    <w:rsid w:val="63655EB8"/>
    <w:rsid w:val="63672A10"/>
    <w:rsid w:val="636B0599"/>
    <w:rsid w:val="636E055D"/>
    <w:rsid w:val="636F175B"/>
    <w:rsid w:val="636F5B41"/>
    <w:rsid w:val="63702FF9"/>
    <w:rsid w:val="63711EF6"/>
    <w:rsid w:val="63716BF4"/>
    <w:rsid w:val="63720384"/>
    <w:rsid w:val="6372714F"/>
    <w:rsid w:val="6375660F"/>
    <w:rsid w:val="63761E41"/>
    <w:rsid w:val="63763884"/>
    <w:rsid w:val="63804FFA"/>
    <w:rsid w:val="6381116C"/>
    <w:rsid w:val="638A0C99"/>
    <w:rsid w:val="638D152C"/>
    <w:rsid w:val="638D6253"/>
    <w:rsid w:val="63933548"/>
    <w:rsid w:val="6393738B"/>
    <w:rsid w:val="639B767D"/>
    <w:rsid w:val="639C2B65"/>
    <w:rsid w:val="639C30FA"/>
    <w:rsid w:val="639F6182"/>
    <w:rsid w:val="63A3574F"/>
    <w:rsid w:val="63A57C7A"/>
    <w:rsid w:val="63AD6F78"/>
    <w:rsid w:val="63AF040D"/>
    <w:rsid w:val="63AF19EB"/>
    <w:rsid w:val="63B01E7E"/>
    <w:rsid w:val="63B27D57"/>
    <w:rsid w:val="63B43706"/>
    <w:rsid w:val="63B54C83"/>
    <w:rsid w:val="63B66567"/>
    <w:rsid w:val="63B82B8B"/>
    <w:rsid w:val="63BF3603"/>
    <w:rsid w:val="63C35934"/>
    <w:rsid w:val="63CE2084"/>
    <w:rsid w:val="63D55CE8"/>
    <w:rsid w:val="63DC4C85"/>
    <w:rsid w:val="63E01DEA"/>
    <w:rsid w:val="63E0470B"/>
    <w:rsid w:val="63E3403E"/>
    <w:rsid w:val="63E42A87"/>
    <w:rsid w:val="63E60BE1"/>
    <w:rsid w:val="63E9361F"/>
    <w:rsid w:val="63ED53B9"/>
    <w:rsid w:val="63F56899"/>
    <w:rsid w:val="63F67244"/>
    <w:rsid w:val="63FE45F4"/>
    <w:rsid w:val="64012356"/>
    <w:rsid w:val="64013CF5"/>
    <w:rsid w:val="64017F65"/>
    <w:rsid w:val="64140475"/>
    <w:rsid w:val="64170497"/>
    <w:rsid w:val="641A7C5E"/>
    <w:rsid w:val="641D1892"/>
    <w:rsid w:val="6423179C"/>
    <w:rsid w:val="642344A9"/>
    <w:rsid w:val="6428284E"/>
    <w:rsid w:val="64286A60"/>
    <w:rsid w:val="642A48CB"/>
    <w:rsid w:val="642B0DCF"/>
    <w:rsid w:val="642F5CDC"/>
    <w:rsid w:val="64302AF0"/>
    <w:rsid w:val="643775E9"/>
    <w:rsid w:val="6439696E"/>
    <w:rsid w:val="643A247D"/>
    <w:rsid w:val="643A288A"/>
    <w:rsid w:val="6440047B"/>
    <w:rsid w:val="6443495D"/>
    <w:rsid w:val="64461DA1"/>
    <w:rsid w:val="6448239E"/>
    <w:rsid w:val="644B1AED"/>
    <w:rsid w:val="644D17A1"/>
    <w:rsid w:val="644D2D50"/>
    <w:rsid w:val="644D4DF8"/>
    <w:rsid w:val="644E3EB1"/>
    <w:rsid w:val="64520E55"/>
    <w:rsid w:val="645246CA"/>
    <w:rsid w:val="645305D1"/>
    <w:rsid w:val="645418CB"/>
    <w:rsid w:val="64546EA1"/>
    <w:rsid w:val="646100B9"/>
    <w:rsid w:val="64611DF3"/>
    <w:rsid w:val="64612643"/>
    <w:rsid w:val="64613618"/>
    <w:rsid w:val="646442F9"/>
    <w:rsid w:val="646A60EE"/>
    <w:rsid w:val="646B081A"/>
    <w:rsid w:val="64733AEC"/>
    <w:rsid w:val="647403F9"/>
    <w:rsid w:val="6476053F"/>
    <w:rsid w:val="647B00B3"/>
    <w:rsid w:val="647B3BF3"/>
    <w:rsid w:val="647E3A12"/>
    <w:rsid w:val="647E725B"/>
    <w:rsid w:val="648228DF"/>
    <w:rsid w:val="648231E1"/>
    <w:rsid w:val="6482615F"/>
    <w:rsid w:val="648F2CE3"/>
    <w:rsid w:val="648F32D4"/>
    <w:rsid w:val="64912A03"/>
    <w:rsid w:val="6491612A"/>
    <w:rsid w:val="6492334C"/>
    <w:rsid w:val="649417D1"/>
    <w:rsid w:val="64960967"/>
    <w:rsid w:val="649744D2"/>
    <w:rsid w:val="649A3DC8"/>
    <w:rsid w:val="649C12B4"/>
    <w:rsid w:val="649D7420"/>
    <w:rsid w:val="64A057FF"/>
    <w:rsid w:val="64A1053A"/>
    <w:rsid w:val="64A21F9D"/>
    <w:rsid w:val="64A22D39"/>
    <w:rsid w:val="64A238B5"/>
    <w:rsid w:val="64A5274D"/>
    <w:rsid w:val="64AF538E"/>
    <w:rsid w:val="64B02C15"/>
    <w:rsid w:val="64B47776"/>
    <w:rsid w:val="64B47B5A"/>
    <w:rsid w:val="64BD3156"/>
    <w:rsid w:val="64BE13E3"/>
    <w:rsid w:val="64C34CB7"/>
    <w:rsid w:val="64C371FE"/>
    <w:rsid w:val="64C4092C"/>
    <w:rsid w:val="64C55B68"/>
    <w:rsid w:val="64C77D5D"/>
    <w:rsid w:val="64CC02D7"/>
    <w:rsid w:val="64CE12EE"/>
    <w:rsid w:val="64D41762"/>
    <w:rsid w:val="64D8467F"/>
    <w:rsid w:val="64DC6347"/>
    <w:rsid w:val="64DD413B"/>
    <w:rsid w:val="64DE0C89"/>
    <w:rsid w:val="64E11350"/>
    <w:rsid w:val="64EB7230"/>
    <w:rsid w:val="64ED6690"/>
    <w:rsid w:val="64F7669C"/>
    <w:rsid w:val="64F87DE4"/>
    <w:rsid w:val="64FD0A65"/>
    <w:rsid w:val="64FE4ACA"/>
    <w:rsid w:val="64FF38CC"/>
    <w:rsid w:val="650176BF"/>
    <w:rsid w:val="650178D3"/>
    <w:rsid w:val="65025379"/>
    <w:rsid w:val="650A1F3D"/>
    <w:rsid w:val="650B70BE"/>
    <w:rsid w:val="65121794"/>
    <w:rsid w:val="65133F0A"/>
    <w:rsid w:val="6517656F"/>
    <w:rsid w:val="651A37F8"/>
    <w:rsid w:val="651B3697"/>
    <w:rsid w:val="651D6A26"/>
    <w:rsid w:val="651E192F"/>
    <w:rsid w:val="652155FC"/>
    <w:rsid w:val="6524371C"/>
    <w:rsid w:val="652628D3"/>
    <w:rsid w:val="652808BD"/>
    <w:rsid w:val="652A152F"/>
    <w:rsid w:val="652A645A"/>
    <w:rsid w:val="652D5000"/>
    <w:rsid w:val="652E1F42"/>
    <w:rsid w:val="65313DE4"/>
    <w:rsid w:val="653177AC"/>
    <w:rsid w:val="6531780D"/>
    <w:rsid w:val="65324652"/>
    <w:rsid w:val="65333564"/>
    <w:rsid w:val="65341F91"/>
    <w:rsid w:val="65396A71"/>
    <w:rsid w:val="653A5C26"/>
    <w:rsid w:val="653D0715"/>
    <w:rsid w:val="653E34D5"/>
    <w:rsid w:val="653E38B7"/>
    <w:rsid w:val="6541611D"/>
    <w:rsid w:val="6542686F"/>
    <w:rsid w:val="65465F9E"/>
    <w:rsid w:val="65474814"/>
    <w:rsid w:val="65476F52"/>
    <w:rsid w:val="654961C3"/>
    <w:rsid w:val="654A3E39"/>
    <w:rsid w:val="654B50B7"/>
    <w:rsid w:val="654B73F9"/>
    <w:rsid w:val="654C5E09"/>
    <w:rsid w:val="65517B6C"/>
    <w:rsid w:val="65520AB5"/>
    <w:rsid w:val="6554452E"/>
    <w:rsid w:val="6559530C"/>
    <w:rsid w:val="655C6E58"/>
    <w:rsid w:val="655E039F"/>
    <w:rsid w:val="655E655A"/>
    <w:rsid w:val="655F1B70"/>
    <w:rsid w:val="65663A62"/>
    <w:rsid w:val="65691467"/>
    <w:rsid w:val="656A0007"/>
    <w:rsid w:val="656F4E84"/>
    <w:rsid w:val="657632C6"/>
    <w:rsid w:val="657A7873"/>
    <w:rsid w:val="657C3A8F"/>
    <w:rsid w:val="657D4648"/>
    <w:rsid w:val="657E7A8A"/>
    <w:rsid w:val="658035FC"/>
    <w:rsid w:val="658171D1"/>
    <w:rsid w:val="6587541A"/>
    <w:rsid w:val="658A42CD"/>
    <w:rsid w:val="658A5AEB"/>
    <w:rsid w:val="658C73D0"/>
    <w:rsid w:val="658D7188"/>
    <w:rsid w:val="658D76FF"/>
    <w:rsid w:val="65925100"/>
    <w:rsid w:val="6593102D"/>
    <w:rsid w:val="6593751B"/>
    <w:rsid w:val="659C33A4"/>
    <w:rsid w:val="659D20D1"/>
    <w:rsid w:val="65A15849"/>
    <w:rsid w:val="65A26067"/>
    <w:rsid w:val="65A55A51"/>
    <w:rsid w:val="65A72120"/>
    <w:rsid w:val="65AA54F1"/>
    <w:rsid w:val="65AF611B"/>
    <w:rsid w:val="65B1280E"/>
    <w:rsid w:val="65B165A2"/>
    <w:rsid w:val="65B20A29"/>
    <w:rsid w:val="65B85999"/>
    <w:rsid w:val="65B91E2A"/>
    <w:rsid w:val="65BB39E0"/>
    <w:rsid w:val="65BD4FF0"/>
    <w:rsid w:val="65C034DA"/>
    <w:rsid w:val="65C14965"/>
    <w:rsid w:val="65C24BD7"/>
    <w:rsid w:val="65C67925"/>
    <w:rsid w:val="65C91CA7"/>
    <w:rsid w:val="65CA7ECE"/>
    <w:rsid w:val="65CB6F57"/>
    <w:rsid w:val="65D05E7A"/>
    <w:rsid w:val="65D2485E"/>
    <w:rsid w:val="65D41DB0"/>
    <w:rsid w:val="65D6329E"/>
    <w:rsid w:val="65D645B2"/>
    <w:rsid w:val="65DB7193"/>
    <w:rsid w:val="65DC0CCF"/>
    <w:rsid w:val="65DF2703"/>
    <w:rsid w:val="65DF3122"/>
    <w:rsid w:val="65E42283"/>
    <w:rsid w:val="65E70685"/>
    <w:rsid w:val="65EB2A15"/>
    <w:rsid w:val="65EC72BD"/>
    <w:rsid w:val="65EE2A8E"/>
    <w:rsid w:val="65EE492E"/>
    <w:rsid w:val="65F209A0"/>
    <w:rsid w:val="65F2395C"/>
    <w:rsid w:val="65F76B1F"/>
    <w:rsid w:val="65F9792A"/>
    <w:rsid w:val="65FB625B"/>
    <w:rsid w:val="65FC2399"/>
    <w:rsid w:val="65FE68E8"/>
    <w:rsid w:val="65FF3A3B"/>
    <w:rsid w:val="6600120E"/>
    <w:rsid w:val="66012EFB"/>
    <w:rsid w:val="6610574A"/>
    <w:rsid w:val="661611A1"/>
    <w:rsid w:val="661749B4"/>
    <w:rsid w:val="6617661A"/>
    <w:rsid w:val="661D60BA"/>
    <w:rsid w:val="661E1C72"/>
    <w:rsid w:val="66244BF1"/>
    <w:rsid w:val="66281ED4"/>
    <w:rsid w:val="662862C3"/>
    <w:rsid w:val="662F1F32"/>
    <w:rsid w:val="6630096A"/>
    <w:rsid w:val="66346C9E"/>
    <w:rsid w:val="66375AF7"/>
    <w:rsid w:val="663B0FDB"/>
    <w:rsid w:val="663B3918"/>
    <w:rsid w:val="663F72B7"/>
    <w:rsid w:val="664130CB"/>
    <w:rsid w:val="66415F90"/>
    <w:rsid w:val="6643077B"/>
    <w:rsid w:val="664424FE"/>
    <w:rsid w:val="664720A4"/>
    <w:rsid w:val="66485083"/>
    <w:rsid w:val="6648522E"/>
    <w:rsid w:val="664C604D"/>
    <w:rsid w:val="66503C33"/>
    <w:rsid w:val="66527A0A"/>
    <w:rsid w:val="66570108"/>
    <w:rsid w:val="665A7DF3"/>
    <w:rsid w:val="665D58B7"/>
    <w:rsid w:val="665F0CF8"/>
    <w:rsid w:val="666166A4"/>
    <w:rsid w:val="66632188"/>
    <w:rsid w:val="66663FAA"/>
    <w:rsid w:val="666A207B"/>
    <w:rsid w:val="666D414C"/>
    <w:rsid w:val="666D64BD"/>
    <w:rsid w:val="66751B7E"/>
    <w:rsid w:val="667D3594"/>
    <w:rsid w:val="667F2960"/>
    <w:rsid w:val="667F4A89"/>
    <w:rsid w:val="66844E72"/>
    <w:rsid w:val="66871E22"/>
    <w:rsid w:val="66880156"/>
    <w:rsid w:val="668C52A0"/>
    <w:rsid w:val="66907984"/>
    <w:rsid w:val="66911A74"/>
    <w:rsid w:val="66990376"/>
    <w:rsid w:val="6699477B"/>
    <w:rsid w:val="66A041EB"/>
    <w:rsid w:val="66A41372"/>
    <w:rsid w:val="66A526E2"/>
    <w:rsid w:val="66A56F7C"/>
    <w:rsid w:val="66A83A1D"/>
    <w:rsid w:val="66AB686A"/>
    <w:rsid w:val="66AB709C"/>
    <w:rsid w:val="66AD2EC5"/>
    <w:rsid w:val="66AD6233"/>
    <w:rsid w:val="66AE79DA"/>
    <w:rsid w:val="66B1276C"/>
    <w:rsid w:val="66B17A3E"/>
    <w:rsid w:val="66B212B2"/>
    <w:rsid w:val="66B2779C"/>
    <w:rsid w:val="66B36099"/>
    <w:rsid w:val="66B505FC"/>
    <w:rsid w:val="66B66838"/>
    <w:rsid w:val="66C15BB8"/>
    <w:rsid w:val="66C45C43"/>
    <w:rsid w:val="66C72A85"/>
    <w:rsid w:val="66CF1C68"/>
    <w:rsid w:val="66CF22BF"/>
    <w:rsid w:val="66D025CD"/>
    <w:rsid w:val="66D0337F"/>
    <w:rsid w:val="66D14080"/>
    <w:rsid w:val="66D250CA"/>
    <w:rsid w:val="66D34D40"/>
    <w:rsid w:val="66D75CD3"/>
    <w:rsid w:val="66DF7763"/>
    <w:rsid w:val="66E60268"/>
    <w:rsid w:val="66E86E50"/>
    <w:rsid w:val="66EC27D2"/>
    <w:rsid w:val="66EC4128"/>
    <w:rsid w:val="66EE0034"/>
    <w:rsid w:val="66F10A44"/>
    <w:rsid w:val="66F34346"/>
    <w:rsid w:val="66FA0F27"/>
    <w:rsid w:val="66FC0BE1"/>
    <w:rsid w:val="66FE5A8F"/>
    <w:rsid w:val="67004950"/>
    <w:rsid w:val="67066011"/>
    <w:rsid w:val="670A0F10"/>
    <w:rsid w:val="670D6CBE"/>
    <w:rsid w:val="670F70F3"/>
    <w:rsid w:val="67153F95"/>
    <w:rsid w:val="671756A9"/>
    <w:rsid w:val="671877FF"/>
    <w:rsid w:val="671E4A34"/>
    <w:rsid w:val="67254E15"/>
    <w:rsid w:val="67263F84"/>
    <w:rsid w:val="672922FB"/>
    <w:rsid w:val="67292FCE"/>
    <w:rsid w:val="672B59E1"/>
    <w:rsid w:val="672D5A6A"/>
    <w:rsid w:val="672E1148"/>
    <w:rsid w:val="673A488A"/>
    <w:rsid w:val="673E4CDB"/>
    <w:rsid w:val="67457C91"/>
    <w:rsid w:val="674E62B6"/>
    <w:rsid w:val="674E7CA6"/>
    <w:rsid w:val="674F6A4E"/>
    <w:rsid w:val="6751311F"/>
    <w:rsid w:val="67535718"/>
    <w:rsid w:val="67547DE7"/>
    <w:rsid w:val="675753AC"/>
    <w:rsid w:val="67575476"/>
    <w:rsid w:val="675C6E52"/>
    <w:rsid w:val="675F3E12"/>
    <w:rsid w:val="676B0041"/>
    <w:rsid w:val="676B2A85"/>
    <w:rsid w:val="676B363D"/>
    <w:rsid w:val="676B68F6"/>
    <w:rsid w:val="676C7E9D"/>
    <w:rsid w:val="676D5155"/>
    <w:rsid w:val="677234C4"/>
    <w:rsid w:val="67757C49"/>
    <w:rsid w:val="67774870"/>
    <w:rsid w:val="6779055D"/>
    <w:rsid w:val="67791703"/>
    <w:rsid w:val="677A2292"/>
    <w:rsid w:val="677C0450"/>
    <w:rsid w:val="677F6460"/>
    <w:rsid w:val="6781432A"/>
    <w:rsid w:val="6782102B"/>
    <w:rsid w:val="678249C4"/>
    <w:rsid w:val="6783472E"/>
    <w:rsid w:val="678642DE"/>
    <w:rsid w:val="67895D63"/>
    <w:rsid w:val="678C6B2E"/>
    <w:rsid w:val="67915519"/>
    <w:rsid w:val="67997583"/>
    <w:rsid w:val="679A5A7B"/>
    <w:rsid w:val="679F068A"/>
    <w:rsid w:val="679F7854"/>
    <w:rsid w:val="67A17522"/>
    <w:rsid w:val="67A20A24"/>
    <w:rsid w:val="67A6393D"/>
    <w:rsid w:val="67A700E4"/>
    <w:rsid w:val="67A8541A"/>
    <w:rsid w:val="67A85C59"/>
    <w:rsid w:val="67AD0778"/>
    <w:rsid w:val="67AD3937"/>
    <w:rsid w:val="67AE1134"/>
    <w:rsid w:val="67B35A56"/>
    <w:rsid w:val="67BC0E1D"/>
    <w:rsid w:val="67C07FCC"/>
    <w:rsid w:val="67C21999"/>
    <w:rsid w:val="67C74959"/>
    <w:rsid w:val="67C82C1D"/>
    <w:rsid w:val="67CB3E5A"/>
    <w:rsid w:val="67CF79DD"/>
    <w:rsid w:val="67D01EAD"/>
    <w:rsid w:val="67D273CE"/>
    <w:rsid w:val="67D45A09"/>
    <w:rsid w:val="67D51664"/>
    <w:rsid w:val="67D772DB"/>
    <w:rsid w:val="67D9017C"/>
    <w:rsid w:val="67DA3A39"/>
    <w:rsid w:val="67DC4097"/>
    <w:rsid w:val="67DD70B8"/>
    <w:rsid w:val="67E00BB8"/>
    <w:rsid w:val="67E47DEC"/>
    <w:rsid w:val="67EA52F4"/>
    <w:rsid w:val="67EB0CF3"/>
    <w:rsid w:val="67EB1C20"/>
    <w:rsid w:val="67EB3EB3"/>
    <w:rsid w:val="67EB65EB"/>
    <w:rsid w:val="67F102C3"/>
    <w:rsid w:val="67F12496"/>
    <w:rsid w:val="67F145AD"/>
    <w:rsid w:val="67F77486"/>
    <w:rsid w:val="67FC4CE4"/>
    <w:rsid w:val="6801599C"/>
    <w:rsid w:val="68047440"/>
    <w:rsid w:val="68076647"/>
    <w:rsid w:val="680A09C4"/>
    <w:rsid w:val="680A2522"/>
    <w:rsid w:val="680A2901"/>
    <w:rsid w:val="680D466F"/>
    <w:rsid w:val="6811214C"/>
    <w:rsid w:val="681F4058"/>
    <w:rsid w:val="681F441E"/>
    <w:rsid w:val="68203EBF"/>
    <w:rsid w:val="682107C9"/>
    <w:rsid w:val="68244095"/>
    <w:rsid w:val="68286DB6"/>
    <w:rsid w:val="682C0701"/>
    <w:rsid w:val="682D0558"/>
    <w:rsid w:val="6830676C"/>
    <w:rsid w:val="68377E8B"/>
    <w:rsid w:val="68391254"/>
    <w:rsid w:val="683B09E7"/>
    <w:rsid w:val="683D24DA"/>
    <w:rsid w:val="68403F9D"/>
    <w:rsid w:val="6844026B"/>
    <w:rsid w:val="68466C90"/>
    <w:rsid w:val="68485C52"/>
    <w:rsid w:val="684D3E7B"/>
    <w:rsid w:val="68536E07"/>
    <w:rsid w:val="68544EB6"/>
    <w:rsid w:val="6860723D"/>
    <w:rsid w:val="68764451"/>
    <w:rsid w:val="68771CF8"/>
    <w:rsid w:val="687A5785"/>
    <w:rsid w:val="68826A8F"/>
    <w:rsid w:val="68862AD9"/>
    <w:rsid w:val="68873827"/>
    <w:rsid w:val="6889076D"/>
    <w:rsid w:val="688D08BD"/>
    <w:rsid w:val="688F2F3B"/>
    <w:rsid w:val="688F32B4"/>
    <w:rsid w:val="68975D1E"/>
    <w:rsid w:val="68981E11"/>
    <w:rsid w:val="689B01A1"/>
    <w:rsid w:val="689B0970"/>
    <w:rsid w:val="689C6EF7"/>
    <w:rsid w:val="689D19F6"/>
    <w:rsid w:val="68A05CEC"/>
    <w:rsid w:val="68A068E6"/>
    <w:rsid w:val="68A62E5A"/>
    <w:rsid w:val="68A64541"/>
    <w:rsid w:val="68A7184F"/>
    <w:rsid w:val="68AD54AE"/>
    <w:rsid w:val="68AE22A3"/>
    <w:rsid w:val="68AF0FDB"/>
    <w:rsid w:val="68B06435"/>
    <w:rsid w:val="68B32559"/>
    <w:rsid w:val="68B327EE"/>
    <w:rsid w:val="68B45127"/>
    <w:rsid w:val="68B53535"/>
    <w:rsid w:val="68B7008D"/>
    <w:rsid w:val="68B8545D"/>
    <w:rsid w:val="68BC0F71"/>
    <w:rsid w:val="68BD180B"/>
    <w:rsid w:val="68BF63F8"/>
    <w:rsid w:val="68C059D3"/>
    <w:rsid w:val="68C44B76"/>
    <w:rsid w:val="68C4714F"/>
    <w:rsid w:val="68C61DFB"/>
    <w:rsid w:val="68C63B09"/>
    <w:rsid w:val="68CA54CB"/>
    <w:rsid w:val="68CD3A0E"/>
    <w:rsid w:val="68D23C26"/>
    <w:rsid w:val="68D70A5C"/>
    <w:rsid w:val="68D97E34"/>
    <w:rsid w:val="68DB0DDE"/>
    <w:rsid w:val="68DC1019"/>
    <w:rsid w:val="68DC34AA"/>
    <w:rsid w:val="68DD3419"/>
    <w:rsid w:val="68E10DAF"/>
    <w:rsid w:val="68E26CFF"/>
    <w:rsid w:val="68E367DF"/>
    <w:rsid w:val="68EF6E07"/>
    <w:rsid w:val="68F34A16"/>
    <w:rsid w:val="68F40CC5"/>
    <w:rsid w:val="68F63EC1"/>
    <w:rsid w:val="68FB370B"/>
    <w:rsid w:val="690455CE"/>
    <w:rsid w:val="69067471"/>
    <w:rsid w:val="69085345"/>
    <w:rsid w:val="690B18FA"/>
    <w:rsid w:val="69122150"/>
    <w:rsid w:val="6923620D"/>
    <w:rsid w:val="6924293E"/>
    <w:rsid w:val="69282361"/>
    <w:rsid w:val="692938A8"/>
    <w:rsid w:val="692D5B92"/>
    <w:rsid w:val="692F20BD"/>
    <w:rsid w:val="69320C52"/>
    <w:rsid w:val="693446EB"/>
    <w:rsid w:val="6936702D"/>
    <w:rsid w:val="693750E1"/>
    <w:rsid w:val="693A6214"/>
    <w:rsid w:val="693B1F17"/>
    <w:rsid w:val="69405E18"/>
    <w:rsid w:val="69412019"/>
    <w:rsid w:val="694629E3"/>
    <w:rsid w:val="694869BA"/>
    <w:rsid w:val="69497601"/>
    <w:rsid w:val="694B2C3C"/>
    <w:rsid w:val="694C0B4A"/>
    <w:rsid w:val="694C0B7B"/>
    <w:rsid w:val="6952030B"/>
    <w:rsid w:val="695B036E"/>
    <w:rsid w:val="695D56E5"/>
    <w:rsid w:val="6961248A"/>
    <w:rsid w:val="69677FE5"/>
    <w:rsid w:val="69693A29"/>
    <w:rsid w:val="6969526A"/>
    <w:rsid w:val="696C6AA9"/>
    <w:rsid w:val="696F01F8"/>
    <w:rsid w:val="697307A0"/>
    <w:rsid w:val="69731A47"/>
    <w:rsid w:val="697627A4"/>
    <w:rsid w:val="6978046E"/>
    <w:rsid w:val="697E0FDE"/>
    <w:rsid w:val="697E7CFB"/>
    <w:rsid w:val="698A1BB6"/>
    <w:rsid w:val="698B4F66"/>
    <w:rsid w:val="698C58F3"/>
    <w:rsid w:val="69932D46"/>
    <w:rsid w:val="69943139"/>
    <w:rsid w:val="6995343E"/>
    <w:rsid w:val="69961F92"/>
    <w:rsid w:val="69997B66"/>
    <w:rsid w:val="699B71F6"/>
    <w:rsid w:val="699F6824"/>
    <w:rsid w:val="69A23168"/>
    <w:rsid w:val="69A350B5"/>
    <w:rsid w:val="69A75008"/>
    <w:rsid w:val="69AD0AAB"/>
    <w:rsid w:val="69AD35F2"/>
    <w:rsid w:val="69AE1C22"/>
    <w:rsid w:val="69AF7EE9"/>
    <w:rsid w:val="69B748EF"/>
    <w:rsid w:val="69B84335"/>
    <w:rsid w:val="69B85FAB"/>
    <w:rsid w:val="69B94366"/>
    <w:rsid w:val="69BC4B30"/>
    <w:rsid w:val="69C32917"/>
    <w:rsid w:val="69C9081A"/>
    <w:rsid w:val="69CA7310"/>
    <w:rsid w:val="69D05B3E"/>
    <w:rsid w:val="69D36F11"/>
    <w:rsid w:val="69D90721"/>
    <w:rsid w:val="69DA4D4C"/>
    <w:rsid w:val="69DB43A2"/>
    <w:rsid w:val="69DC3A02"/>
    <w:rsid w:val="69E3253A"/>
    <w:rsid w:val="69EC0F99"/>
    <w:rsid w:val="69ED4D01"/>
    <w:rsid w:val="69EF63A5"/>
    <w:rsid w:val="69F02702"/>
    <w:rsid w:val="69F20F0F"/>
    <w:rsid w:val="69F47233"/>
    <w:rsid w:val="69FA4B7B"/>
    <w:rsid w:val="69FA604D"/>
    <w:rsid w:val="69FB2C5F"/>
    <w:rsid w:val="69FB5777"/>
    <w:rsid w:val="6A006460"/>
    <w:rsid w:val="6A0253B8"/>
    <w:rsid w:val="6A057CE7"/>
    <w:rsid w:val="6A075F30"/>
    <w:rsid w:val="6A0971D5"/>
    <w:rsid w:val="6A0B4995"/>
    <w:rsid w:val="6A154CDB"/>
    <w:rsid w:val="6A1641FA"/>
    <w:rsid w:val="6A172C03"/>
    <w:rsid w:val="6A1802F8"/>
    <w:rsid w:val="6A196413"/>
    <w:rsid w:val="6A1A001E"/>
    <w:rsid w:val="6A1D5E8D"/>
    <w:rsid w:val="6A2023EA"/>
    <w:rsid w:val="6A224568"/>
    <w:rsid w:val="6A232241"/>
    <w:rsid w:val="6A282BD8"/>
    <w:rsid w:val="6A293EBE"/>
    <w:rsid w:val="6A2A3B39"/>
    <w:rsid w:val="6A2D78D9"/>
    <w:rsid w:val="6A2E7EAD"/>
    <w:rsid w:val="6A3000DA"/>
    <w:rsid w:val="6A306776"/>
    <w:rsid w:val="6A356AEB"/>
    <w:rsid w:val="6A37340D"/>
    <w:rsid w:val="6A3C2337"/>
    <w:rsid w:val="6A3F0F25"/>
    <w:rsid w:val="6A435CF9"/>
    <w:rsid w:val="6A48247A"/>
    <w:rsid w:val="6A4B61B1"/>
    <w:rsid w:val="6A4E1448"/>
    <w:rsid w:val="6A511866"/>
    <w:rsid w:val="6A511A43"/>
    <w:rsid w:val="6A537E83"/>
    <w:rsid w:val="6A58150F"/>
    <w:rsid w:val="6A5D2329"/>
    <w:rsid w:val="6A607B26"/>
    <w:rsid w:val="6A644207"/>
    <w:rsid w:val="6A6647C2"/>
    <w:rsid w:val="6A69351D"/>
    <w:rsid w:val="6A6A1FF5"/>
    <w:rsid w:val="6A6A4F1D"/>
    <w:rsid w:val="6A6A5BDB"/>
    <w:rsid w:val="6A6A67F2"/>
    <w:rsid w:val="6A6F2627"/>
    <w:rsid w:val="6A73306F"/>
    <w:rsid w:val="6A7370EA"/>
    <w:rsid w:val="6A7774BF"/>
    <w:rsid w:val="6A7A507F"/>
    <w:rsid w:val="6A7C403E"/>
    <w:rsid w:val="6A810927"/>
    <w:rsid w:val="6A8760C3"/>
    <w:rsid w:val="6A88725E"/>
    <w:rsid w:val="6A8930DC"/>
    <w:rsid w:val="6A8C3D9D"/>
    <w:rsid w:val="6A8E0B54"/>
    <w:rsid w:val="6A933E93"/>
    <w:rsid w:val="6A956A6A"/>
    <w:rsid w:val="6A9B7F64"/>
    <w:rsid w:val="6A9C31AD"/>
    <w:rsid w:val="6A9E5EC5"/>
    <w:rsid w:val="6A9F4A4E"/>
    <w:rsid w:val="6AA22D42"/>
    <w:rsid w:val="6AA9700A"/>
    <w:rsid w:val="6AAD297B"/>
    <w:rsid w:val="6AAF4D0A"/>
    <w:rsid w:val="6AB0300E"/>
    <w:rsid w:val="6AB06EF5"/>
    <w:rsid w:val="6AB824EA"/>
    <w:rsid w:val="6AB84173"/>
    <w:rsid w:val="6AB978A3"/>
    <w:rsid w:val="6ABD3536"/>
    <w:rsid w:val="6AC3607C"/>
    <w:rsid w:val="6AC6157B"/>
    <w:rsid w:val="6AC7011E"/>
    <w:rsid w:val="6ACA3BFE"/>
    <w:rsid w:val="6ACA7629"/>
    <w:rsid w:val="6AD1379B"/>
    <w:rsid w:val="6AD275E1"/>
    <w:rsid w:val="6AD418A8"/>
    <w:rsid w:val="6AD6388F"/>
    <w:rsid w:val="6AD843AF"/>
    <w:rsid w:val="6ADA26E6"/>
    <w:rsid w:val="6AE643A1"/>
    <w:rsid w:val="6AE7726F"/>
    <w:rsid w:val="6AE80087"/>
    <w:rsid w:val="6AEC4945"/>
    <w:rsid w:val="6AED6D9D"/>
    <w:rsid w:val="6AEF6919"/>
    <w:rsid w:val="6AF0245C"/>
    <w:rsid w:val="6AF2186C"/>
    <w:rsid w:val="6AF54925"/>
    <w:rsid w:val="6AF61A84"/>
    <w:rsid w:val="6AF70054"/>
    <w:rsid w:val="6AF7309E"/>
    <w:rsid w:val="6AF81BCE"/>
    <w:rsid w:val="6AF97CD3"/>
    <w:rsid w:val="6AFA169A"/>
    <w:rsid w:val="6AFD0964"/>
    <w:rsid w:val="6AFE60B7"/>
    <w:rsid w:val="6AFF02A6"/>
    <w:rsid w:val="6B015FA0"/>
    <w:rsid w:val="6B033ED6"/>
    <w:rsid w:val="6B04447B"/>
    <w:rsid w:val="6B1068DD"/>
    <w:rsid w:val="6B133F91"/>
    <w:rsid w:val="6B1374FF"/>
    <w:rsid w:val="6B163012"/>
    <w:rsid w:val="6B1A56D2"/>
    <w:rsid w:val="6B1D4C4E"/>
    <w:rsid w:val="6B1F5A8B"/>
    <w:rsid w:val="6B236915"/>
    <w:rsid w:val="6B315B8A"/>
    <w:rsid w:val="6B323EE4"/>
    <w:rsid w:val="6B3535A1"/>
    <w:rsid w:val="6B36718D"/>
    <w:rsid w:val="6B3C01C5"/>
    <w:rsid w:val="6B3D329F"/>
    <w:rsid w:val="6B42746D"/>
    <w:rsid w:val="6B452C2E"/>
    <w:rsid w:val="6B4B13A5"/>
    <w:rsid w:val="6B4C56E9"/>
    <w:rsid w:val="6B4E2B14"/>
    <w:rsid w:val="6B4E398D"/>
    <w:rsid w:val="6B6110C8"/>
    <w:rsid w:val="6B613375"/>
    <w:rsid w:val="6B615AD1"/>
    <w:rsid w:val="6B655D3E"/>
    <w:rsid w:val="6B6919EF"/>
    <w:rsid w:val="6B703B36"/>
    <w:rsid w:val="6B72639B"/>
    <w:rsid w:val="6B80166D"/>
    <w:rsid w:val="6B827BB8"/>
    <w:rsid w:val="6B830843"/>
    <w:rsid w:val="6B850356"/>
    <w:rsid w:val="6B8821F0"/>
    <w:rsid w:val="6B895B1C"/>
    <w:rsid w:val="6B8D5C1E"/>
    <w:rsid w:val="6B923EC0"/>
    <w:rsid w:val="6B970F9D"/>
    <w:rsid w:val="6B976275"/>
    <w:rsid w:val="6B997CD9"/>
    <w:rsid w:val="6B9C5156"/>
    <w:rsid w:val="6B9D25A8"/>
    <w:rsid w:val="6B9E7F44"/>
    <w:rsid w:val="6BA23CBB"/>
    <w:rsid w:val="6BA97960"/>
    <w:rsid w:val="6BAA6492"/>
    <w:rsid w:val="6BB03C61"/>
    <w:rsid w:val="6BB15E45"/>
    <w:rsid w:val="6BB30594"/>
    <w:rsid w:val="6BB4491A"/>
    <w:rsid w:val="6BB46A42"/>
    <w:rsid w:val="6BB70205"/>
    <w:rsid w:val="6BB83767"/>
    <w:rsid w:val="6BBD4201"/>
    <w:rsid w:val="6BBF7897"/>
    <w:rsid w:val="6BC330AF"/>
    <w:rsid w:val="6BC44CD9"/>
    <w:rsid w:val="6BC715B0"/>
    <w:rsid w:val="6BCA37E5"/>
    <w:rsid w:val="6BCA6644"/>
    <w:rsid w:val="6BCC45AF"/>
    <w:rsid w:val="6BCE38A5"/>
    <w:rsid w:val="6BD115D1"/>
    <w:rsid w:val="6BD37D25"/>
    <w:rsid w:val="6BD5000E"/>
    <w:rsid w:val="6BD662CF"/>
    <w:rsid w:val="6BDA695B"/>
    <w:rsid w:val="6BDF2C1F"/>
    <w:rsid w:val="6BE3201E"/>
    <w:rsid w:val="6BE9675B"/>
    <w:rsid w:val="6BEB0C01"/>
    <w:rsid w:val="6BED37E2"/>
    <w:rsid w:val="6BEF16F6"/>
    <w:rsid w:val="6BF0595B"/>
    <w:rsid w:val="6BF34716"/>
    <w:rsid w:val="6BF760EF"/>
    <w:rsid w:val="6BF843A8"/>
    <w:rsid w:val="6BF924D0"/>
    <w:rsid w:val="6BFA13F5"/>
    <w:rsid w:val="6C0430FA"/>
    <w:rsid w:val="6C067797"/>
    <w:rsid w:val="6C0D4685"/>
    <w:rsid w:val="6C0E58FF"/>
    <w:rsid w:val="6C0F6587"/>
    <w:rsid w:val="6C101F4E"/>
    <w:rsid w:val="6C110A11"/>
    <w:rsid w:val="6C172492"/>
    <w:rsid w:val="6C1A74F8"/>
    <w:rsid w:val="6C1B01B4"/>
    <w:rsid w:val="6C1E5EED"/>
    <w:rsid w:val="6C1E749D"/>
    <w:rsid w:val="6C1E7A00"/>
    <w:rsid w:val="6C1F1432"/>
    <w:rsid w:val="6C235F18"/>
    <w:rsid w:val="6C250BAF"/>
    <w:rsid w:val="6C2659AD"/>
    <w:rsid w:val="6C267C37"/>
    <w:rsid w:val="6C284C6F"/>
    <w:rsid w:val="6C291CC7"/>
    <w:rsid w:val="6C2E4BB7"/>
    <w:rsid w:val="6C2F3301"/>
    <w:rsid w:val="6C353607"/>
    <w:rsid w:val="6C37292C"/>
    <w:rsid w:val="6C390B8D"/>
    <w:rsid w:val="6C3A18FC"/>
    <w:rsid w:val="6C3C0B54"/>
    <w:rsid w:val="6C3C77BE"/>
    <w:rsid w:val="6C3D53F7"/>
    <w:rsid w:val="6C40147E"/>
    <w:rsid w:val="6C43222C"/>
    <w:rsid w:val="6C4D1E7A"/>
    <w:rsid w:val="6C543670"/>
    <w:rsid w:val="6C557444"/>
    <w:rsid w:val="6C597B97"/>
    <w:rsid w:val="6C60287A"/>
    <w:rsid w:val="6C682722"/>
    <w:rsid w:val="6C683EE0"/>
    <w:rsid w:val="6C683F0D"/>
    <w:rsid w:val="6C6A54D0"/>
    <w:rsid w:val="6C6B2F69"/>
    <w:rsid w:val="6C6C1673"/>
    <w:rsid w:val="6C6D7F60"/>
    <w:rsid w:val="6C73292B"/>
    <w:rsid w:val="6C775168"/>
    <w:rsid w:val="6C777AA5"/>
    <w:rsid w:val="6C7B0B3C"/>
    <w:rsid w:val="6C7B1741"/>
    <w:rsid w:val="6C7C4605"/>
    <w:rsid w:val="6C7C5DB1"/>
    <w:rsid w:val="6C7E501B"/>
    <w:rsid w:val="6C7F047D"/>
    <w:rsid w:val="6C7F502E"/>
    <w:rsid w:val="6C826E4A"/>
    <w:rsid w:val="6C855BA9"/>
    <w:rsid w:val="6C872306"/>
    <w:rsid w:val="6C89756B"/>
    <w:rsid w:val="6C8F1251"/>
    <w:rsid w:val="6C8F1BE8"/>
    <w:rsid w:val="6C9336D6"/>
    <w:rsid w:val="6C933A3E"/>
    <w:rsid w:val="6C940EDB"/>
    <w:rsid w:val="6C9D16BE"/>
    <w:rsid w:val="6CA07CFC"/>
    <w:rsid w:val="6CA15E4D"/>
    <w:rsid w:val="6CA31A21"/>
    <w:rsid w:val="6CA81AC1"/>
    <w:rsid w:val="6CAB1F0F"/>
    <w:rsid w:val="6CAB4780"/>
    <w:rsid w:val="6CAD6D04"/>
    <w:rsid w:val="6CAF0149"/>
    <w:rsid w:val="6CAF3C13"/>
    <w:rsid w:val="6CB02947"/>
    <w:rsid w:val="6CB47BE5"/>
    <w:rsid w:val="6CB614A6"/>
    <w:rsid w:val="6CC03873"/>
    <w:rsid w:val="6CC03A17"/>
    <w:rsid w:val="6CC25EAE"/>
    <w:rsid w:val="6CC35608"/>
    <w:rsid w:val="6CC81BCB"/>
    <w:rsid w:val="6CCA1CA2"/>
    <w:rsid w:val="6CCB3ECA"/>
    <w:rsid w:val="6CCD1050"/>
    <w:rsid w:val="6CD84ADF"/>
    <w:rsid w:val="6CE35A11"/>
    <w:rsid w:val="6CE428CD"/>
    <w:rsid w:val="6CE56A70"/>
    <w:rsid w:val="6CE81118"/>
    <w:rsid w:val="6CE93026"/>
    <w:rsid w:val="6CEB1AEE"/>
    <w:rsid w:val="6CF01138"/>
    <w:rsid w:val="6CF9734F"/>
    <w:rsid w:val="6CFA51AB"/>
    <w:rsid w:val="6CFA52B8"/>
    <w:rsid w:val="6CFB308B"/>
    <w:rsid w:val="6CFE76C4"/>
    <w:rsid w:val="6D051F6F"/>
    <w:rsid w:val="6D06002E"/>
    <w:rsid w:val="6D074D69"/>
    <w:rsid w:val="6D085338"/>
    <w:rsid w:val="6D0D625C"/>
    <w:rsid w:val="6D11435F"/>
    <w:rsid w:val="6D12057F"/>
    <w:rsid w:val="6D150646"/>
    <w:rsid w:val="6D154807"/>
    <w:rsid w:val="6D15764B"/>
    <w:rsid w:val="6D165BF2"/>
    <w:rsid w:val="6D1D79E9"/>
    <w:rsid w:val="6D1F2876"/>
    <w:rsid w:val="6D2C0B9D"/>
    <w:rsid w:val="6D2C51B0"/>
    <w:rsid w:val="6D2F142F"/>
    <w:rsid w:val="6D2F1AFD"/>
    <w:rsid w:val="6D37335B"/>
    <w:rsid w:val="6D3A3B67"/>
    <w:rsid w:val="6D3A3EAE"/>
    <w:rsid w:val="6D3A4F54"/>
    <w:rsid w:val="6D4509A7"/>
    <w:rsid w:val="6D45218F"/>
    <w:rsid w:val="6D4654D9"/>
    <w:rsid w:val="6D4A1385"/>
    <w:rsid w:val="6D4A3FA8"/>
    <w:rsid w:val="6D4D2020"/>
    <w:rsid w:val="6D4E0AA8"/>
    <w:rsid w:val="6D523AD7"/>
    <w:rsid w:val="6D542E82"/>
    <w:rsid w:val="6D5455AE"/>
    <w:rsid w:val="6D5663C0"/>
    <w:rsid w:val="6D6043C3"/>
    <w:rsid w:val="6D637545"/>
    <w:rsid w:val="6D65651E"/>
    <w:rsid w:val="6D663CBA"/>
    <w:rsid w:val="6D675FC6"/>
    <w:rsid w:val="6D6A4A33"/>
    <w:rsid w:val="6D6C3CEB"/>
    <w:rsid w:val="6D6F64B7"/>
    <w:rsid w:val="6D7074EA"/>
    <w:rsid w:val="6D71527D"/>
    <w:rsid w:val="6D7217C7"/>
    <w:rsid w:val="6D7C19A8"/>
    <w:rsid w:val="6D7D3CD5"/>
    <w:rsid w:val="6D7D5FF8"/>
    <w:rsid w:val="6D7E2C27"/>
    <w:rsid w:val="6D80092E"/>
    <w:rsid w:val="6D824E32"/>
    <w:rsid w:val="6D827EF2"/>
    <w:rsid w:val="6D8515C7"/>
    <w:rsid w:val="6D875606"/>
    <w:rsid w:val="6D8E4923"/>
    <w:rsid w:val="6D916514"/>
    <w:rsid w:val="6D922F37"/>
    <w:rsid w:val="6D957EA8"/>
    <w:rsid w:val="6D9836A5"/>
    <w:rsid w:val="6D9836AB"/>
    <w:rsid w:val="6D984315"/>
    <w:rsid w:val="6D9A064F"/>
    <w:rsid w:val="6D9C3ADB"/>
    <w:rsid w:val="6D9F273F"/>
    <w:rsid w:val="6DA1339C"/>
    <w:rsid w:val="6DA37BFC"/>
    <w:rsid w:val="6DA51358"/>
    <w:rsid w:val="6DAA1631"/>
    <w:rsid w:val="6DAB7147"/>
    <w:rsid w:val="6DB07A8D"/>
    <w:rsid w:val="6DB355D4"/>
    <w:rsid w:val="6DB42A2E"/>
    <w:rsid w:val="6DB65BE5"/>
    <w:rsid w:val="6DB921EA"/>
    <w:rsid w:val="6DBA6BF2"/>
    <w:rsid w:val="6DBC21E3"/>
    <w:rsid w:val="6DBD2AB6"/>
    <w:rsid w:val="6DC36662"/>
    <w:rsid w:val="6DC922ED"/>
    <w:rsid w:val="6DD3499F"/>
    <w:rsid w:val="6DD51D1A"/>
    <w:rsid w:val="6DD660D0"/>
    <w:rsid w:val="6DDB28BF"/>
    <w:rsid w:val="6DDE7427"/>
    <w:rsid w:val="6DE048F2"/>
    <w:rsid w:val="6DE051CF"/>
    <w:rsid w:val="6DE32977"/>
    <w:rsid w:val="6DE61086"/>
    <w:rsid w:val="6DE663AA"/>
    <w:rsid w:val="6DE76FB9"/>
    <w:rsid w:val="6DE85B3E"/>
    <w:rsid w:val="6DE86CD1"/>
    <w:rsid w:val="6DF07960"/>
    <w:rsid w:val="6DF23F77"/>
    <w:rsid w:val="6DF270C9"/>
    <w:rsid w:val="6DF40B47"/>
    <w:rsid w:val="6DF57936"/>
    <w:rsid w:val="6DF82246"/>
    <w:rsid w:val="6E006567"/>
    <w:rsid w:val="6E023437"/>
    <w:rsid w:val="6E024A8D"/>
    <w:rsid w:val="6E026C6E"/>
    <w:rsid w:val="6E035C85"/>
    <w:rsid w:val="6E0673AE"/>
    <w:rsid w:val="6E093BA2"/>
    <w:rsid w:val="6E096417"/>
    <w:rsid w:val="6E0A2070"/>
    <w:rsid w:val="6E0C4137"/>
    <w:rsid w:val="6E114C9D"/>
    <w:rsid w:val="6E161F9E"/>
    <w:rsid w:val="6E1C4E76"/>
    <w:rsid w:val="6E201C22"/>
    <w:rsid w:val="6E204B33"/>
    <w:rsid w:val="6E205FC3"/>
    <w:rsid w:val="6E227C7F"/>
    <w:rsid w:val="6E234659"/>
    <w:rsid w:val="6E234D02"/>
    <w:rsid w:val="6E27441B"/>
    <w:rsid w:val="6E27737D"/>
    <w:rsid w:val="6E2808CA"/>
    <w:rsid w:val="6E293838"/>
    <w:rsid w:val="6E2A2D65"/>
    <w:rsid w:val="6E2F6A02"/>
    <w:rsid w:val="6E355392"/>
    <w:rsid w:val="6E380CD5"/>
    <w:rsid w:val="6E3844EE"/>
    <w:rsid w:val="6E393B4F"/>
    <w:rsid w:val="6E393BA3"/>
    <w:rsid w:val="6E3B6148"/>
    <w:rsid w:val="6E3D40C4"/>
    <w:rsid w:val="6E3E4089"/>
    <w:rsid w:val="6E3E4991"/>
    <w:rsid w:val="6E3E66D0"/>
    <w:rsid w:val="6E460384"/>
    <w:rsid w:val="6E466AB7"/>
    <w:rsid w:val="6E48545F"/>
    <w:rsid w:val="6E4C6069"/>
    <w:rsid w:val="6E4E2BBE"/>
    <w:rsid w:val="6E4F137E"/>
    <w:rsid w:val="6E502BDE"/>
    <w:rsid w:val="6E515A64"/>
    <w:rsid w:val="6E5441C8"/>
    <w:rsid w:val="6E5753DD"/>
    <w:rsid w:val="6E576E47"/>
    <w:rsid w:val="6E583FB2"/>
    <w:rsid w:val="6E5871CA"/>
    <w:rsid w:val="6E5B08AF"/>
    <w:rsid w:val="6E5B4729"/>
    <w:rsid w:val="6E5F1971"/>
    <w:rsid w:val="6E623054"/>
    <w:rsid w:val="6E625078"/>
    <w:rsid w:val="6E6320C4"/>
    <w:rsid w:val="6E63519A"/>
    <w:rsid w:val="6E646DC2"/>
    <w:rsid w:val="6E6710B2"/>
    <w:rsid w:val="6E687E63"/>
    <w:rsid w:val="6E73127C"/>
    <w:rsid w:val="6E757CAE"/>
    <w:rsid w:val="6E763F2C"/>
    <w:rsid w:val="6E7B52FA"/>
    <w:rsid w:val="6E801D9C"/>
    <w:rsid w:val="6E855C38"/>
    <w:rsid w:val="6E856752"/>
    <w:rsid w:val="6E863421"/>
    <w:rsid w:val="6E87676F"/>
    <w:rsid w:val="6E8A0D40"/>
    <w:rsid w:val="6E8E233F"/>
    <w:rsid w:val="6E905E29"/>
    <w:rsid w:val="6E9155F4"/>
    <w:rsid w:val="6E961331"/>
    <w:rsid w:val="6E964BE9"/>
    <w:rsid w:val="6E970658"/>
    <w:rsid w:val="6E983758"/>
    <w:rsid w:val="6E985C7F"/>
    <w:rsid w:val="6E9A6DCC"/>
    <w:rsid w:val="6E9B431B"/>
    <w:rsid w:val="6EA104AD"/>
    <w:rsid w:val="6EA13B02"/>
    <w:rsid w:val="6EA64B14"/>
    <w:rsid w:val="6EA856C5"/>
    <w:rsid w:val="6EA94DEA"/>
    <w:rsid w:val="6EAB7580"/>
    <w:rsid w:val="6EAD0C39"/>
    <w:rsid w:val="6EAE0500"/>
    <w:rsid w:val="6EAF7BBF"/>
    <w:rsid w:val="6EB21EB3"/>
    <w:rsid w:val="6EB22349"/>
    <w:rsid w:val="6EB57AE1"/>
    <w:rsid w:val="6EB6751E"/>
    <w:rsid w:val="6EB83D21"/>
    <w:rsid w:val="6EBF0BB7"/>
    <w:rsid w:val="6EC24148"/>
    <w:rsid w:val="6EC40A75"/>
    <w:rsid w:val="6EC4538B"/>
    <w:rsid w:val="6ECC58FA"/>
    <w:rsid w:val="6ECF633E"/>
    <w:rsid w:val="6ED17053"/>
    <w:rsid w:val="6ED20573"/>
    <w:rsid w:val="6ED40D30"/>
    <w:rsid w:val="6EDC0477"/>
    <w:rsid w:val="6EDC4381"/>
    <w:rsid w:val="6EDE7454"/>
    <w:rsid w:val="6EE172D1"/>
    <w:rsid w:val="6EE236D7"/>
    <w:rsid w:val="6EE328FA"/>
    <w:rsid w:val="6EE32CBD"/>
    <w:rsid w:val="6EE74C8B"/>
    <w:rsid w:val="6EEE6D0C"/>
    <w:rsid w:val="6EF21420"/>
    <w:rsid w:val="6EF248CB"/>
    <w:rsid w:val="6EF37E73"/>
    <w:rsid w:val="6EF46891"/>
    <w:rsid w:val="6EF5591D"/>
    <w:rsid w:val="6EFD2E23"/>
    <w:rsid w:val="6EFF2516"/>
    <w:rsid w:val="6F0002AC"/>
    <w:rsid w:val="6F0139DE"/>
    <w:rsid w:val="6F016715"/>
    <w:rsid w:val="6F022F0A"/>
    <w:rsid w:val="6F050AA7"/>
    <w:rsid w:val="6F0521E7"/>
    <w:rsid w:val="6F065C3A"/>
    <w:rsid w:val="6F0D73B0"/>
    <w:rsid w:val="6F0F3ACB"/>
    <w:rsid w:val="6F142077"/>
    <w:rsid w:val="6F1458AB"/>
    <w:rsid w:val="6F160FB7"/>
    <w:rsid w:val="6F210B6B"/>
    <w:rsid w:val="6F21120C"/>
    <w:rsid w:val="6F215B0A"/>
    <w:rsid w:val="6F247395"/>
    <w:rsid w:val="6F2D10ED"/>
    <w:rsid w:val="6F310247"/>
    <w:rsid w:val="6F31302B"/>
    <w:rsid w:val="6F3561BE"/>
    <w:rsid w:val="6F3C04EC"/>
    <w:rsid w:val="6F3E3AEA"/>
    <w:rsid w:val="6F3E3E03"/>
    <w:rsid w:val="6F43148A"/>
    <w:rsid w:val="6F4460FA"/>
    <w:rsid w:val="6F490342"/>
    <w:rsid w:val="6F4B445A"/>
    <w:rsid w:val="6F4D746B"/>
    <w:rsid w:val="6F4E15F6"/>
    <w:rsid w:val="6F4E7854"/>
    <w:rsid w:val="6F5125D0"/>
    <w:rsid w:val="6F540F14"/>
    <w:rsid w:val="6F550120"/>
    <w:rsid w:val="6F557961"/>
    <w:rsid w:val="6F5D1A71"/>
    <w:rsid w:val="6F617F72"/>
    <w:rsid w:val="6F630B9B"/>
    <w:rsid w:val="6F674FD2"/>
    <w:rsid w:val="6F6B3942"/>
    <w:rsid w:val="6F6C5B9E"/>
    <w:rsid w:val="6F751996"/>
    <w:rsid w:val="6F7A63A7"/>
    <w:rsid w:val="6F7A6D0F"/>
    <w:rsid w:val="6F7B4E47"/>
    <w:rsid w:val="6F8045DE"/>
    <w:rsid w:val="6F8130E8"/>
    <w:rsid w:val="6F84657B"/>
    <w:rsid w:val="6F8606CA"/>
    <w:rsid w:val="6F88128D"/>
    <w:rsid w:val="6F8C5449"/>
    <w:rsid w:val="6F8D592D"/>
    <w:rsid w:val="6F8E60BE"/>
    <w:rsid w:val="6F9149D3"/>
    <w:rsid w:val="6F9219AD"/>
    <w:rsid w:val="6F930D92"/>
    <w:rsid w:val="6F9B5283"/>
    <w:rsid w:val="6F9F0A6C"/>
    <w:rsid w:val="6FA225CD"/>
    <w:rsid w:val="6FA24BB6"/>
    <w:rsid w:val="6FAD2442"/>
    <w:rsid w:val="6FAE47B3"/>
    <w:rsid w:val="6FB001CB"/>
    <w:rsid w:val="6FB207F4"/>
    <w:rsid w:val="6FB23368"/>
    <w:rsid w:val="6FB35A94"/>
    <w:rsid w:val="6FB44EA5"/>
    <w:rsid w:val="6FB52703"/>
    <w:rsid w:val="6FB54A95"/>
    <w:rsid w:val="6FB62006"/>
    <w:rsid w:val="6FBF4F24"/>
    <w:rsid w:val="6FC0032B"/>
    <w:rsid w:val="6FC269BE"/>
    <w:rsid w:val="6FC73AC0"/>
    <w:rsid w:val="6FC768EB"/>
    <w:rsid w:val="6FC91CF5"/>
    <w:rsid w:val="6FCC7733"/>
    <w:rsid w:val="6FCF24D6"/>
    <w:rsid w:val="6FD00341"/>
    <w:rsid w:val="6FD2037A"/>
    <w:rsid w:val="6FD72CBB"/>
    <w:rsid w:val="6FD812F2"/>
    <w:rsid w:val="6FD849C2"/>
    <w:rsid w:val="6FDA7A1E"/>
    <w:rsid w:val="6FDB0530"/>
    <w:rsid w:val="6FDB54B7"/>
    <w:rsid w:val="6FDF0635"/>
    <w:rsid w:val="6FE103F7"/>
    <w:rsid w:val="6FE2505A"/>
    <w:rsid w:val="6FE2626D"/>
    <w:rsid w:val="6FE45E0F"/>
    <w:rsid w:val="6FED2EA7"/>
    <w:rsid w:val="6FEE5D6C"/>
    <w:rsid w:val="6FEF194D"/>
    <w:rsid w:val="6FF20F66"/>
    <w:rsid w:val="6FF23458"/>
    <w:rsid w:val="6FF62A50"/>
    <w:rsid w:val="6FF634FC"/>
    <w:rsid w:val="6FF85DE3"/>
    <w:rsid w:val="6FFC6A9D"/>
    <w:rsid w:val="6FFD686C"/>
    <w:rsid w:val="6FFE2A7A"/>
    <w:rsid w:val="700075E8"/>
    <w:rsid w:val="70011625"/>
    <w:rsid w:val="70021092"/>
    <w:rsid w:val="7002402B"/>
    <w:rsid w:val="70084642"/>
    <w:rsid w:val="70096313"/>
    <w:rsid w:val="7010146B"/>
    <w:rsid w:val="70132BE5"/>
    <w:rsid w:val="701652C6"/>
    <w:rsid w:val="7017450E"/>
    <w:rsid w:val="701809CB"/>
    <w:rsid w:val="701A11A3"/>
    <w:rsid w:val="701C25FA"/>
    <w:rsid w:val="701E33AA"/>
    <w:rsid w:val="701F21CD"/>
    <w:rsid w:val="701F5D43"/>
    <w:rsid w:val="70204B84"/>
    <w:rsid w:val="70225EA1"/>
    <w:rsid w:val="702372A0"/>
    <w:rsid w:val="70253DB0"/>
    <w:rsid w:val="70267FA0"/>
    <w:rsid w:val="70285747"/>
    <w:rsid w:val="702C7E61"/>
    <w:rsid w:val="702E7C6E"/>
    <w:rsid w:val="70311620"/>
    <w:rsid w:val="7032540B"/>
    <w:rsid w:val="70330461"/>
    <w:rsid w:val="7037702C"/>
    <w:rsid w:val="703C17CC"/>
    <w:rsid w:val="703C1D59"/>
    <w:rsid w:val="704076CF"/>
    <w:rsid w:val="70435B10"/>
    <w:rsid w:val="70445A1F"/>
    <w:rsid w:val="704E6CBF"/>
    <w:rsid w:val="704E712C"/>
    <w:rsid w:val="70501D27"/>
    <w:rsid w:val="705231D8"/>
    <w:rsid w:val="705248BF"/>
    <w:rsid w:val="70556348"/>
    <w:rsid w:val="70570909"/>
    <w:rsid w:val="70572972"/>
    <w:rsid w:val="70576BEB"/>
    <w:rsid w:val="705E6C90"/>
    <w:rsid w:val="70621E29"/>
    <w:rsid w:val="70625D8A"/>
    <w:rsid w:val="706A3261"/>
    <w:rsid w:val="70732CB6"/>
    <w:rsid w:val="707354FE"/>
    <w:rsid w:val="70765F33"/>
    <w:rsid w:val="70770BF1"/>
    <w:rsid w:val="70804CF2"/>
    <w:rsid w:val="708B6B56"/>
    <w:rsid w:val="708C7F4E"/>
    <w:rsid w:val="708D087C"/>
    <w:rsid w:val="708D4594"/>
    <w:rsid w:val="70936740"/>
    <w:rsid w:val="7094024C"/>
    <w:rsid w:val="7098706A"/>
    <w:rsid w:val="709C0E50"/>
    <w:rsid w:val="709C6174"/>
    <w:rsid w:val="709E1FB3"/>
    <w:rsid w:val="709E4A61"/>
    <w:rsid w:val="709E57E6"/>
    <w:rsid w:val="70A30575"/>
    <w:rsid w:val="70A503BF"/>
    <w:rsid w:val="70A53F00"/>
    <w:rsid w:val="70A7350A"/>
    <w:rsid w:val="70AB5983"/>
    <w:rsid w:val="70AB7595"/>
    <w:rsid w:val="70AD0C80"/>
    <w:rsid w:val="70B02165"/>
    <w:rsid w:val="70B47CE6"/>
    <w:rsid w:val="70B7412D"/>
    <w:rsid w:val="70B9086A"/>
    <w:rsid w:val="70BA03B6"/>
    <w:rsid w:val="70BA7E74"/>
    <w:rsid w:val="70BD6CFE"/>
    <w:rsid w:val="70BF4542"/>
    <w:rsid w:val="70C13BB0"/>
    <w:rsid w:val="70C21372"/>
    <w:rsid w:val="70C9354D"/>
    <w:rsid w:val="70CC7286"/>
    <w:rsid w:val="70CD0668"/>
    <w:rsid w:val="70CF2C59"/>
    <w:rsid w:val="70D26C2A"/>
    <w:rsid w:val="70D31B3C"/>
    <w:rsid w:val="70D40329"/>
    <w:rsid w:val="70D64DAF"/>
    <w:rsid w:val="70D80DF4"/>
    <w:rsid w:val="70D91278"/>
    <w:rsid w:val="70DB17F2"/>
    <w:rsid w:val="70DB2760"/>
    <w:rsid w:val="70DB6052"/>
    <w:rsid w:val="70DC4843"/>
    <w:rsid w:val="70DF2E3E"/>
    <w:rsid w:val="70E15594"/>
    <w:rsid w:val="70E41988"/>
    <w:rsid w:val="70E43D6B"/>
    <w:rsid w:val="70E53F42"/>
    <w:rsid w:val="70E722C3"/>
    <w:rsid w:val="70EB5C84"/>
    <w:rsid w:val="70F05445"/>
    <w:rsid w:val="70F37859"/>
    <w:rsid w:val="70F45862"/>
    <w:rsid w:val="70F46323"/>
    <w:rsid w:val="70F6017B"/>
    <w:rsid w:val="70F87816"/>
    <w:rsid w:val="70FA60A2"/>
    <w:rsid w:val="70FD3408"/>
    <w:rsid w:val="70FE04C1"/>
    <w:rsid w:val="710053CC"/>
    <w:rsid w:val="71046615"/>
    <w:rsid w:val="71057E66"/>
    <w:rsid w:val="710A713F"/>
    <w:rsid w:val="710F14C8"/>
    <w:rsid w:val="710F7550"/>
    <w:rsid w:val="711261BB"/>
    <w:rsid w:val="711560B3"/>
    <w:rsid w:val="71173DC0"/>
    <w:rsid w:val="71247FF4"/>
    <w:rsid w:val="71291B9B"/>
    <w:rsid w:val="712A1E3B"/>
    <w:rsid w:val="712C4292"/>
    <w:rsid w:val="712C6F00"/>
    <w:rsid w:val="71305167"/>
    <w:rsid w:val="7130643E"/>
    <w:rsid w:val="713200FC"/>
    <w:rsid w:val="713A1322"/>
    <w:rsid w:val="713C179D"/>
    <w:rsid w:val="713C4180"/>
    <w:rsid w:val="713C5E6F"/>
    <w:rsid w:val="714048CD"/>
    <w:rsid w:val="71490AE9"/>
    <w:rsid w:val="71490F79"/>
    <w:rsid w:val="714D441F"/>
    <w:rsid w:val="714D717A"/>
    <w:rsid w:val="71501841"/>
    <w:rsid w:val="7154105F"/>
    <w:rsid w:val="7154245D"/>
    <w:rsid w:val="715827AF"/>
    <w:rsid w:val="715F2AD6"/>
    <w:rsid w:val="71612517"/>
    <w:rsid w:val="71643F78"/>
    <w:rsid w:val="7164641A"/>
    <w:rsid w:val="716701B1"/>
    <w:rsid w:val="71713577"/>
    <w:rsid w:val="71732792"/>
    <w:rsid w:val="71766691"/>
    <w:rsid w:val="717847A9"/>
    <w:rsid w:val="717A5907"/>
    <w:rsid w:val="717B77CF"/>
    <w:rsid w:val="717D003A"/>
    <w:rsid w:val="7182137C"/>
    <w:rsid w:val="71826CE0"/>
    <w:rsid w:val="718A04AD"/>
    <w:rsid w:val="718A490B"/>
    <w:rsid w:val="718D45B2"/>
    <w:rsid w:val="71925303"/>
    <w:rsid w:val="71955EC2"/>
    <w:rsid w:val="719A73D8"/>
    <w:rsid w:val="71A10069"/>
    <w:rsid w:val="71A30D38"/>
    <w:rsid w:val="71AC21DD"/>
    <w:rsid w:val="71AD0AA1"/>
    <w:rsid w:val="71AF637C"/>
    <w:rsid w:val="71B06E20"/>
    <w:rsid w:val="71B17FF7"/>
    <w:rsid w:val="71B25348"/>
    <w:rsid w:val="71B7148E"/>
    <w:rsid w:val="71B811A9"/>
    <w:rsid w:val="71C010C4"/>
    <w:rsid w:val="71C27B76"/>
    <w:rsid w:val="71C304AF"/>
    <w:rsid w:val="71C33FD9"/>
    <w:rsid w:val="71C769B4"/>
    <w:rsid w:val="71C80255"/>
    <w:rsid w:val="71D07965"/>
    <w:rsid w:val="71D1071B"/>
    <w:rsid w:val="71D65F72"/>
    <w:rsid w:val="71D75D77"/>
    <w:rsid w:val="71DA6E5F"/>
    <w:rsid w:val="71DB0A72"/>
    <w:rsid w:val="71DE544B"/>
    <w:rsid w:val="71E4057A"/>
    <w:rsid w:val="71E47262"/>
    <w:rsid w:val="71E574A6"/>
    <w:rsid w:val="71E857D9"/>
    <w:rsid w:val="71EC0231"/>
    <w:rsid w:val="71EC729F"/>
    <w:rsid w:val="71ED4003"/>
    <w:rsid w:val="71F22987"/>
    <w:rsid w:val="71F63C73"/>
    <w:rsid w:val="71F75765"/>
    <w:rsid w:val="71FA7DBC"/>
    <w:rsid w:val="71FC115F"/>
    <w:rsid w:val="71FD5886"/>
    <w:rsid w:val="71FE4809"/>
    <w:rsid w:val="72061404"/>
    <w:rsid w:val="720A57E4"/>
    <w:rsid w:val="720C6FB8"/>
    <w:rsid w:val="720E6FFF"/>
    <w:rsid w:val="7213566D"/>
    <w:rsid w:val="7217027D"/>
    <w:rsid w:val="721765D9"/>
    <w:rsid w:val="721A1A4B"/>
    <w:rsid w:val="721C2FF4"/>
    <w:rsid w:val="721C529F"/>
    <w:rsid w:val="722148E8"/>
    <w:rsid w:val="72215A50"/>
    <w:rsid w:val="72226D15"/>
    <w:rsid w:val="722C7ED4"/>
    <w:rsid w:val="722E6BB6"/>
    <w:rsid w:val="72363641"/>
    <w:rsid w:val="723A14B9"/>
    <w:rsid w:val="723B7C3F"/>
    <w:rsid w:val="723D2B04"/>
    <w:rsid w:val="72405903"/>
    <w:rsid w:val="72427ACD"/>
    <w:rsid w:val="72437C01"/>
    <w:rsid w:val="724606D5"/>
    <w:rsid w:val="724844BF"/>
    <w:rsid w:val="724D041B"/>
    <w:rsid w:val="725256D3"/>
    <w:rsid w:val="72531F3E"/>
    <w:rsid w:val="7255279C"/>
    <w:rsid w:val="725656C4"/>
    <w:rsid w:val="725B67AC"/>
    <w:rsid w:val="72616BB9"/>
    <w:rsid w:val="72625908"/>
    <w:rsid w:val="72630576"/>
    <w:rsid w:val="72680333"/>
    <w:rsid w:val="726958D9"/>
    <w:rsid w:val="726C3FD5"/>
    <w:rsid w:val="726D3CBC"/>
    <w:rsid w:val="726E2701"/>
    <w:rsid w:val="726E5D1C"/>
    <w:rsid w:val="726F0B9A"/>
    <w:rsid w:val="72716B68"/>
    <w:rsid w:val="7272704B"/>
    <w:rsid w:val="727317EF"/>
    <w:rsid w:val="727A0BD8"/>
    <w:rsid w:val="727A7E67"/>
    <w:rsid w:val="7280423B"/>
    <w:rsid w:val="72865027"/>
    <w:rsid w:val="72872F93"/>
    <w:rsid w:val="728734A5"/>
    <w:rsid w:val="7289012E"/>
    <w:rsid w:val="728C7DAA"/>
    <w:rsid w:val="728E392F"/>
    <w:rsid w:val="72902AA9"/>
    <w:rsid w:val="7290399E"/>
    <w:rsid w:val="72952798"/>
    <w:rsid w:val="72967214"/>
    <w:rsid w:val="72984397"/>
    <w:rsid w:val="72995801"/>
    <w:rsid w:val="729A5BA5"/>
    <w:rsid w:val="72AC1E57"/>
    <w:rsid w:val="72AD133B"/>
    <w:rsid w:val="72AE2158"/>
    <w:rsid w:val="72AF26E6"/>
    <w:rsid w:val="72B4176B"/>
    <w:rsid w:val="72B558C1"/>
    <w:rsid w:val="72B7423F"/>
    <w:rsid w:val="72B76295"/>
    <w:rsid w:val="72B94E28"/>
    <w:rsid w:val="72BB0852"/>
    <w:rsid w:val="72C17D38"/>
    <w:rsid w:val="72C557BB"/>
    <w:rsid w:val="72C70DB9"/>
    <w:rsid w:val="72C845A8"/>
    <w:rsid w:val="72CC36C3"/>
    <w:rsid w:val="72CC650C"/>
    <w:rsid w:val="72CE68AE"/>
    <w:rsid w:val="72CF03F5"/>
    <w:rsid w:val="72CF7D6E"/>
    <w:rsid w:val="72D10982"/>
    <w:rsid w:val="72D13546"/>
    <w:rsid w:val="72D34527"/>
    <w:rsid w:val="72D666A1"/>
    <w:rsid w:val="72D72995"/>
    <w:rsid w:val="72D8092B"/>
    <w:rsid w:val="72D85081"/>
    <w:rsid w:val="72D97A72"/>
    <w:rsid w:val="72DC6523"/>
    <w:rsid w:val="72DD64C3"/>
    <w:rsid w:val="72DE19F1"/>
    <w:rsid w:val="72E76A03"/>
    <w:rsid w:val="72E93846"/>
    <w:rsid w:val="72EB2D84"/>
    <w:rsid w:val="72F25AC8"/>
    <w:rsid w:val="72F630B7"/>
    <w:rsid w:val="72F752C8"/>
    <w:rsid w:val="72FB1884"/>
    <w:rsid w:val="72FB39E0"/>
    <w:rsid w:val="72FE67F6"/>
    <w:rsid w:val="7304087E"/>
    <w:rsid w:val="73111402"/>
    <w:rsid w:val="73117512"/>
    <w:rsid w:val="73150E5C"/>
    <w:rsid w:val="731A1CC0"/>
    <w:rsid w:val="731A4ED9"/>
    <w:rsid w:val="731C1E2D"/>
    <w:rsid w:val="731C5712"/>
    <w:rsid w:val="732062F5"/>
    <w:rsid w:val="73207DD4"/>
    <w:rsid w:val="73265F61"/>
    <w:rsid w:val="7328324E"/>
    <w:rsid w:val="732A2D72"/>
    <w:rsid w:val="732F631C"/>
    <w:rsid w:val="73321341"/>
    <w:rsid w:val="7332599D"/>
    <w:rsid w:val="733626D8"/>
    <w:rsid w:val="733651FD"/>
    <w:rsid w:val="733771E3"/>
    <w:rsid w:val="733867C6"/>
    <w:rsid w:val="733B0966"/>
    <w:rsid w:val="733C18B6"/>
    <w:rsid w:val="733D3BB5"/>
    <w:rsid w:val="733D7C83"/>
    <w:rsid w:val="734054C0"/>
    <w:rsid w:val="7341051E"/>
    <w:rsid w:val="73430C2F"/>
    <w:rsid w:val="73490D1A"/>
    <w:rsid w:val="735154B9"/>
    <w:rsid w:val="73520DA2"/>
    <w:rsid w:val="7353143D"/>
    <w:rsid w:val="73550A62"/>
    <w:rsid w:val="73561ABB"/>
    <w:rsid w:val="73573A73"/>
    <w:rsid w:val="7364178C"/>
    <w:rsid w:val="73660C99"/>
    <w:rsid w:val="736744CE"/>
    <w:rsid w:val="736F02DA"/>
    <w:rsid w:val="73712588"/>
    <w:rsid w:val="737910E2"/>
    <w:rsid w:val="737E0183"/>
    <w:rsid w:val="737E70BF"/>
    <w:rsid w:val="738266A4"/>
    <w:rsid w:val="738543D6"/>
    <w:rsid w:val="738864CC"/>
    <w:rsid w:val="738D3B18"/>
    <w:rsid w:val="738D3FEC"/>
    <w:rsid w:val="738F2CD4"/>
    <w:rsid w:val="738F6810"/>
    <w:rsid w:val="73984340"/>
    <w:rsid w:val="739B20E1"/>
    <w:rsid w:val="73A35B32"/>
    <w:rsid w:val="73A546D5"/>
    <w:rsid w:val="73A5578A"/>
    <w:rsid w:val="73A8372E"/>
    <w:rsid w:val="73A845E2"/>
    <w:rsid w:val="73AC2BA6"/>
    <w:rsid w:val="73AF2756"/>
    <w:rsid w:val="73B06CAC"/>
    <w:rsid w:val="73B32D04"/>
    <w:rsid w:val="73B47BB5"/>
    <w:rsid w:val="73BB1C3E"/>
    <w:rsid w:val="73CC65AE"/>
    <w:rsid w:val="73CC734E"/>
    <w:rsid w:val="73CD4B11"/>
    <w:rsid w:val="73CE77AD"/>
    <w:rsid w:val="73D552A5"/>
    <w:rsid w:val="73D85950"/>
    <w:rsid w:val="73D935B6"/>
    <w:rsid w:val="73DB47F2"/>
    <w:rsid w:val="73DE5E5C"/>
    <w:rsid w:val="73E625BB"/>
    <w:rsid w:val="73E63A8D"/>
    <w:rsid w:val="73E9542F"/>
    <w:rsid w:val="73EC65DE"/>
    <w:rsid w:val="73EF0E8F"/>
    <w:rsid w:val="73EF24E0"/>
    <w:rsid w:val="73F45C64"/>
    <w:rsid w:val="73F52BF8"/>
    <w:rsid w:val="73F94BE5"/>
    <w:rsid w:val="73FC1D22"/>
    <w:rsid w:val="740550E4"/>
    <w:rsid w:val="7406307A"/>
    <w:rsid w:val="74095D14"/>
    <w:rsid w:val="740C48BE"/>
    <w:rsid w:val="740E5F0E"/>
    <w:rsid w:val="740F20EC"/>
    <w:rsid w:val="740F2120"/>
    <w:rsid w:val="740F7E51"/>
    <w:rsid w:val="741578D7"/>
    <w:rsid w:val="74166020"/>
    <w:rsid w:val="741718E9"/>
    <w:rsid w:val="74171BC8"/>
    <w:rsid w:val="74181128"/>
    <w:rsid w:val="741C618F"/>
    <w:rsid w:val="74201ED1"/>
    <w:rsid w:val="742130C7"/>
    <w:rsid w:val="74222849"/>
    <w:rsid w:val="74243FCC"/>
    <w:rsid w:val="74250A3F"/>
    <w:rsid w:val="74290CAE"/>
    <w:rsid w:val="742B3E15"/>
    <w:rsid w:val="742E6D7B"/>
    <w:rsid w:val="7435400C"/>
    <w:rsid w:val="74375B2E"/>
    <w:rsid w:val="74385D4C"/>
    <w:rsid w:val="74392321"/>
    <w:rsid w:val="74422673"/>
    <w:rsid w:val="74443D3A"/>
    <w:rsid w:val="744B2008"/>
    <w:rsid w:val="74544EA1"/>
    <w:rsid w:val="74587E33"/>
    <w:rsid w:val="745B5CA8"/>
    <w:rsid w:val="745B7C8A"/>
    <w:rsid w:val="745F4301"/>
    <w:rsid w:val="74697D34"/>
    <w:rsid w:val="746F01A0"/>
    <w:rsid w:val="747171CA"/>
    <w:rsid w:val="747700A4"/>
    <w:rsid w:val="74826D79"/>
    <w:rsid w:val="7487290D"/>
    <w:rsid w:val="74873E7C"/>
    <w:rsid w:val="748E3E87"/>
    <w:rsid w:val="748F6D46"/>
    <w:rsid w:val="748F722C"/>
    <w:rsid w:val="74911CF7"/>
    <w:rsid w:val="749227E5"/>
    <w:rsid w:val="74924C9E"/>
    <w:rsid w:val="74936540"/>
    <w:rsid w:val="74946348"/>
    <w:rsid w:val="749555E6"/>
    <w:rsid w:val="749D0305"/>
    <w:rsid w:val="749E35A5"/>
    <w:rsid w:val="74A356A8"/>
    <w:rsid w:val="74A91807"/>
    <w:rsid w:val="74AC7A56"/>
    <w:rsid w:val="74AD627F"/>
    <w:rsid w:val="74AE36F6"/>
    <w:rsid w:val="74B7564B"/>
    <w:rsid w:val="74B9549D"/>
    <w:rsid w:val="74BD618E"/>
    <w:rsid w:val="74BE5577"/>
    <w:rsid w:val="74BF7241"/>
    <w:rsid w:val="74C307BA"/>
    <w:rsid w:val="74C47A95"/>
    <w:rsid w:val="74C62CBC"/>
    <w:rsid w:val="74C74BA0"/>
    <w:rsid w:val="74CA6853"/>
    <w:rsid w:val="74CB0B60"/>
    <w:rsid w:val="74CD1C23"/>
    <w:rsid w:val="74CE279F"/>
    <w:rsid w:val="74CE7264"/>
    <w:rsid w:val="74CF0B59"/>
    <w:rsid w:val="74D158C9"/>
    <w:rsid w:val="74D32636"/>
    <w:rsid w:val="74D72D2B"/>
    <w:rsid w:val="74D7422E"/>
    <w:rsid w:val="74D80B9D"/>
    <w:rsid w:val="74D945C5"/>
    <w:rsid w:val="74DB3C73"/>
    <w:rsid w:val="74DB4787"/>
    <w:rsid w:val="74DC4E06"/>
    <w:rsid w:val="74DC562E"/>
    <w:rsid w:val="74E1056F"/>
    <w:rsid w:val="74E14D01"/>
    <w:rsid w:val="74E20CB3"/>
    <w:rsid w:val="74E718FA"/>
    <w:rsid w:val="74E728B0"/>
    <w:rsid w:val="74E95357"/>
    <w:rsid w:val="74EA0025"/>
    <w:rsid w:val="74EA3B2B"/>
    <w:rsid w:val="74ED4C4D"/>
    <w:rsid w:val="74EE5ED6"/>
    <w:rsid w:val="74F36F60"/>
    <w:rsid w:val="74F37D6E"/>
    <w:rsid w:val="74F763B1"/>
    <w:rsid w:val="74F95ECC"/>
    <w:rsid w:val="74FC5092"/>
    <w:rsid w:val="74FD7C4F"/>
    <w:rsid w:val="7500552E"/>
    <w:rsid w:val="750172BC"/>
    <w:rsid w:val="7505477C"/>
    <w:rsid w:val="7508329B"/>
    <w:rsid w:val="750C240A"/>
    <w:rsid w:val="750C29FA"/>
    <w:rsid w:val="750F5B74"/>
    <w:rsid w:val="752038E5"/>
    <w:rsid w:val="75224F24"/>
    <w:rsid w:val="75227A0A"/>
    <w:rsid w:val="7523683C"/>
    <w:rsid w:val="75253C0F"/>
    <w:rsid w:val="75293E69"/>
    <w:rsid w:val="752A163A"/>
    <w:rsid w:val="752B5804"/>
    <w:rsid w:val="752B7B91"/>
    <w:rsid w:val="752D7F41"/>
    <w:rsid w:val="75320324"/>
    <w:rsid w:val="75335748"/>
    <w:rsid w:val="75386505"/>
    <w:rsid w:val="753C3FEC"/>
    <w:rsid w:val="753F6CC2"/>
    <w:rsid w:val="75462AF5"/>
    <w:rsid w:val="7547375F"/>
    <w:rsid w:val="75485430"/>
    <w:rsid w:val="754864FB"/>
    <w:rsid w:val="754A003D"/>
    <w:rsid w:val="755024F0"/>
    <w:rsid w:val="75515EDB"/>
    <w:rsid w:val="755425A7"/>
    <w:rsid w:val="75570A54"/>
    <w:rsid w:val="75587070"/>
    <w:rsid w:val="755B476A"/>
    <w:rsid w:val="755D32E4"/>
    <w:rsid w:val="755F29DC"/>
    <w:rsid w:val="75637AE7"/>
    <w:rsid w:val="75691CD7"/>
    <w:rsid w:val="75692783"/>
    <w:rsid w:val="75697C54"/>
    <w:rsid w:val="756B46A1"/>
    <w:rsid w:val="7570053A"/>
    <w:rsid w:val="75711A35"/>
    <w:rsid w:val="75715AE6"/>
    <w:rsid w:val="75756CAE"/>
    <w:rsid w:val="7578462A"/>
    <w:rsid w:val="757959C3"/>
    <w:rsid w:val="757A0E81"/>
    <w:rsid w:val="757B142A"/>
    <w:rsid w:val="757B1C84"/>
    <w:rsid w:val="757B7200"/>
    <w:rsid w:val="758023E7"/>
    <w:rsid w:val="75802645"/>
    <w:rsid w:val="75811E88"/>
    <w:rsid w:val="75815D2F"/>
    <w:rsid w:val="758208D6"/>
    <w:rsid w:val="7584634E"/>
    <w:rsid w:val="758746CB"/>
    <w:rsid w:val="758C5396"/>
    <w:rsid w:val="75927A30"/>
    <w:rsid w:val="75954EAE"/>
    <w:rsid w:val="75955EB6"/>
    <w:rsid w:val="75987FC2"/>
    <w:rsid w:val="759C3BE3"/>
    <w:rsid w:val="75A470CA"/>
    <w:rsid w:val="75A61305"/>
    <w:rsid w:val="75A67D5D"/>
    <w:rsid w:val="75AB3471"/>
    <w:rsid w:val="75AB75CE"/>
    <w:rsid w:val="75AC2B95"/>
    <w:rsid w:val="75AF6540"/>
    <w:rsid w:val="75AF6839"/>
    <w:rsid w:val="75B56033"/>
    <w:rsid w:val="75B73661"/>
    <w:rsid w:val="75BD18AB"/>
    <w:rsid w:val="75BD5D9C"/>
    <w:rsid w:val="75C0669C"/>
    <w:rsid w:val="75C24BF9"/>
    <w:rsid w:val="75C263EF"/>
    <w:rsid w:val="75C65068"/>
    <w:rsid w:val="75CA10FE"/>
    <w:rsid w:val="75D0560A"/>
    <w:rsid w:val="75D37B1B"/>
    <w:rsid w:val="75D72B14"/>
    <w:rsid w:val="75DE7CB4"/>
    <w:rsid w:val="75E5223B"/>
    <w:rsid w:val="75EB148E"/>
    <w:rsid w:val="75EC0FA0"/>
    <w:rsid w:val="75EF18D6"/>
    <w:rsid w:val="75F0193A"/>
    <w:rsid w:val="75F4618C"/>
    <w:rsid w:val="75F6167C"/>
    <w:rsid w:val="75F7209A"/>
    <w:rsid w:val="75FD157B"/>
    <w:rsid w:val="75FD77CE"/>
    <w:rsid w:val="75FF4AF1"/>
    <w:rsid w:val="76017059"/>
    <w:rsid w:val="7606013E"/>
    <w:rsid w:val="760B57C8"/>
    <w:rsid w:val="760C4E4C"/>
    <w:rsid w:val="76105453"/>
    <w:rsid w:val="76123087"/>
    <w:rsid w:val="76131C32"/>
    <w:rsid w:val="76146E02"/>
    <w:rsid w:val="761A77F1"/>
    <w:rsid w:val="761B39CD"/>
    <w:rsid w:val="761E62FF"/>
    <w:rsid w:val="761F6398"/>
    <w:rsid w:val="762220D8"/>
    <w:rsid w:val="762A7727"/>
    <w:rsid w:val="762E246B"/>
    <w:rsid w:val="762E3C97"/>
    <w:rsid w:val="76312828"/>
    <w:rsid w:val="76341E40"/>
    <w:rsid w:val="763C0EE5"/>
    <w:rsid w:val="763D24B6"/>
    <w:rsid w:val="763E39A5"/>
    <w:rsid w:val="76401A62"/>
    <w:rsid w:val="76412426"/>
    <w:rsid w:val="7646571B"/>
    <w:rsid w:val="76490B36"/>
    <w:rsid w:val="764E757C"/>
    <w:rsid w:val="76512FBC"/>
    <w:rsid w:val="76552ECD"/>
    <w:rsid w:val="76566185"/>
    <w:rsid w:val="765770B9"/>
    <w:rsid w:val="765A6CD1"/>
    <w:rsid w:val="765B5E65"/>
    <w:rsid w:val="765C3949"/>
    <w:rsid w:val="76611425"/>
    <w:rsid w:val="76634027"/>
    <w:rsid w:val="76661A1D"/>
    <w:rsid w:val="766842B2"/>
    <w:rsid w:val="76701A63"/>
    <w:rsid w:val="76725908"/>
    <w:rsid w:val="7673732F"/>
    <w:rsid w:val="76744A44"/>
    <w:rsid w:val="767463CF"/>
    <w:rsid w:val="76782DB3"/>
    <w:rsid w:val="767A6E00"/>
    <w:rsid w:val="767C336F"/>
    <w:rsid w:val="767F6A27"/>
    <w:rsid w:val="767F79B4"/>
    <w:rsid w:val="76871386"/>
    <w:rsid w:val="76871C8C"/>
    <w:rsid w:val="768806A5"/>
    <w:rsid w:val="76893E88"/>
    <w:rsid w:val="76914053"/>
    <w:rsid w:val="76926D9A"/>
    <w:rsid w:val="769333B0"/>
    <w:rsid w:val="76940E45"/>
    <w:rsid w:val="769437A4"/>
    <w:rsid w:val="76957223"/>
    <w:rsid w:val="769E2EDE"/>
    <w:rsid w:val="76A2642D"/>
    <w:rsid w:val="76A317F1"/>
    <w:rsid w:val="76A70407"/>
    <w:rsid w:val="76AE233D"/>
    <w:rsid w:val="76AF7185"/>
    <w:rsid w:val="76B055AF"/>
    <w:rsid w:val="76B1384D"/>
    <w:rsid w:val="76B6606D"/>
    <w:rsid w:val="76BA49EC"/>
    <w:rsid w:val="76BD0326"/>
    <w:rsid w:val="76C15DFB"/>
    <w:rsid w:val="76C24479"/>
    <w:rsid w:val="76C65028"/>
    <w:rsid w:val="76CB6135"/>
    <w:rsid w:val="76CD6FF4"/>
    <w:rsid w:val="76CF0458"/>
    <w:rsid w:val="76D03CC1"/>
    <w:rsid w:val="76D4057B"/>
    <w:rsid w:val="76D61E1F"/>
    <w:rsid w:val="76D63584"/>
    <w:rsid w:val="76E20DCA"/>
    <w:rsid w:val="76E32CC9"/>
    <w:rsid w:val="76E475D8"/>
    <w:rsid w:val="76E55A28"/>
    <w:rsid w:val="76E644C9"/>
    <w:rsid w:val="76E908BE"/>
    <w:rsid w:val="76ED7901"/>
    <w:rsid w:val="76EE5982"/>
    <w:rsid w:val="76F236C0"/>
    <w:rsid w:val="76F56801"/>
    <w:rsid w:val="76F629A1"/>
    <w:rsid w:val="76FA21BB"/>
    <w:rsid w:val="76FA245D"/>
    <w:rsid w:val="76FC2FE8"/>
    <w:rsid w:val="77001AB6"/>
    <w:rsid w:val="77003FA5"/>
    <w:rsid w:val="77057410"/>
    <w:rsid w:val="770A2D4E"/>
    <w:rsid w:val="770E2057"/>
    <w:rsid w:val="770F294A"/>
    <w:rsid w:val="770F58F8"/>
    <w:rsid w:val="77103552"/>
    <w:rsid w:val="77170C24"/>
    <w:rsid w:val="771922BF"/>
    <w:rsid w:val="772033F9"/>
    <w:rsid w:val="77272343"/>
    <w:rsid w:val="77292C66"/>
    <w:rsid w:val="772A21C3"/>
    <w:rsid w:val="772B19DB"/>
    <w:rsid w:val="772B5CE0"/>
    <w:rsid w:val="772D0A32"/>
    <w:rsid w:val="77311E34"/>
    <w:rsid w:val="773304FF"/>
    <w:rsid w:val="7734765E"/>
    <w:rsid w:val="7738201E"/>
    <w:rsid w:val="773B5D2D"/>
    <w:rsid w:val="773C20AC"/>
    <w:rsid w:val="773D5FDB"/>
    <w:rsid w:val="77422950"/>
    <w:rsid w:val="77423257"/>
    <w:rsid w:val="77423B72"/>
    <w:rsid w:val="77441D74"/>
    <w:rsid w:val="774A2E2A"/>
    <w:rsid w:val="774E0544"/>
    <w:rsid w:val="775631A9"/>
    <w:rsid w:val="775741E7"/>
    <w:rsid w:val="775C7D58"/>
    <w:rsid w:val="775D7DFE"/>
    <w:rsid w:val="775D7F38"/>
    <w:rsid w:val="775F30E9"/>
    <w:rsid w:val="77607B01"/>
    <w:rsid w:val="77636A86"/>
    <w:rsid w:val="77666352"/>
    <w:rsid w:val="7767173E"/>
    <w:rsid w:val="776D6B59"/>
    <w:rsid w:val="77706271"/>
    <w:rsid w:val="77713CAE"/>
    <w:rsid w:val="77742DA8"/>
    <w:rsid w:val="77753EC6"/>
    <w:rsid w:val="777A013B"/>
    <w:rsid w:val="777B3144"/>
    <w:rsid w:val="7780269E"/>
    <w:rsid w:val="77827BF7"/>
    <w:rsid w:val="7784221D"/>
    <w:rsid w:val="778608AD"/>
    <w:rsid w:val="778660B5"/>
    <w:rsid w:val="7789351C"/>
    <w:rsid w:val="77893F2D"/>
    <w:rsid w:val="77897495"/>
    <w:rsid w:val="778E6AA5"/>
    <w:rsid w:val="778F3A41"/>
    <w:rsid w:val="77905794"/>
    <w:rsid w:val="7791118D"/>
    <w:rsid w:val="7797400A"/>
    <w:rsid w:val="779814D0"/>
    <w:rsid w:val="77985DA1"/>
    <w:rsid w:val="779A442A"/>
    <w:rsid w:val="779B3416"/>
    <w:rsid w:val="779B7552"/>
    <w:rsid w:val="779D59FE"/>
    <w:rsid w:val="77A07400"/>
    <w:rsid w:val="77A077B6"/>
    <w:rsid w:val="77A20D26"/>
    <w:rsid w:val="77A5720F"/>
    <w:rsid w:val="77A649FE"/>
    <w:rsid w:val="77A71AE4"/>
    <w:rsid w:val="77AB35C9"/>
    <w:rsid w:val="77AB4D36"/>
    <w:rsid w:val="77AC1387"/>
    <w:rsid w:val="77AD4B8E"/>
    <w:rsid w:val="77AE2078"/>
    <w:rsid w:val="77B40F2B"/>
    <w:rsid w:val="77B520F3"/>
    <w:rsid w:val="77B53D11"/>
    <w:rsid w:val="77B56861"/>
    <w:rsid w:val="77B578E1"/>
    <w:rsid w:val="77B8474A"/>
    <w:rsid w:val="77BB6A21"/>
    <w:rsid w:val="77BF61FC"/>
    <w:rsid w:val="77C47ACE"/>
    <w:rsid w:val="77C63193"/>
    <w:rsid w:val="77C73F28"/>
    <w:rsid w:val="77CA0275"/>
    <w:rsid w:val="77CD7BAB"/>
    <w:rsid w:val="77D070D0"/>
    <w:rsid w:val="77D15663"/>
    <w:rsid w:val="77DA01EA"/>
    <w:rsid w:val="77DC2F82"/>
    <w:rsid w:val="77DE55B4"/>
    <w:rsid w:val="77DF204A"/>
    <w:rsid w:val="77E66DB1"/>
    <w:rsid w:val="77E81305"/>
    <w:rsid w:val="77E87A28"/>
    <w:rsid w:val="77F42C9B"/>
    <w:rsid w:val="77F64DE0"/>
    <w:rsid w:val="77F7223D"/>
    <w:rsid w:val="77FB4D1E"/>
    <w:rsid w:val="77FE7708"/>
    <w:rsid w:val="77FF1D54"/>
    <w:rsid w:val="780150F4"/>
    <w:rsid w:val="78032F7D"/>
    <w:rsid w:val="780915F7"/>
    <w:rsid w:val="780A7449"/>
    <w:rsid w:val="780C1F52"/>
    <w:rsid w:val="780D2DD0"/>
    <w:rsid w:val="7810363C"/>
    <w:rsid w:val="7819405F"/>
    <w:rsid w:val="781974BA"/>
    <w:rsid w:val="781B4B2D"/>
    <w:rsid w:val="7820295E"/>
    <w:rsid w:val="782556BB"/>
    <w:rsid w:val="782841D8"/>
    <w:rsid w:val="782B58D8"/>
    <w:rsid w:val="782C667E"/>
    <w:rsid w:val="782D7AEB"/>
    <w:rsid w:val="783352D9"/>
    <w:rsid w:val="78346813"/>
    <w:rsid w:val="783517EF"/>
    <w:rsid w:val="783652F8"/>
    <w:rsid w:val="783D78EA"/>
    <w:rsid w:val="783F471B"/>
    <w:rsid w:val="783F656E"/>
    <w:rsid w:val="784027BA"/>
    <w:rsid w:val="78432AF1"/>
    <w:rsid w:val="784425C4"/>
    <w:rsid w:val="78454FFB"/>
    <w:rsid w:val="78504B92"/>
    <w:rsid w:val="78517E4F"/>
    <w:rsid w:val="785377B1"/>
    <w:rsid w:val="785773CE"/>
    <w:rsid w:val="78597686"/>
    <w:rsid w:val="785B4391"/>
    <w:rsid w:val="785F0445"/>
    <w:rsid w:val="78637575"/>
    <w:rsid w:val="7868274A"/>
    <w:rsid w:val="786A6D42"/>
    <w:rsid w:val="786D686F"/>
    <w:rsid w:val="786F5565"/>
    <w:rsid w:val="786F729E"/>
    <w:rsid w:val="78701F70"/>
    <w:rsid w:val="78750AE9"/>
    <w:rsid w:val="787B6771"/>
    <w:rsid w:val="787E3C7D"/>
    <w:rsid w:val="787F19A0"/>
    <w:rsid w:val="788425D9"/>
    <w:rsid w:val="78856B61"/>
    <w:rsid w:val="78866695"/>
    <w:rsid w:val="788C0166"/>
    <w:rsid w:val="788D26B6"/>
    <w:rsid w:val="788F7B70"/>
    <w:rsid w:val="78915951"/>
    <w:rsid w:val="78936457"/>
    <w:rsid w:val="78955EB3"/>
    <w:rsid w:val="789740B7"/>
    <w:rsid w:val="78993A10"/>
    <w:rsid w:val="789E09D0"/>
    <w:rsid w:val="789E0EE2"/>
    <w:rsid w:val="78A35E36"/>
    <w:rsid w:val="78A45E10"/>
    <w:rsid w:val="78A7066C"/>
    <w:rsid w:val="78A77899"/>
    <w:rsid w:val="78A83568"/>
    <w:rsid w:val="78A860F2"/>
    <w:rsid w:val="78AB3540"/>
    <w:rsid w:val="78AB3DA1"/>
    <w:rsid w:val="78AD13A6"/>
    <w:rsid w:val="78B02433"/>
    <w:rsid w:val="78B06EEB"/>
    <w:rsid w:val="78B15F96"/>
    <w:rsid w:val="78B20D09"/>
    <w:rsid w:val="78B25497"/>
    <w:rsid w:val="78B45556"/>
    <w:rsid w:val="78B659DC"/>
    <w:rsid w:val="78B91E95"/>
    <w:rsid w:val="78BB6247"/>
    <w:rsid w:val="78C50FCA"/>
    <w:rsid w:val="78C61838"/>
    <w:rsid w:val="78CC6CF6"/>
    <w:rsid w:val="78CE3CA7"/>
    <w:rsid w:val="78D17066"/>
    <w:rsid w:val="78D260C3"/>
    <w:rsid w:val="78D4219E"/>
    <w:rsid w:val="78D43B08"/>
    <w:rsid w:val="78D847B4"/>
    <w:rsid w:val="78DA09F1"/>
    <w:rsid w:val="78DC097F"/>
    <w:rsid w:val="78DF46B8"/>
    <w:rsid w:val="78E00AE9"/>
    <w:rsid w:val="78E131A9"/>
    <w:rsid w:val="78F169AF"/>
    <w:rsid w:val="78F43CDE"/>
    <w:rsid w:val="78F52069"/>
    <w:rsid w:val="78F54659"/>
    <w:rsid w:val="78F81ACC"/>
    <w:rsid w:val="78F96398"/>
    <w:rsid w:val="78FC3633"/>
    <w:rsid w:val="78FF59A4"/>
    <w:rsid w:val="79002300"/>
    <w:rsid w:val="790225E8"/>
    <w:rsid w:val="79062E87"/>
    <w:rsid w:val="790667C1"/>
    <w:rsid w:val="79072150"/>
    <w:rsid w:val="790C115B"/>
    <w:rsid w:val="79104A28"/>
    <w:rsid w:val="79112CA7"/>
    <w:rsid w:val="79132430"/>
    <w:rsid w:val="79135A82"/>
    <w:rsid w:val="79146FC5"/>
    <w:rsid w:val="79170060"/>
    <w:rsid w:val="7919155F"/>
    <w:rsid w:val="791C070A"/>
    <w:rsid w:val="791E7059"/>
    <w:rsid w:val="792A669F"/>
    <w:rsid w:val="792C0AC6"/>
    <w:rsid w:val="792D009C"/>
    <w:rsid w:val="792E0CBE"/>
    <w:rsid w:val="79344241"/>
    <w:rsid w:val="793A4773"/>
    <w:rsid w:val="793F55E9"/>
    <w:rsid w:val="794777F6"/>
    <w:rsid w:val="794A2381"/>
    <w:rsid w:val="794C44B7"/>
    <w:rsid w:val="7952599C"/>
    <w:rsid w:val="795D3C16"/>
    <w:rsid w:val="795D718E"/>
    <w:rsid w:val="795F2177"/>
    <w:rsid w:val="7963456C"/>
    <w:rsid w:val="79702412"/>
    <w:rsid w:val="797032F4"/>
    <w:rsid w:val="79775B75"/>
    <w:rsid w:val="7977704E"/>
    <w:rsid w:val="797B13C5"/>
    <w:rsid w:val="797C70D4"/>
    <w:rsid w:val="797D3C0F"/>
    <w:rsid w:val="7982006F"/>
    <w:rsid w:val="79835F6A"/>
    <w:rsid w:val="798722A9"/>
    <w:rsid w:val="79943314"/>
    <w:rsid w:val="79983847"/>
    <w:rsid w:val="799D0309"/>
    <w:rsid w:val="799D3A69"/>
    <w:rsid w:val="799E0A26"/>
    <w:rsid w:val="79A34714"/>
    <w:rsid w:val="79A37FA0"/>
    <w:rsid w:val="79A6591A"/>
    <w:rsid w:val="79A803F6"/>
    <w:rsid w:val="79AC1273"/>
    <w:rsid w:val="79AD21B5"/>
    <w:rsid w:val="79AE00CB"/>
    <w:rsid w:val="79B6019F"/>
    <w:rsid w:val="79B96C5A"/>
    <w:rsid w:val="79BB4B41"/>
    <w:rsid w:val="79BE7F9D"/>
    <w:rsid w:val="79C172AB"/>
    <w:rsid w:val="79C178E9"/>
    <w:rsid w:val="79C26270"/>
    <w:rsid w:val="79C52098"/>
    <w:rsid w:val="79C72279"/>
    <w:rsid w:val="79C87936"/>
    <w:rsid w:val="79C87F69"/>
    <w:rsid w:val="79E03BA0"/>
    <w:rsid w:val="79E10698"/>
    <w:rsid w:val="79E32C5F"/>
    <w:rsid w:val="79E50508"/>
    <w:rsid w:val="79E53C65"/>
    <w:rsid w:val="79E63341"/>
    <w:rsid w:val="79E6623C"/>
    <w:rsid w:val="79E678CE"/>
    <w:rsid w:val="79E85559"/>
    <w:rsid w:val="79E947AF"/>
    <w:rsid w:val="79EC5C85"/>
    <w:rsid w:val="79F03A8F"/>
    <w:rsid w:val="79F125E3"/>
    <w:rsid w:val="79F154E3"/>
    <w:rsid w:val="79F31195"/>
    <w:rsid w:val="79F31C3D"/>
    <w:rsid w:val="79F423CB"/>
    <w:rsid w:val="79F57332"/>
    <w:rsid w:val="79F57D08"/>
    <w:rsid w:val="79F6364B"/>
    <w:rsid w:val="79FB0A91"/>
    <w:rsid w:val="79FC38F8"/>
    <w:rsid w:val="79FC7629"/>
    <w:rsid w:val="79FD4447"/>
    <w:rsid w:val="7A026788"/>
    <w:rsid w:val="7A094D7F"/>
    <w:rsid w:val="7A0C2498"/>
    <w:rsid w:val="7A0E3C0E"/>
    <w:rsid w:val="7A14402A"/>
    <w:rsid w:val="7A154C16"/>
    <w:rsid w:val="7A1713AA"/>
    <w:rsid w:val="7A19517F"/>
    <w:rsid w:val="7A1B08BB"/>
    <w:rsid w:val="7A1B574B"/>
    <w:rsid w:val="7A1C4078"/>
    <w:rsid w:val="7A1F5AF6"/>
    <w:rsid w:val="7A1F5C9C"/>
    <w:rsid w:val="7A1F76E2"/>
    <w:rsid w:val="7A29048D"/>
    <w:rsid w:val="7A2A0DE4"/>
    <w:rsid w:val="7A2A692E"/>
    <w:rsid w:val="7A2B16B4"/>
    <w:rsid w:val="7A2E2ABC"/>
    <w:rsid w:val="7A337D4F"/>
    <w:rsid w:val="7A352AB7"/>
    <w:rsid w:val="7A374312"/>
    <w:rsid w:val="7A387EF3"/>
    <w:rsid w:val="7A3B69B9"/>
    <w:rsid w:val="7A3E41A3"/>
    <w:rsid w:val="7A3F4693"/>
    <w:rsid w:val="7A4236B4"/>
    <w:rsid w:val="7A425634"/>
    <w:rsid w:val="7A454F01"/>
    <w:rsid w:val="7A472CC5"/>
    <w:rsid w:val="7A483B72"/>
    <w:rsid w:val="7A4842DF"/>
    <w:rsid w:val="7A4E3336"/>
    <w:rsid w:val="7A4F1933"/>
    <w:rsid w:val="7A4F2154"/>
    <w:rsid w:val="7A526335"/>
    <w:rsid w:val="7A550F21"/>
    <w:rsid w:val="7A5810B0"/>
    <w:rsid w:val="7A5D5729"/>
    <w:rsid w:val="7A622059"/>
    <w:rsid w:val="7A654067"/>
    <w:rsid w:val="7A6D465C"/>
    <w:rsid w:val="7A732773"/>
    <w:rsid w:val="7A7E6619"/>
    <w:rsid w:val="7A8A59B9"/>
    <w:rsid w:val="7A8B09EF"/>
    <w:rsid w:val="7A8C3518"/>
    <w:rsid w:val="7A8F0D0E"/>
    <w:rsid w:val="7A925367"/>
    <w:rsid w:val="7A9621B6"/>
    <w:rsid w:val="7A990A36"/>
    <w:rsid w:val="7A9E2B7C"/>
    <w:rsid w:val="7AA02F14"/>
    <w:rsid w:val="7AA13986"/>
    <w:rsid w:val="7AA26FCA"/>
    <w:rsid w:val="7AA53DC6"/>
    <w:rsid w:val="7AB05B89"/>
    <w:rsid w:val="7AB10629"/>
    <w:rsid w:val="7AB2051C"/>
    <w:rsid w:val="7AB30164"/>
    <w:rsid w:val="7AC34B4B"/>
    <w:rsid w:val="7AC35579"/>
    <w:rsid w:val="7AC524C2"/>
    <w:rsid w:val="7AC5792F"/>
    <w:rsid w:val="7AC83939"/>
    <w:rsid w:val="7ACE0169"/>
    <w:rsid w:val="7ACE79A8"/>
    <w:rsid w:val="7ACF3CAC"/>
    <w:rsid w:val="7AD3436A"/>
    <w:rsid w:val="7AD57EE1"/>
    <w:rsid w:val="7ADE3251"/>
    <w:rsid w:val="7AE22439"/>
    <w:rsid w:val="7AE53F76"/>
    <w:rsid w:val="7AE77679"/>
    <w:rsid w:val="7AEE4FDB"/>
    <w:rsid w:val="7AF00D8D"/>
    <w:rsid w:val="7AF3345E"/>
    <w:rsid w:val="7AF35470"/>
    <w:rsid w:val="7AF65586"/>
    <w:rsid w:val="7AFB12AC"/>
    <w:rsid w:val="7AFB50E1"/>
    <w:rsid w:val="7B007CED"/>
    <w:rsid w:val="7B020910"/>
    <w:rsid w:val="7B031DEB"/>
    <w:rsid w:val="7B065627"/>
    <w:rsid w:val="7B0741D5"/>
    <w:rsid w:val="7B097149"/>
    <w:rsid w:val="7B0D26D1"/>
    <w:rsid w:val="7B0D5EAC"/>
    <w:rsid w:val="7B0F6A05"/>
    <w:rsid w:val="7B180667"/>
    <w:rsid w:val="7B1E31A4"/>
    <w:rsid w:val="7B203CA9"/>
    <w:rsid w:val="7B220DBF"/>
    <w:rsid w:val="7B224E50"/>
    <w:rsid w:val="7B280E0C"/>
    <w:rsid w:val="7B285E37"/>
    <w:rsid w:val="7B2C0CE8"/>
    <w:rsid w:val="7B2F5090"/>
    <w:rsid w:val="7B31799C"/>
    <w:rsid w:val="7B342B17"/>
    <w:rsid w:val="7B3440DD"/>
    <w:rsid w:val="7B361B28"/>
    <w:rsid w:val="7B3748DC"/>
    <w:rsid w:val="7B394FE2"/>
    <w:rsid w:val="7B3C3174"/>
    <w:rsid w:val="7B3D6CE7"/>
    <w:rsid w:val="7B437AEF"/>
    <w:rsid w:val="7B48328B"/>
    <w:rsid w:val="7B4856C1"/>
    <w:rsid w:val="7B486961"/>
    <w:rsid w:val="7B492D83"/>
    <w:rsid w:val="7B4A5573"/>
    <w:rsid w:val="7B4C7AFA"/>
    <w:rsid w:val="7B5141DD"/>
    <w:rsid w:val="7B520C47"/>
    <w:rsid w:val="7B525DFF"/>
    <w:rsid w:val="7B58574F"/>
    <w:rsid w:val="7B593224"/>
    <w:rsid w:val="7B5A6C71"/>
    <w:rsid w:val="7B5B09F0"/>
    <w:rsid w:val="7B5B7C3A"/>
    <w:rsid w:val="7B5C0F42"/>
    <w:rsid w:val="7B5C7A34"/>
    <w:rsid w:val="7B5D267E"/>
    <w:rsid w:val="7B6067CB"/>
    <w:rsid w:val="7B633052"/>
    <w:rsid w:val="7B651AF9"/>
    <w:rsid w:val="7B665953"/>
    <w:rsid w:val="7B67404A"/>
    <w:rsid w:val="7B704840"/>
    <w:rsid w:val="7B712AA8"/>
    <w:rsid w:val="7B7506F8"/>
    <w:rsid w:val="7B7602B2"/>
    <w:rsid w:val="7B8250ED"/>
    <w:rsid w:val="7B85017C"/>
    <w:rsid w:val="7B8534DE"/>
    <w:rsid w:val="7B86551C"/>
    <w:rsid w:val="7B89648F"/>
    <w:rsid w:val="7B8A5C21"/>
    <w:rsid w:val="7B8B18CD"/>
    <w:rsid w:val="7BA021D2"/>
    <w:rsid w:val="7BA05DDE"/>
    <w:rsid w:val="7BA12280"/>
    <w:rsid w:val="7BA273E6"/>
    <w:rsid w:val="7BA523E6"/>
    <w:rsid w:val="7BA560C7"/>
    <w:rsid w:val="7BA63B07"/>
    <w:rsid w:val="7BAD7892"/>
    <w:rsid w:val="7BAD78A6"/>
    <w:rsid w:val="7BB75E19"/>
    <w:rsid w:val="7BBA1DE8"/>
    <w:rsid w:val="7BBC7F68"/>
    <w:rsid w:val="7BBF71CF"/>
    <w:rsid w:val="7BC76BAB"/>
    <w:rsid w:val="7BCA6074"/>
    <w:rsid w:val="7BCB0108"/>
    <w:rsid w:val="7BCC466E"/>
    <w:rsid w:val="7BCE4DB0"/>
    <w:rsid w:val="7BCE7D1B"/>
    <w:rsid w:val="7BD312B7"/>
    <w:rsid w:val="7BD44D61"/>
    <w:rsid w:val="7BD51E69"/>
    <w:rsid w:val="7BD76EE8"/>
    <w:rsid w:val="7BDC63A0"/>
    <w:rsid w:val="7BE35CFA"/>
    <w:rsid w:val="7BE40327"/>
    <w:rsid w:val="7BE53E11"/>
    <w:rsid w:val="7BE53EFA"/>
    <w:rsid w:val="7BE60FD2"/>
    <w:rsid w:val="7BE96478"/>
    <w:rsid w:val="7BEA38B4"/>
    <w:rsid w:val="7BEE1D34"/>
    <w:rsid w:val="7BEF6F37"/>
    <w:rsid w:val="7BEF72EC"/>
    <w:rsid w:val="7BEF7376"/>
    <w:rsid w:val="7BF03CE5"/>
    <w:rsid w:val="7BF07DB1"/>
    <w:rsid w:val="7BF437D9"/>
    <w:rsid w:val="7BF840E6"/>
    <w:rsid w:val="7BF9488D"/>
    <w:rsid w:val="7C01748C"/>
    <w:rsid w:val="7C02507D"/>
    <w:rsid w:val="7C034F1B"/>
    <w:rsid w:val="7C0C4518"/>
    <w:rsid w:val="7C0C7EA3"/>
    <w:rsid w:val="7C111A2A"/>
    <w:rsid w:val="7C156F4A"/>
    <w:rsid w:val="7C160A73"/>
    <w:rsid w:val="7C167BB7"/>
    <w:rsid w:val="7C1A2497"/>
    <w:rsid w:val="7C1B00B1"/>
    <w:rsid w:val="7C1B21D9"/>
    <w:rsid w:val="7C202FE1"/>
    <w:rsid w:val="7C216872"/>
    <w:rsid w:val="7C217BAD"/>
    <w:rsid w:val="7C29536B"/>
    <w:rsid w:val="7C2B5CD7"/>
    <w:rsid w:val="7C2E6195"/>
    <w:rsid w:val="7C2F110E"/>
    <w:rsid w:val="7C311721"/>
    <w:rsid w:val="7C343DA2"/>
    <w:rsid w:val="7C352CC3"/>
    <w:rsid w:val="7C372CDC"/>
    <w:rsid w:val="7C3900E2"/>
    <w:rsid w:val="7C3962C8"/>
    <w:rsid w:val="7C404032"/>
    <w:rsid w:val="7C4411C8"/>
    <w:rsid w:val="7C466A93"/>
    <w:rsid w:val="7C47576B"/>
    <w:rsid w:val="7C487798"/>
    <w:rsid w:val="7C491FDF"/>
    <w:rsid w:val="7C4943DE"/>
    <w:rsid w:val="7C4B5332"/>
    <w:rsid w:val="7C4E1060"/>
    <w:rsid w:val="7C4F0E38"/>
    <w:rsid w:val="7C50321C"/>
    <w:rsid w:val="7C527B78"/>
    <w:rsid w:val="7C542AC2"/>
    <w:rsid w:val="7C5A6C3D"/>
    <w:rsid w:val="7C5B2DE3"/>
    <w:rsid w:val="7C5C5F40"/>
    <w:rsid w:val="7C64092F"/>
    <w:rsid w:val="7C64368B"/>
    <w:rsid w:val="7C667AAD"/>
    <w:rsid w:val="7C6764A2"/>
    <w:rsid w:val="7C683AC2"/>
    <w:rsid w:val="7C6B19B5"/>
    <w:rsid w:val="7C6F0BF4"/>
    <w:rsid w:val="7C724198"/>
    <w:rsid w:val="7C770823"/>
    <w:rsid w:val="7C7C5BF1"/>
    <w:rsid w:val="7C7F4CE4"/>
    <w:rsid w:val="7C8104AB"/>
    <w:rsid w:val="7C853796"/>
    <w:rsid w:val="7C863FE3"/>
    <w:rsid w:val="7C8E0990"/>
    <w:rsid w:val="7C8F37EE"/>
    <w:rsid w:val="7C921F2E"/>
    <w:rsid w:val="7C923EC8"/>
    <w:rsid w:val="7C945B19"/>
    <w:rsid w:val="7C972735"/>
    <w:rsid w:val="7C9C2811"/>
    <w:rsid w:val="7C9E0F31"/>
    <w:rsid w:val="7CA07314"/>
    <w:rsid w:val="7CA14DC4"/>
    <w:rsid w:val="7CA15D6D"/>
    <w:rsid w:val="7CA24BE9"/>
    <w:rsid w:val="7CA6052D"/>
    <w:rsid w:val="7CA82CBF"/>
    <w:rsid w:val="7CA972E9"/>
    <w:rsid w:val="7CB45BB0"/>
    <w:rsid w:val="7CB54D4C"/>
    <w:rsid w:val="7CBA0A3E"/>
    <w:rsid w:val="7CBB12F0"/>
    <w:rsid w:val="7CBC1416"/>
    <w:rsid w:val="7CBD4D56"/>
    <w:rsid w:val="7CC0799E"/>
    <w:rsid w:val="7CC31734"/>
    <w:rsid w:val="7CC82CC5"/>
    <w:rsid w:val="7CC95116"/>
    <w:rsid w:val="7CC978E5"/>
    <w:rsid w:val="7CCD49C1"/>
    <w:rsid w:val="7CCE1B47"/>
    <w:rsid w:val="7CCF0653"/>
    <w:rsid w:val="7CCF43FC"/>
    <w:rsid w:val="7CD070F5"/>
    <w:rsid w:val="7CD1468A"/>
    <w:rsid w:val="7CD532E0"/>
    <w:rsid w:val="7CD76C2D"/>
    <w:rsid w:val="7CEA5778"/>
    <w:rsid w:val="7CEB7378"/>
    <w:rsid w:val="7CF24A8A"/>
    <w:rsid w:val="7CF56A68"/>
    <w:rsid w:val="7CFD75DF"/>
    <w:rsid w:val="7CFE33F5"/>
    <w:rsid w:val="7D133C6A"/>
    <w:rsid w:val="7D136642"/>
    <w:rsid w:val="7D137931"/>
    <w:rsid w:val="7D1D5EEE"/>
    <w:rsid w:val="7D1D67DC"/>
    <w:rsid w:val="7D241117"/>
    <w:rsid w:val="7D255A1D"/>
    <w:rsid w:val="7D256263"/>
    <w:rsid w:val="7D260400"/>
    <w:rsid w:val="7D29236E"/>
    <w:rsid w:val="7D2A2F10"/>
    <w:rsid w:val="7D333EF6"/>
    <w:rsid w:val="7D347409"/>
    <w:rsid w:val="7D377948"/>
    <w:rsid w:val="7D3A7871"/>
    <w:rsid w:val="7D3D400B"/>
    <w:rsid w:val="7D40099D"/>
    <w:rsid w:val="7D410A57"/>
    <w:rsid w:val="7D433D53"/>
    <w:rsid w:val="7D437CA8"/>
    <w:rsid w:val="7D4549FC"/>
    <w:rsid w:val="7D462422"/>
    <w:rsid w:val="7D4749EE"/>
    <w:rsid w:val="7D4B161D"/>
    <w:rsid w:val="7D4C254C"/>
    <w:rsid w:val="7D4C4F81"/>
    <w:rsid w:val="7D554467"/>
    <w:rsid w:val="7D562B67"/>
    <w:rsid w:val="7D5B1A04"/>
    <w:rsid w:val="7D5B4DE5"/>
    <w:rsid w:val="7D5D05FD"/>
    <w:rsid w:val="7D5D7750"/>
    <w:rsid w:val="7D5F186A"/>
    <w:rsid w:val="7D6568FE"/>
    <w:rsid w:val="7D671153"/>
    <w:rsid w:val="7D6A699D"/>
    <w:rsid w:val="7D713186"/>
    <w:rsid w:val="7D742DF3"/>
    <w:rsid w:val="7D76285C"/>
    <w:rsid w:val="7D790EA0"/>
    <w:rsid w:val="7D7B26AF"/>
    <w:rsid w:val="7D7B3F40"/>
    <w:rsid w:val="7D7B6921"/>
    <w:rsid w:val="7D7F7963"/>
    <w:rsid w:val="7D824A98"/>
    <w:rsid w:val="7D841C71"/>
    <w:rsid w:val="7D846A95"/>
    <w:rsid w:val="7D856564"/>
    <w:rsid w:val="7D863F08"/>
    <w:rsid w:val="7D8944BE"/>
    <w:rsid w:val="7D895388"/>
    <w:rsid w:val="7D8A69F4"/>
    <w:rsid w:val="7D8B1997"/>
    <w:rsid w:val="7D8B5117"/>
    <w:rsid w:val="7D8C10E9"/>
    <w:rsid w:val="7D8C17A7"/>
    <w:rsid w:val="7D907226"/>
    <w:rsid w:val="7D9252AC"/>
    <w:rsid w:val="7D935E50"/>
    <w:rsid w:val="7D9427AA"/>
    <w:rsid w:val="7D950CD0"/>
    <w:rsid w:val="7D9F0CEB"/>
    <w:rsid w:val="7DA4373E"/>
    <w:rsid w:val="7DAD53AA"/>
    <w:rsid w:val="7DB03716"/>
    <w:rsid w:val="7DB12925"/>
    <w:rsid w:val="7DB12FD1"/>
    <w:rsid w:val="7DB43869"/>
    <w:rsid w:val="7DB53CFA"/>
    <w:rsid w:val="7DB70BA5"/>
    <w:rsid w:val="7DBD1F88"/>
    <w:rsid w:val="7DC16915"/>
    <w:rsid w:val="7DC53BC6"/>
    <w:rsid w:val="7DC620DD"/>
    <w:rsid w:val="7DC66ED5"/>
    <w:rsid w:val="7DC82F1E"/>
    <w:rsid w:val="7DCF6424"/>
    <w:rsid w:val="7DD057CB"/>
    <w:rsid w:val="7DD42A37"/>
    <w:rsid w:val="7DD438A4"/>
    <w:rsid w:val="7DD461B4"/>
    <w:rsid w:val="7DD80A7C"/>
    <w:rsid w:val="7DE232F6"/>
    <w:rsid w:val="7DE535C7"/>
    <w:rsid w:val="7DE71C41"/>
    <w:rsid w:val="7DE86510"/>
    <w:rsid w:val="7DEE398B"/>
    <w:rsid w:val="7DF003F8"/>
    <w:rsid w:val="7DF07DB3"/>
    <w:rsid w:val="7DF5013A"/>
    <w:rsid w:val="7DF507B5"/>
    <w:rsid w:val="7DF748E3"/>
    <w:rsid w:val="7DFA1AB0"/>
    <w:rsid w:val="7DFB49CA"/>
    <w:rsid w:val="7DFD59D5"/>
    <w:rsid w:val="7E020820"/>
    <w:rsid w:val="7E081E2A"/>
    <w:rsid w:val="7E0B7E71"/>
    <w:rsid w:val="7E146FEF"/>
    <w:rsid w:val="7E171FF4"/>
    <w:rsid w:val="7E182927"/>
    <w:rsid w:val="7E1B60EE"/>
    <w:rsid w:val="7E1F1086"/>
    <w:rsid w:val="7E325ABF"/>
    <w:rsid w:val="7E327CD3"/>
    <w:rsid w:val="7E3600B0"/>
    <w:rsid w:val="7E381F10"/>
    <w:rsid w:val="7E3A06A4"/>
    <w:rsid w:val="7E3B35C3"/>
    <w:rsid w:val="7E3C2F10"/>
    <w:rsid w:val="7E3E56E7"/>
    <w:rsid w:val="7E465278"/>
    <w:rsid w:val="7E4A7995"/>
    <w:rsid w:val="7E53750B"/>
    <w:rsid w:val="7E537ACF"/>
    <w:rsid w:val="7E590A27"/>
    <w:rsid w:val="7E5B2C24"/>
    <w:rsid w:val="7E5F2852"/>
    <w:rsid w:val="7E601435"/>
    <w:rsid w:val="7E607803"/>
    <w:rsid w:val="7E646ABB"/>
    <w:rsid w:val="7E651D2B"/>
    <w:rsid w:val="7E680175"/>
    <w:rsid w:val="7E6A71FD"/>
    <w:rsid w:val="7E6B7FA2"/>
    <w:rsid w:val="7E711AD3"/>
    <w:rsid w:val="7E743D74"/>
    <w:rsid w:val="7E7C1EB7"/>
    <w:rsid w:val="7E7D0F74"/>
    <w:rsid w:val="7E7D2E2F"/>
    <w:rsid w:val="7E803C92"/>
    <w:rsid w:val="7E8201F9"/>
    <w:rsid w:val="7E824A85"/>
    <w:rsid w:val="7E885769"/>
    <w:rsid w:val="7E8B18E1"/>
    <w:rsid w:val="7E8E6AEC"/>
    <w:rsid w:val="7E8E6D27"/>
    <w:rsid w:val="7E915E1A"/>
    <w:rsid w:val="7E9356EC"/>
    <w:rsid w:val="7E94074B"/>
    <w:rsid w:val="7E943D85"/>
    <w:rsid w:val="7E9901FB"/>
    <w:rsid w:val="7E995723"/>
    <w:rsid w:val="7E9D3598"/>
    <w:rsid w:val="7EA1426D"/>
    <w:rsid w:val="7EA144AE"/>
    <w:rsid w:val="7EA231CB"/>
    <w:rsid w:val="7EA25F8D"/>
    <w:rsid w:val="7EA63065"/>
    <w:rsid w:val="7EA81259"/>
    <w:rsid w:val="7EA82A8D"/>
    <w:rsid w:val="7EAC7C99"/>
    <w:rsid w:val="7EAE7F4E"/>
    <w:rsid w:val="7EB5547E"/>
    <w:rsid w:val="7EB72218"/>
    <w:rsid w:val="7EB92CBA"/>
    <w:rsid w:val="7EC46A69"/>
    <w:rsid w:val="7EC71691"/>
    <w:rsid w:val="7ECA72E3"/>
    <w:rsid w:val="7ECB462F"/>
    <w:rsid w:val="7ECB5B7A"/>
    <w:rsid w:val="7ECC01B5"/>
    <w:rsid w:val="7ECD2261"/>
    <w:rsid w:val="7ECE680F"/>
    <w:rsid w:val="7ED66791"/>
    <w:rsid w:val="7ED74174"/>
    <w:rsid w:val="7ED7457C"/>
    <w:rsid w:val="7ED806DC"/>
    <w:rsid w:val="7ED833F0"/>
    <w:rsid w:val="7EDC3AF3"/>
    <w:rsid w:val="7EDE7DF6"/>
    <w:rsid w:val="7EE10E1E"/>
    <w:rsid w:val="7EE20EC7"/>
    <w:rsid w:val="7EE433CA"/>
    <w:rsid w:val="7EE52B90"/>
    <w:rsid w:val="7EE67373"/>
    <w:rsid w:val="7EE81669"/>
    <w:rsid w:val="7EEB172E"/>
    <w:rsid w:val="7EEC5914"/>
    <w:rsid w:val="7EED2976"/>
    <w:rsid w:val="7EEE6A49"/>
    <w:rsid w:val="7EF01D5F"/>
    <w:rsid w:val="7EF062C9"/>
    <w:rsid w:val="7EF130EA"/>
    <w:rsid w:val="7EF21A77"/>
    <w:rsid w:val="7EF46DC0"/>
    <w:rsid w:val="7EF62EC2"/>
    <w:rsid w:val="7EF826F4"/>
    <w:rsid w:val="7EF97057"/>
    <w:rsid w:val="7EFC0291"/>
    <w:rsid w:val="7F003E7D"/>
    <w:rsid w:val="7F052767"/>
    <w:rsid w:val="7F072E3F"/>
    <w:rsid w:val="7F073869"/>
    <w:rsid w:val="7F086EE1"/>
    <w:rsid w:val="7F086F65"/>
    <w:rsid w:val="7F0C4C12"/>
    <w:rsid w:val="7F0F4D62"/>
    <w:rsid w:val="7F112402"/>
    <w:rsid w:val="7F1229D8"/>
    <w:rsid w:val="7F151F6A"/>
    <w:rsid w:val="7F170D18"/>
    <w:rsid w:val="7F207287"/>
    <w:rsid w:val="7F251812"/>
    <w:rsid w:val="7F251ED8"/>
    <w:rsid w:val="7F257378"/>
    <w:rsid w:val="7F27261C"/>
    <w:rsid w:val="7F2F622D"/>
    <w:rsid w:val="7F31792F"/>
    <w:rsid w:val="7F33185C"/>
    <w:rsid w:val="7F3412CC"/>
    <w:rsid w:val="7F34451E"/>
    <w:rsid w:val="7F3A5AC3"/>
    <w:rsid w:val="7F3B291D"/>
    <w:rsid w:val="7F3D0F60"/>
    <w:rsid w:val="7F4664E7"/>
    <w:rsid w:val="7F481463"/>
    <w:rsid w:val="7F4A2C9C"/>
    <w:rsid w:val="7F4B7BF6"/>
    <w:rsid w:val="7F4C5A39"/>
    <w:rsid w:val="7F4F4AB6"/>
    <w:rsid w:val="7F5257C9"/>
    <w:rsid w:val="7F526919"/>
    <w:rsid w:val="7F575946"/>
    <w:rsid w:val="7F5C578E"/>
    <w:rsid w:val="7F5F3B68"/>
    <w:rsid w:val="7F605E1B"/>
    <w:rsid w:val="7F607B01"/>
    <w:rsid w:val="7F610F70"/>
    <w:rsid w:val="7F6124E2"/>
    <w:rsid w:val="7F634B13"/>
    <w:rsid w:val="7F645632"/>
    <w:rsid w:val="7F69569F"/>
    <w:rsid w:val="7F6E4F83"/>
    <w:rsid w:val="7F6E4FCB"/>
    <w:rsid w:val="7F723034"/>
    <w:rsid w:val="7F741195"/>
    <w:rsid w:val="7F7451EC"/>
    <w:rsid w:val="7F745751"/>
    <w:rsid w:val="7F780FFD"/>
    <w:rsid w:val="7F786170"/>
    <w:rsid w:val="7F7964D4"/>
    <w:rsid w:val="7F7E2341"/>
    <w:rsid w:val="7F7F1618"/>
    <w:rsid w:val="7F8105B4"/>
    <w:rsid w:val="7F8159A0"/>
    <w:rsid w:val="7F8C13C6"/>
    <w:rsid w:val="7F8C157F"/>
    <w:rsid w:val="7F913BD1"/>
    <w:rsid w:val="7F952FD4"/>
    <w:rsid w:val="7F9567FC"/>
    <w:rsid w:val="7F9963F4"/>
    <w:rsid w:val="7F9A1EBA"/>
    <w:rsid w:val="7F9E64B7"/>
    <w:rsid w:val="7FA27BB6"/>
    <w:rsid w:val="7FA67DA9"/>
    <w:rsid w:val="7FAA5448"/>
    <w:rsid w:val="7FAB1554"/>
    <w:rsid w:val="7FAC0F41"/>
    <w:rsid w:val="7FAE1D9C"/>
    <w:rsid w:val="7FB034CD"/>
    <w:rsid w:val="7FB420FA"/>
    <w:rsid w:val="7FB54F54"/>
    <w:rsid w:val="7FBD4272"/>
    <w:rsid w:val="7FBE19D6"/>
    <w:rsid w:val="7FC73FA6"/>
    <w:rsid w:val="7FC879EF"/>
    <w:rsid w:val="7FC92B69"/>
    <w:rsid w:val="7FCB1B6B"/>
    <w:rsid w:val="7FCE0847"/>
    <w:rsid w:val="7FCF3172"/>
    <w:rsid w:val="7FD673FA"/>
    <w:rsid w:val="7FD77179"/>
    <w:rsid w:val="7FD86997"/>
    <w:rsid w:val="7FD90C58"/>
    <w:rsid w:val="7FD93BD8"/>
    <w:rsid w:val="7FD96442"/>
    <w:rsid w:val="7FDD7961"/>
    <w:rsid w:val="7FDF5B11"/>
    <w:rsid w:val="7FE01C55"/>
    <w:rsid w:val="7FE125C3"/>
    <w:rsid w:val="7FE213FF"/>
    <w:rsid w:val="7FE83670"/>
    <w:rsid w:val="7FE86FF7"/>
    <w:rsid w:val="7FEB1B2C"/>
    <w:rsid w:val="7FEF1D7C"/>
    <w:rsid w:val="7FF036EA"/>
    <w:rsid w:val="7FF80D22"/>
    <w:rsid w:val="7FFA207E"/>
    <w:rsid w:val="7FFF43A3"/>
    <w:rsid w:val="7FFF47FD"/>
    <w:rsid w:val="7FFF770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semiHidden="0" w:name="heading 5"/>
    <w:lsdException w:qFormat="1" w:uiPriority="0" w:semiHidden="0" w:name="heading 6"/>
    <w:lsdException w:qFormat="1" w:uiPriority="0" w:semiHidden="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qFormat="1"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qFormat="1"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qFormat="1"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1"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qFormat="1" w:unhideWhenUsed="0" w:uiPriority="0" w:semiHidden="0" w:name="HTML Cite"/>
    <w:lsdException w:qFormat="1"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ind w:firstLine="640" w:firstLineChars="200"/>
      <w:jc w:val="both"/>
    </w:pPr>
    <w:rPr>
      <w:rFonts w:ascii="仿宋_GB2312" w:hAnsi="仿宋_GB2312" w:eastAsia="仿宋_GB2312" w:cstheme="minorBidi"/>
      <w:kern w:val="2"/>
      <w:sz w:val="32"/>
      <w:szCs w:val="24"/>
      <w:lang w:val="en-US" w:eastAsia="zh-CN" w:bidi="ar-SA"/>
    </w:rPr>
  </w:style>
  <w:style w:type="paragraph" w:styleId="2">
    <w:name w:val="heading 1"/>
    <w:basedOn w:val="1"/>
    <w:next w:val="1"/>
    <w:qFormat/>
    <w:uiPriority w:val="0"/>
    <w:pPr>
      <w:keepNext/>
      <w:keepLines/>
      <w:spacing w:before="200" w:beforeLines="200" w:beforeAutospacing="0" w:after="200" w:afterLines="200" w:afterAutospacing="0" w:line="240" w:lineRule="auto"/>
      <w:ind w:firstLine="0" w:firstLineChars="0"/>
      <w:jc w:val="center"/>
      <w:outlineLvl w:val="0"/>
    </w:pPr>
    <w:rPr>
      <w:rFonts w:ascii="黑体" w:hAnsi="黑体" w:eastAsia="黑体"/>
      <w:b/>
      <w:kern w:val="44"/>
      <w:sz w:val="72"/>
    </w:rPr>
  </w:style>
  <w:style w:type="paragraph" w:styleId="3">
    <w:name w:val="heading 2"/>
    <w:basedOn w:val="1"/>
    <w:next w:val="1"/>
    <w:unhideWhenUsed/>
    <w:qFormat/>
    <w:uiPriority w:val="0"/>
    <w:pPr>
      <w:keepNext/>
      <w:keepLines/>
      <w:spacing w:before="200" w:beforeLines="200" w:beforeAutospacing="0" w:after="200" w:afterLines="200" w:afterAutospacing="0" w:line="240" w:lineRule="auto"/>
      <w:ind w:firstLine="0" w:firstLineChars="0"/>
      <w:jc w:val="center"/>
      <w:outlineLvl w:val="1"/>
    </w:pPr>
    <w:rPr>
      <w:rFonts w:ascii="黑体" w:hAnsi="黑体" w:eastAsia="黑体"/>
      <w:sz w:val="44"/>
    </w:rPr>
  </w:style>
  <w:style w:type="paragraph" w:styleId="4">
    <w:name w:val="heading 3"/>
    <w:basedOn w:val="1"/>
    <w:next w:val="1"/>
    <w:unhideWhenUsed/>
    <w:qFormat/>
    <w:uiPriority w:val="0"/>
    <w:pPr>
      <w:keepNext/>
      <w:keepLines/>
      <w:spacing w:before="50" w:beforeLines="50" w:beforeAutospacing="0" w:after="50" w:afterLines="50" w:afterAutospacing="0" w:line="240" w:lineRule="auto"/>
      <w:outlineLvl w:val="2"/>
    </w:pPr>
    <w:rPr>
      <w:rFonts w:ascii="黑体" w:hAnsi="黑体" w:eastAsia="黑体"/>
    </w:rPr>
  </w:style>
  <w:style w:type="paragraph" w:styleId="5">
    <w:name w:val="heading 4"/>
    <w:basedOn w:val="1"/>
    <w:next w:val="1"/>
    <w:unhideWhenUsed/>
    <w:qFormat/>
    <w:uiPriority w:val="0"/>
    <w:pPr>
      <w:keepNext/>
      <w:keepLines/>
      <w:spacing w:before="50" w:beforeLines="50" w:beforeAutospacing="0" w:after="10" w:afterLines="0" w:afterAutospacing="0" w:line="240" w:lineRule="auto"/>
      <w:outlineLvl w:val="3"/>
    </w:pPr>
    <w:rPr>
      <w:rFonts w:ascii="楷体" w:hAnsi="楷体" w:eastAsia="楷体"/>
      <w:b/>
    </w:rPr>
  </w:style>
  <w:style w:type="paragraph" w:styleId="6">
    <w:name w:val="heading 5"/>
    <w:basedOn w:val="1"/>
    <w:next w:val="1"/>
    <w:unhideWhenUsed/>
    <w:qFormat/>
    <w:uiPriority w:val="0"/>
    <w:pPr>
      <w:keepNext/>
      <w:keepLines/>
      <w:spacing w:before="50" w:beforeLines="50" w:beforeAutospacing="0" w:after="50" w:afterLines="50" w:afterAutospacing="0" w:line="240" w:lineRule="auto"/>
      <w:outlineLvl w:val="4"/>
    </w:pPr>
    <w:rPr>
      <w:rFonts w:ascii="仿宋_GB2312" w:hAnsi="仿宋_GB2312" w:eastAsia="仿宋_GB2312"/>
      <w:b/>
    </w:rPr>
  </w:style>
  <w:style w:type="paragraph" w:styleId="7">
    <w:name w:val="heading 6"/>
    <w:basedOn w:val="1"/>
    <w:next w:val="1"/>
    <w:unhideWhenUsed/>
    <w:qFormat/>
    <w:uiPriority w:val="0"/>
    <w:pPr>
      <w:keepNext/>
      <w:keepLines/>
      <w:spacing w:beforeAutospacing="0" w:afterAutospacing="0" w:line="240" w:lineRule="auto"/>
      <w:outlineLvl w:val="5"/>
    </w:pPr>
    <w:rPr>
      <w:rFonts w:ascii="楷体" w:hAnsi="楷体" w:eastAsia="楷体"/>
      <w:b/>
    </w:rPr>
  </w:style>
  <w:style w:type="paragraph" w:styleId="8">
    <w:name w:val="heading 7"/>
    <w:basedOn w:val="1"/>
    <w:next w:val="1"/>
    <w:unhideWhenUsed/>
    <w:qFormat/>
    <w:uiPriority w:val="0"/>
    <w:pPr>
      <w:keepNext/>
      <w:keepLines/>
      <w:spacing w:before="240" w:beforeLines="0" w:beforeAutospacing="0" w:after="64" w:afterLines="0" w:afterAutospacing="0" w:line="317" w:lineRule="auto"/>
      <w:outlineLvl w:val="6"/>
    </w:pPr>
    <w:rPr>
      <w:b/>
      <w:sz w:val="24"/>
    </w:rPr>
  </w:style>
  <w:style w:type="character" w:default="1" w:styleId="20">
    <w:name w:val="Default Paragraph Font"/>
    <w:semiHidden/>
    <w:qFormat/>
    <w:uiPriority w:val="0"/>
  </w:style>
  <w:style w:type="table" w:default="1" w:styleId="18">
    <w:name w:val="Normal Table"/>
    <w:semiHidden/>
    <w:qFormat/>
    <w:uiPriority w:val="0"/>
    <w:tblPr>
      <w:tblCellMar>
        <w:top w:w="0" w:type="dxa"/>
        <w:left w:w="108" w:type="dxa"/>
        <w:bottom w:w="0" w:type="dxa"/>
        <w:right w:w="108" w:type="dxa"/>
      </w:tblCellMar>
    </w:tblPr>
  </w:style>
  <w:style w:type="paragraph" w:styleId="9">
    <w:name w:val="Body Text"/>
    <w:basedOn w:val="1"/>
    <w:qFormat/>
    <w:uiPriority w:val="1"/>
    <w:pPr>
      <w:ind w:left="259"/>
    </w:pPr>
    <w:rPr>
      <w:rFonts w:ascii="宋体" w:hAnsi="宋体" w:eastAsia="宋体"/>
      <w:sz w:val="24"/>
      <w:szCs w:val="24"/>
    </w:rPr>
  </w:style>
  <w:style w:type="paragraph" w:styleId="10">
    <w:name w:val="toc 3"/>
    <w:basedOn w:val="1"/>
    <w:next w:val="1"/>
    <w:qFormat/>
    <w:uiPriority w:val="0"/>
    <w:pPr>
      <w:ind w:left="840" w:leftChars="400"/>
    </w:pPr>
  </w:style>
  <w:style w:type="paragraph" w:styleId="11">
    <w:name w:val="footer"/>
    <w:basedOn w:val="1"/>
    <w:qFormat/>
    <w:uiPriority w:val="0"/>
    <w:pPr>
      <w:tabs>
        <w:tab w:val="center" w:pos="4153"/>
        <w:tab w:val="right" w:pos="8306"/>
      </w:tabs>
      <w:snapToGrid w:val="0"/>
      <w:jc w:val="left"/>
    </w:pPr>
    <w:rPr>
      <w:sz w:val="18"/>
    </w:rPr>
  </w:style>
  <w:style w:type="paragraph" w:styleId="12">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3">
    <w:name w:val="toc 1"/>
    <w:basedOn w:val="1"/>
    <w:next w:val="1"/>
    <w:qFormat/>
    <w:uiPriority w:val="0"/>
  </w:style>
  <w:style w:type="paragraph" w:styleId="14">
    <w:name w:val="toc 4"/>
    <w:basedOn w:val="1"/>
    <w:next w:val="1"/>
    <w:qFormat/>
    <w:uiPriority w:val="0"/>
    <w:pPr>
      <w:ind w:left="1260" w:leftChars="600"/>
    </w:pPr>
  </w:style>
  <w:style w:type="paragraph" w:styleId="15">
    <w:name w:val="footnote text"/>
    <w:basedOn w:val="1"/>
    <w:qFormat/>
    <w:uiPriority w:val="0"/>
    <w:pPr>
      <w:snapToGrid w:val="0"/>
      <w:jc w:val="left"/>
    </w:pPr>
    <w:rPr>
      <w:sz w:val="18"/>
    </w:rPr>
  </w:style>
  <w:style w:type="paragraph" w:styleId="16">
    <w:name w:val="toc 2"/>
    <w:basedOn w:val="1"/>
    <w:next w:val="1"/>
    <w:qFormat/>
    <w:uiPriority w:val="0"/>
    <w:pPr>
      <w:ind w:left="420" w:leftChars="200"/>
    </w:pPr>
  </w:style>
  <w:style w:type="paragraph" w:styleId="17">
    <w:name w:val="Normal (Web)"/>
    <w:basedOn w:val="1"/>
    <w:qFormat/>
    <w:uiPriority w:val="0"/>
    <w:pPr>
      <w:spacing w:before="0" w:beforeAutospacing="1" w:after="0" w:afterAutospacing="1"/>
      <w:ind w:left="0" w:right="0"/>
      <w:jc w:val="left"/>
    </w:pPr>
    <w:rPr>
      <w:kern w:val="0"/>
      <w:sz w:val="24"/>
      <w:lang w:val="en-US" w:eastAsia="zh-CN" w:bidi="ar"/>
    </w:rPr>
  </w:style>
  <w:style w:type="table" w:styleId="19">
    <w:name w:val="Table Grid"/>
    <w:basedOn w:val="1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1">
    <w:name w:val="Strong"/>
    <w:basedOn w:val="20"/>
    <w:qFormat/>
    <w:uiPriority w:val="0"/>
    <w:rPr>
      <w:b/>
    </w:rPr>
  </w:style>
  <w:style w:type="character" w:styleId="22">
    <w:name w:val="FollowedHyperlink"/>
    <w:basedOn w:val="20"/>
    <w:qFormat/>
    <w:uiPriority w:val="0"/>
    <w:rPr>
      <w:color w:val="222222"/>
      <w:u w:val="none"/>
    </w:rPr>
  </w:style>
  <w:style w:type="character" w:styleId="23">
    <w:name w:val="Emphasis"/>
    <w:basedOn w:val="20"/>
    <w:qFormat/>
    <w:uiPriority w:val="0"/>
    <w:rPr>
      <w:color w:val="CCCCCC"/>
      <w:sz w:val="18"/>
      <w:szCs w:val="18"/>
    </w:rPr>
  </w:style>
  <w:style w:type="character" w:styleId="24">
    <w:name w:val="Hyperlink"/>
    <w:basedOn w:val="20"/>
    <w:qFormat/>
    <w:uiPriority w:val="0"/>
    <w:rPr>
      <w:color w:val="222222"/>
      <w:u w:val="none"/>
    </w:rPr>
  </w:style>
  <w:style w:type="character" w:styleId="25">
    <w:name w:val="HTML Code"/>
    <w:basedOn w:val="20"/>
    <w:qFormat/>
    <w:uiPriority w:val="0"/>
    <w:rPr>
      <w:rFonts w:ascii="Courier New" w:hAnsi="Courier New"/>
      <w:sz w:val="20"/>
    </w:rPr>
  </w:style>
  <w:style w:type="character" w:styleId="26">
    <w:name w:val="HTML Cite"/>
    <w:basedOn w:val="20"/>
    <w:qFormat/>
    <w:uiPriority w:val="0"/>
  </w:style>
  <w:style w:type="character" w:styleId="27">
    <w:name w:val="footnote reference"/>
    <w:basedOn w:val="20"/>
    <w:qFormat/>
    <w:uiPriority w:val="0"/>
    <w:rPr>
      <w:vertAlign w:val="superscript"/>
    </w:rPr>
  </w:style>
  <w:style w:type="paragraph" w:customStyle="1" w:styleId="28">
    <w:name w:val="Default"/>
    <w:unhideWhenUsed/>
    <w:qFormat/>
    <w:uiPriority w:val="99"/>
    <w:pPr>
      <w:widowControl w:val="0"/>
      <w:autoSpaceDE w:val="0"/>
      <w:autoSpaceDN w:val="0"/>
      <w:adjustRightInd w:val="0"/>
      <w:spacing w:beforeLines="0" w:afterLines="0"/>
    </w:pPr>
    <w:rPr>
      <w:rFonts w:hint="eastAsia" w:ascii="STFangsong" w:hAnsi="STFangsong" w:eastAsia="STFangsong" w:cs="Times New Roman"/>
      <w:color w:val="000000"/>
      <w:sz w:val="24"/>
    </w:rPr>
  </w:style>
  <w:style w:type="paragraph" w:customStyle="1" w:styleId="29">
    <w:name w:val="本文正文"/>
    <w:qFormat/>
    <w:uiPriority w:val="0"/>
    <w:pPr>
      <w:widowControl w:val="0"/>
      <w:spacing w:line="480" w:lineRule="exact"/>
      <w:ind w:firstLine="640" w:firstLineChars="200"/>
      <w:jc w:val="both"/>
    </w:pPr>
    <w:rPr>
      <w:rFonts w:ascii="仿宋" w:hAnsi="仿宋" w:eastAsia="仿宋" w:cs="Times New Roman"/>
      <w:bCs/>
      <w:kern w:val="0"/>
      <w:sz w:val="32"/>
      <w:szCs w:val="32"/>
      <w:lang w:val="en-US" w:eastAsia="zh-CN" w:bidi="ar-SA"/>
    </w:rPr>
  </w:style>
  <w:style w:type="paragraph" w:styleId="30">
    <w:name w:val="List Paragraph"/>
    <w:basedOn w:val="1"/>
    <w:qFormat/>
    <w:uiPriority w:val="34"/>
    <w:pPr>
      <w:ind w:left="720"/>
      <w:contextualSpacing/>
    </w:pPr>
  </w:style>
  <w:style w:type="paragraph" w:customStyle="1" w:styleId="31">
    <w:name w:val="专栏"/>
    <w:basedOn w:val="1"/>
    <w:qFormat/>
    <w:uiPriority w:val="0"/>
    <w:rPr>
      <w:rFonts w:ascii="楷体" w:hAnsi="楷体" w:eastAsia="楷体"/>
      <w:sz w:val="24"/>
    </w:rPr>
  </w:style>
  <w:style w:type="table" w:customStyle="1" w:styleId="32">
    <w:name w:val="网格表 1 浅色1"/>
    <w:basedOn w:val="18"/>
    <w:qFormat/>
    <w:uiPriority w:val="46"/>
    <w:tblPr>
      <w:tblBorders>
        <w:top w:val="single" w:color="999999" w:themeColor="text1" w:themeTint="66" w:sz="4" w:space="0"/>
        <w:left w:val="single" w:color="999999" w:themeColor="text1" w:themeTint="66" w:sz="4" w:space="0"/>
        <w:bottom w:val="single" w:color="999999" w:themeColor="text1" w:themeTint="66" w:sz="4" w:space="0"/>
        <w:right w:val="single" w:color="999999" w:themeColor="text1" w:themeTint="66" w:sz="4" w:space="0"/>
        <w:insideH w:val="single" w:color="999999" w:themeColor="text1" w:themeTint="66" w:sz="4" w:space="0"/>
        <w:insideV w:val="single" w:color="999999" w:themeColor="text1" w:themeTint="66" w:sz="4" w:space="0"/>
      </w:tblBorders>
    </w:tblPr>
    <w:tblStylePr w:type="firstRow">
      <w:rPr>
        <w:b/>
        <w:bCs/>
      </w:rPr>
      <w:tcPr>
        <w:tcBorders>
          <w:bottom w:val="single" w:color="666666" w:themeColor="text1" w:themeTint="99" w:sz="12" w:space="0"/>
        </w:tcBorders>
      </w:tcPr>
    </w:tblStylePr>
    <w:tblStylePr w:type="lastRow">
      <w:rPr>
        <w:b/>
        <w:bCs/>
      </w:rPr>
      <w:tcPr>
        <w:tcBorders>
          <w:top w:val="double" w:color="666666" w:themeColor="text1" w:themeTint="99" w:sz="2" w:space="0"/>
        </w:tcBorders>
      </w:tcPr>
    </w:tblStylePr>
    <w:tblStylePr w:type="firstCol">
      <w:rPr>
        <w:b/>
        <w:bCs/>
      </w:rPr>
    </w:tblStylePr>
    <w:tblStylePr w:type="lastCol">
      <w:rPr>
        <w:b/>
        <w:bCs/>
      </w:rPr>
    </w:tblStylePr>
  </w:style>
  <w:style w:type="character" w:customStyle="1" w:styleId="33">
    <w:name w:val="font11"/>
    <w:qFormat/>
    <w:uiPriority w:val="0"/>
    <w:rPr>
      <w:rFonts w:hint="eastAsia" w:ascii="楷体" w:hAnsi="楷体" w:eastAsia="楷体" w:cs="楷体"/>
      <w:color w:val="000000"/>
      <w:sz w:val="24"/>
      <w:szCs w:val="24"/>
      <w:u w:val="single"/>
    </w:rPr>
  </w:style>
  <w:style w:type="character" w:customStyle="1" w:styleId="34">
    <w:name w:val="font21"/>
    <w:qFormat/>
    <w:uiPriority w:val="0"/>
    <w:rPr>
      <w:rFonts w:hint="eastAsia" w:ascii="楷体" w:hAnsi="楷体" w:eastAsia="楷体" w:cs="楷体"/>
      <w:color w:val="000000"/>
      <w:sz w:val="24"/>
      <w:szCs w:val="24"/>
      <w:u w:val="single"/>
    </w:rPr>
  </w:style>
  <w:style w:type="character" w:customStyle="1" w:styleId="35">
    <w:name w:val="font01"/>
    <w:basedOn w:val="20"/>
    <w:qFormat/>
    <w:uiPriority w:val="0"/>
    <w:rPr>
      <w:rFonts w:hint="default" w:ascii="Times New Roman" w:hAnsi="Times New Roman" w:cs="Times New Roman"/>
      <w:color w:val="000000"/>
      <w:sz w:val="22"/>
      <w:szCs w:val="22"/>
      <w:u w:val="none"/>
    </w:rPr>
  </w:style>
  <w:style w:type="character" w:customStyle="1" w:styleId="36">
    <w:name w:val="before"/>
    <w:basedOn w:val="20"/>
    <w:qFormat/>
    <w:uiPriority w:val="0"/>
  </w:style>
  <w:style w:type="character" w:customStyle="1" w:styleId="37">
    <w:name w:val="swiper-active-switch"/>
    <w:basedOn w:val="20"/>
    <w:qFormat/>
    <w:uiPriority w:val="0"/>
    <w:rPr>
      <w:shd w:val="clear" w:fill="036EB5"/>
    </w:rPr>
  </w:style>
  <w:style w:type="character" w:customStyle="1" w:styleId="38">
    <w:name w:val="swiper-active-switch1"/>
    <w:basedOn w:val="20"/>
    <w:qFormat/>
    <w:uiPriority w:val="0"/>
    <w:rPr>
      <w:shd w:val="clear" w:fill="036EB5"/>
    </w:rPr>
  </w:style>
  <w:style w:type="character" w:customStyle="1" w:styleId="39">
    <w:name w:val="hdxdata"/>
    <w:basedOn w:val="20"/>
    <w:qFormat/>
    <w:uiPriority w:val="0"/>
  </w:style>
  <w:style w:type="character" w:customStyle="1" w:styleId="40">
    <w:name w:val="hdata"/>
    <w:basedOn w:val="20"/>
    <w:qFormat/>
    <w:uiPriority w:val="0"/>
    <w:rPr>
      <w:color w:val="888888"/>
      <w:sz w:val="18"/>
      <w:szCs w:val="18"/>
    </w:rPr>
  </w:style>
  <w:style w:type="character" w:customStyle="1" w:styleId="41">
    <w:name w:val="after"/>
    <w:basedOn w:val="20"/>
    <w:qFormat/>
    <w:uiPriority w:val="0"/>
  </w:style>
  <w:style w:type="character" w:customStyle="1" w:styleId="42">
    <w:name w:val="ndata"/>
    <w:basedOn w:val="20"/>
    <w:qFormat/>
    <w:uiPriority w:val="0"/>
    <w:rPr>
      <w:color w:val="888888"/>
      <w:sz w:val="21"/>
      <w:szCs w:val="21"/>
    </w:rPr>
  </w:style>
  <w:style w:type="character" w:customStyle="1" w:styleId="43">
    <w:name w:val="hover11"/>
    <w:basedOn w:val="20"/>
    <w:qFormat/>
    <w:uiPriority w:val="0"/>
  </w:style>
  <w:style w:type="character" w:customStyle="1" w:styleId="44">
    <w:name w:val="hover12"/>
    <w:basedOn w:val="20"/>
    <w:qFormat/>
    <w:uiPriority w:val="0"/>
    <w:rPr>
      <w:color w:val="0073B7"/>
    </w:rPr>
  </w:style>
  <w:style w:type="paragraph" w:customStyle="1" w:styleId="45">
    <w:name w:val="WPSOffice手动目录 1"/>
    <w:qFormat/>
    <w:uiPriority w:val="0"/>
    <w:pPr>
      <w:ind w:leftChars="0"/>
    </w:pPr>
    <w:rPr>
      <w:rFonts w:ascii="Times New Roman" w:hAnsi="Times New Roman" w:eastAsia="宋体" w:cs="Times New Roman"/>
      <w:sz w:val="20"/>
      <w:szCs w:val="20"/>
    </w:rPr>
  </w:style>
  <w:style w:type="paragraph" w:customStyle="1" w:styleId="46">
    <w:name w:val="WPSOffice手动目录 2"/>
    <w:qFormat/>
    <w:uiPriority w:val="0"/>
    <w:pPr>
      <w:ind w:leftChars="200"/>
    </w:pPr>
    <w:rPr>
      <w:rFonts w:ascii="Times New Roman" w:hAnsi="Times New Roman" w:eastAsia="宋体" w:cs="Times New Roman"/>
      <w:sz w:val="20"/>
      <w:szCs w:val="20"/>
    </w:rPr>
  </w:style>
  <w:style w:type="paragraph" w:customStyle="1" w:styleId="47">
    <w:name w:val="WPSOffice手动目录 3"/>
    <w:qFormat/>
    <w:uiPriority w:val="0"/>
    <w:pPr>
      <w:ind w:leftChars="400"/>
    </w:pPr>
    <w:rPr>
      <w:rFonts w:ascii="Times New Roman" w:hAnsi="Times New Roman" w:eastAsia="宋体" w:cs="Times New Roman"/>
      <w:sz w:val="20"/>
      <w:szCs w:val="20"/>
    </w:rPr>
  </w:style>
  <w:style w:type="character" w:customStyle="1" w:styleId="48">
    <w:name w:val="tx1"/>
    <w:basedOn w:val="20"/>
    <w:qFormat/>
    <w:uiPriority w:val="0"/>
    <w:rPr>
      <w:b/>
      <w:bCs/>
    </w:rPr>
  </w:style>
  <w:style w:type="table" w:customStyle="1" w:styleId="49">
    <w:name w:val="网格型1"/>
    <w:basedOn w:val="18"/>
    <w:qFormat/>
    <w:uiPriority w:val="39"/>
    <w:pPr>
      <w:spacing w:after="0" w:line="240" w:lineRule="auto"/>
    </w:pPr>
    <w:rPr>
      <w:kern w:val="2"/>
      <w:sz w:val="21"/>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50">
    <w:name w:val="hover105"/>
    <w:basedOn w:val="20"/>
    <w:qFormat/>
    <w:uiPriority w:val="0"/>
  </w:style>
  <w:style w:type="character" w:customStyle="1" w:styleId="51">
    <w:name w:val="hover103"/>
    <w:basedOn w:val="20"/>
    <w:qFormat/>
    <w:uiPriority w:val="0"/>
  </w:style>
  <w:style w:type="character" w:customStyle="1" w:styleId="52">
    <w:name w:val="正文加粗 字符"/>
    <w:basedOn w:val="20"/>
    <w:link w:val="53"/>
    <w:qFormat/>
    <w:uiPriority w:val="0"/>
    <w:rPr>
      <w:b/>
    </w:rPr>
  </w:style>
  <w:style w:type="paragraph" w:customStyle="1" w:styleId="53">
    <w:name w:val="正文加粗"/>
    <w:basedOn w:val="1"/>
    <w:link w:val="52"/>
    <w:qFormat/>
    <w:uiPriority w:val="0"/>
    <w:pPr>
      <w:ind w:firstLine="600"/>
    </w:pPr>
    <w:rPr>
      <w:b/>
    </w:rPr>
  </w:style>
  <w:style w:type="character" w:customStyle="1" w:styleId="54">
    <w:name w:val="percentage"/>
    <w:basedOn w:val="20"/>
    <w:qFormat/>
    <w:uiPriority w:val="0"/>
    <w:rPr>
      <w:color w:val="6991F9"/>
      <w:sz w:val="27"/>
      <w:szCs w:val="27"/>
    </w:rPr>
  </w:style>
  <w:style w:type="character" w:customStyle="1" w:styleId="55">
    <w:name w:val="satisfactiontext"/>
    <w:basedOn w:val="20"/>
    <w:qFormat/>
    <w:uiPriority w:val="0"/>
    <w:rPr>
      <w:sz w:val="24"/>
      <w:szCs w:val="24"/>
    </w:rPr>
  </w:style>
  <w:style w:type="character" w:customStyle="1" w:styleId="56">
    <w:name w:val="satisfactionbar"/>
    <w:basedOn w:val="20"/>
    <w:qFormat/>
    <w:uiPriority w:val="0"/>
    <w:rPr>
      <w:shd w:val="clear" w:fill="E3E3E3"/>
    </w:rPr>
  </w:style>
  <w:style w:type="character" w:customStyle="1" w:styleId="57">
    <w:name w:val="bsharetext"/>
    <w:basedOn w:val="20"/>
    <w:qFormat/>
    <w:uiPriority w:val="0"/>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 Type="http://schemas.openxmlformats.org/officeDocument/2006/relationships/footer" Target="footer2.xml"/><Relationship Id="rId61" Type="http://schemas.openxmlformats.org/officeDocument/2006/relationships/fontTable" Target="fontTable.xml"/><Relationship Id="rId60" Type="http://schemas.openxmlformats.org/officeDocument/2006/relationships/numbering" Target="numbering.xml"/><Relationship Id="rId6" Type="http://schemas.openxmlformats.org/officeDocument/2006/relationships/footer" Target="footer1.xml"/><Relationship Id="rId59" Type="http://schemas.openxmlformats.org/officeDocument/2006/relationships/customXml" Target="../customXml/item1.xml"/><Relationship Id="rId58" Type="http://schemas.openxmlformats.org/officeDocument/2006/relationships/image" Target="media/image49.jpeg"/><Relationship Id="rId57" Type="http://schemas.openxmlformats.org/officeDocument/2006/relationships/image" Target="media/image48.jpeg"/><Relationship Id="rId56" Type="http://schemas.openxmlformats.org/officeDocument/2006/relationships/image" Target="media/image47.png"/><Relationship Id="rId55" Type="http://schemas.openxmlformats.org/officeDocument/2006/relationships/image" Target="media/image46.jpeg"/><Relationship Id="rId54" Type="http://schemas.openxmlformats.org/officeDocument/2006/relationships/image" Target="media/image45.png"/><Relationship Id="rId53" Type="http://schemas.openxmlformats.org/officeDocument/2006/relationships/image" Target="media/image44.png"/><Relationship Id="rId52" Type="http://schemas.openxmlformats.org/officeDocument/2006/relationships/image" Target="media/image43.png"/><Relationship Id="rId51" Type="http://schemas.openxmlformats.org/officeDocument/2006/relationships/image" Target="media/image42.png"/><Relationship Id="rId50" Type="http://schemas.openxmlformats.org/officeDocument/2006/relationships/image" Target="media/image41.png"/><Relationship Id="rId5" Type="http://schemas.openxmlformats.org/officeDocument/2006/relationships/header" Target="header1.xml"/><Relationship Id="rId49" Type="http://schemas.openxmlformats.org/officeDocument/2006/relationships/image" Target="media/image40.jpeg"/><Relationship Id="rId48" Type="http://schemas.openxmlformats.org/officeDocument/2006/relationships/image" Target="media/image39.png"/><Relationship Id="rId47" Type="http://schemas.openxmlformats.org/officeDocument/2006/relationships/image" Target="media/image38.png"/><Relationship Id="rId46" Type="http://schemas.openxmlformats.org/officeDocument/2006/relationships/image" Target="media/image37.jpeg"/><Relationship Id="rId45" Type="http://schemas.openxmlformats.org/officeDocument/2006/relationships/image" Target="media/image36.jpeg"/><Relationship Id="rId44" Type="http://schemas.openxmlformats.org/officeDocument/2006/relationships/image" Target="media/image35.jpeg"/><Relationship Id="rId43" Type="http://schemas.openxmlformats.org/officeDocument/2006/relationships/image" Target="media/image34.jpeg"/><Relationship Id="rId42" Type="http://schemas.openxmlformats.org/officeDocument/2006/relationships/image" Target="media/image33.jpeg"/><Relationship Id="rId41" Type="http://schemas.openxmlformats.org/officeDocument/2006/relationships/image" Target="media/image32.jpeg"/><Relationship Id="rId40" Type="http://schemas.openxmlformats.org/officeDocument/2006/relationships/image" Target="media/image31.jpeg"/><Relationship Id="rId4" Type="http://schemas.openxmlformats.org/officeDocument/2006/relationships/endnotes" Target="endnotes.xml"/><Relationship Id="rId39" Type="http://schemas.openxmlformats.org/officeDocument/2006/relationships/image" Target="media/image30.jpeg"/><Relationship Id="rId38" Type="http://schemas.openxmlformats.org/officeDocument/2006/relationships/image" Target="media/image29.jpeg"/><Relationship Id="rId37" Type="http://schemas.openxmlformats.org/officeDocument/2006/relationships/image" Target="media/image28.jpeg"/><Relationship Id="rId36" Type="http://schemas.openxmlformats.org/officeDocument/2006/relationships/image" Target="media/image27.jpeg"/><Relationship Id="rId35" Type="http://schemas.openxmlformats.org/officeDocument/2006/relationships/image" Target="media/image26.jpeg"/><Relationship Id="rId34" Type="http://schemas.openxmlformats.org/officeDocument/2006/relationships/image" Target="media/image25.png"/><Relationship Id="rId33" Type="http://schemas.openxmlformats.org/officeDocument/2006/relationships/image" Target="media/image24.png"/><Relationship Id="rId32" Type="http://schemas.openxmlformats.org/officeDocument/2006/relationships/image" Target="media/image23.png"/><Relationship Id="rId31" Type="http://schemas.openxmlformats.org/officeDocument/2006/relationships/image" Target="media/image22.jpeg"/><Relationship Id="rId30" Type="http://schemas.openxmlformats.org/officeDocument/2006/relationships/image" Target="media/image21.jpeg"/><Relationship Id="rId3" Type="http://schemas.openxmlformats.org/officeDocument/2006/relationships/footnotes" Target="footnotes.xml"/><Relationship Id="rId29" Type="http://schemas.openxmlformats.org/officeDocument/2006/relationships/image" Target="media/image20.jpeg"/><Relationship Id="rId28" Type="http://schemas.openxmlformats.org/officeDocument/2006/relationships/image" Target="media/image19.png"/><Relationship Id="rId27" Type="http://schemas.openxmlformats.org/officeDocument/2006/relationships/image" Target="media/image18.jpeg"/><Relationship Id="rId26" Type="http://schemas.openxmlformats.org/officeDocument/2006/relationships/image" Target="media/image17.png"/><Relationship Id="rId25" Type="http://schemas.openxmlformats.org/officeDocument/2006/relationships/image" Target="media/image16.emf"/><Relationship Id="rId24" Type="http://schemas.openxmlformats.org/officeDocument/2006/relationships/image" Target="media/image15.emf"/><Relationship Id="rId23" Type="http://schemas.openxmlformats.org/officeDocument/2006/relationships/image" Target="media/image14.jpeg"/><Relationship Id="rId22" Type="http://schemas.openxmlformats.org/officeDocument/2006/relationships/image" Target="media/image13.jpeg"/><Relationship Id="rId21" Type="http://schemas.openxmlformats.org/officeDocument/2006/relationships/image" Target="media/image12.png"/><Relationship Id="rId20" Type="http://schemas.openxmlformats.org/officeDocument/2006/relationships/image" Target="media/image11.jpeg"/><Relationship Id="rId2" Type="http://schemas.openxmlformats.org/officeDocument/2006/relationships/settings" Target="settings.xml"/><Relationship Id="rId19" Type="http://schemas.openxmlformats.org/officeDocument/2006/relationships/image" Target="media/image10.jpeg"/><Relationship Id="rId18" Type="http://schemas.openxmlformats.org/officeDocument/2006/relationships/image" Target="media/image9.jpeg"/><Relationship Id="rId17" Type="http://schemas.openxmlformats.org/officeDocument/2006/relationships/image" Target="media/image8.jpeg"/><Relationship Id="rId16" Type="http://schemas.openxmlformats.org/officeDocument/2006/relationships/image" Target="media/image7.jpeg"/><Relationship Id="rId15" Type="http://schemas.openxmlformats.org/officeDocument/2006/relationships/image" Target="media/image6.jpeg"/><Relationship Id="rId14" Type="http://schemas.openxmlformats.org/officeDocument/2006/relationships/image" Target="media/image5.jpeg"/><Relationship Id="rId13" Type="http://schemas.openxmlformats.org/officeDocument/2006/relationships/image" Target="media/image4.jpeg"/><Relationship Id="rId12" Type="http://schemas.openxmlformats.org/officeDocument/2006/relationships/image" Target="media/image3.jpeg"/><Relationship Id="rId11" Type="http://schemas.openxmlformats.org/officeDocument/2006/relationships/image" Target="media/image2.jpeg"/><Relationship Id="rId10" Type="http://schemas.openxmlformats.org/officeDocument/2006/relationships/image" Target="media/image1.pn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236</Pages>
  <Words>127558</Words>
  <Characters>135020</Characters>
  <Lines>0</Lines>
  <Paragraphs>0</Paragraphs>
  <TotalTime>59</TotalTime>
  <ScaleCrop>false</ScaleCrop>
  <LinksUpToDate>false</LinksUpToDate>
  <CharactersWithSpaces>139588</CharactersWithSpaces>
  <Application>WPS Office_11.1.0.10578_F1E327BC-269C-435d-A152-05C5408002CA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2019-12-29T09:22:00Z</dcterms:created>
  <dc:creator>刘桓</dc:creator>
  <cp:lastModifiedBy>刘桓</cp:lastModifiedBy>
  <cp:lastPrinted>2020-07-13T02:41:00Z</cp:lastPrinted>
  <dcterms:modified xsi:type="dcterms:W3CDTF">2021-07-07T06:35:27Z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2052-11.1.0.10578</vt:lpwstr>
  </property>
  <property fmtid="{D5CDD505-2E9C-101B-9397-08002B2CF9AE}" pid="3" name="ICV">
    <vt:lpwstr>E693F4C917EA494E9FAC21A723956A35</vt:lpwstr>
  </property>
</Properties>
</file>