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bookmarkStart w:id="0" w:name="_GoBack"/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三亚市崖州区要素保障亮牌约谈备忘表</w:t>
      </w:r>
    </w:p>
    <w:bookmarkEnd w:id="0"/>
    <w:tbl>
      <w:tblPr>
        <w:tblStyle w:val="4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204"/>
        <w:gridCol w:w="614"/>
        <w:gridCol w:w="1590"/>
        <w:gridCol w:w="5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4"/>
                <w:szCs w:val="24"/>
                <w:vertAlign w:val="baseline"/>
                <w:lang w:val="en-US" w:eastAsia="zh-CN"/>
              </w:rPr>
              <w:t>项目总投资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例2000万元</w:t>
            </w:r>
          </w:p>
        </w:tc>
        <w:tc>
          <w:tcPr>
            <w:tcW w:w="22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  <w:vertAlign w:val="baseline"/>
                <w:lang w:val="en-US" w:eastAsia="zh-CN"/>
              </w:rPr>
              <w:t>2021年计划投资</w:t>
            </w:r>
          </w:p>
        </w:tc>
        <w:tc>
          <w:tcPr>
            <w:tcW w:w="22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例1000万元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项目建设规模及内容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  <w:t>（从立项、可研或初设文件中摘抄）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业主单位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联系人及方式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代建、代管单位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联系人及方式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要素保障责任单位1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联系人及方式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要素保障责任单位2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联系人及方式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本次约谈事由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例：原计划2021年7月30日完成项目房屋拆迁及土地征用，现逾期25日，亮黄牌。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约定整改措施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例：9月5日之前完成土地征用及房屋拆迁。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要素保障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前置要件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例如：征地批文未下达/征地资金未下达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4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业主单位被约谈人：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要素保障被约谈人：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84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约谈领导签字确认：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代管/建方被约谈人：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约谈日期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2021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4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是否同意抄送区纪委、组织部、人大办及政府党组。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否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：本表报区发改委备案。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02964"/>
    <w:rsid w:val="47002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2021-09-10T03:17:00Z</dcterms:created>
  <dc:creator>水先生</dc:creator>
  <cp:lastModifiedBy>水先生</cp:lastModifiedBy>
  <dcterms:modified xsi:type="dcterms:W3CDTF">2021-09-10T03:22:02Z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