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8" w:lineRule="exact"/>
        <w:jc w:val="center"/>
        <w:textAlignment w:val="auto"/>
        <w:rPr>
          <w:rFonts w:hint="eastAsia" w:ascii="方正小标宋_GBK" w:hAnsi="方正小标宋_GBK" w:eastAsia="方正小标宋_GBK" w:cs="方正小标宋_GBK"/>
          <w:b w:val="0"/>
          <w:bCs w:val="0"/>
          <w:color w:val="auto"/>
          <w:spacing w:val="-20"/>
          <w:w w:val="100"/>
          <w:sz w:val="44"/>
          <w:szCs w:val="44"/>
          <w:highlight w:val="none"/>
          <w:lang w:eastAsia="zh-CN"/>
        </w:rPr>
      </w:pPr>
      <w:bookmarkStart w:id="10" w:name="_GoBack"/>
      <w:bookmarkEnd w:id="10"/>
      <w:bookmarkStart w:id="0" w:name="_Toc19806_WPSOffice_Level1"/>
    </w:p>
    <w:p>
      <w:pPr>
        <w:keepNext w:val="0"/>
        <w:keepLines w:val="0"/>
        <w:pageBreakBefore w:val="0"/>
        <w:kinsoku/>
        <w:wordWrap/>
        <w:overflowPunct/>
        <w:topLinePunct w:val="0"/>
        <w:autoSpaceDE/>
        <w:autoSpaceDN/>
        <w:bidi w:val="0"/>
        <w:adjustRightInd/>
        <w:snapToGrid/>
        <w:spacing w:line="558" w:lineRule="exact"/>
        <w:jc w:val="center"/>
        <w:textAlignment w:val="auto"/>
        <w:rPr>
          <w:rFonts w:hint="eastAsia" w:ascii="方正小标宋_GBK" w:hAnsi="方正小标宋_GBK" w:eastAsia="方正小标宋_GBK" w:cs="方正小标宋_GBK"/>
          <w:b w:val="0"/>
          <w:bCs w:val="0"/>
          <w:color w:val="auto"/>
          <w:spacing w:val="-20"/>
          <w:w w:val="100"/>
          <w:sz w:val="44"/>
          <w:szCs w:val="44"/>
          <w:highlight w:val="none"/>
        </w:rPr>
      </w:pPr>
      <w:r>
        <w:rPr>
          <w:rFonts w:hint="eastAsia" w:ascii="方正小标宋_GBK" w:hAnsi="方正小标宋_GBK" w:eastAsia="方正小标宋_GBK" w:cs="方正小标宋_GBK"/>
          <w:b w:val="0"/>
          <w:bCs w:val="0"/>
          <w:color w:val="auto"/>
          <w:spacing w:val="-20"/>
          <w:w w:val="100"/>
          <w:sz w:val="44"/>
          <w:szCs w:val="44"/>
          <w:highlight w:val="none"/>
          <w:lang w:eastAsia="zh-CN"/>
        </w:rPr>
        <w:t>三亚市崖州区政府投资</w:t>
      </w:r>
      <w:r>
        <w:rPr>
          <w:rFonts w:hint="eastAsia" w:ascii="方正小标宋_GBK" w:hAnsi="方正小标宋_GBK" w:eastAsia="方正小标宋_GBK" w:cs="方正小标宋_GBK"/>
          <w:b w:val="0"/>
          <w:bCs w:val="0"/>
          <w:color w:val="auto"/>
          <w:spacing w:val="-20"/>
          <w:w w:val="100"/>
          <w:sz w:val="44"/>
          <w:szCs w:val="44"/>
          <w:highlight w:val="none"/>
        </w:rPr>
        <w:t>项目管理办法</w:t>
      </w:r>
      <w:bookmarkEnd w:id="0"/>
    </w:p>
    <w:p>
      <w:pPr>
        <w:keepNext w:val="0"/>
        <w:keepLines w:val="0"/>
        <w:pageBreakBefore w:val="0"/>
        <w:kinsoku/>
        <w:wordWrap/>
        <w:overflowPunct/>
        <w:topLinePunct w:val="0"/>
        <w:autoSpaceDE/>
        <w:autoSpaceDN/>
        <w:bidi w:val="0"/>
        <w:adjustRightInd/>
        <w:snapToGrid/>
        <w:spacing w:line="558" w:lineRule="exact"/>
        <w:ind w:firstLine="0" w:firstLineChars="0"/>
        <w:jc w:val="center"/>
        <w:textAlignment w:val="auto"/>
        <w:rPr>
          <w:rFonts w:hint="eastAsia" w:ascii="仿宋_GB2312" w:hAnsi="仿宋_GB2312" w:eastAsia="仿宋_GB2312" w:cs="仿宋_GB2312"/>
          <w:b w:val="0"/>
          <w:bCs w:val="0"/>
          <w:color w:val="auto"/>
          <w:spacing w:val="0"/>
          <w:w w:val="100"/>
          <w:sz w:val="32"/>
          <w:szCs w:val="32"/>
          <w:highlight w:val="none"/>
          <w:lang w:eastAsia="zh-CN"/>
        </w:rPr>
      </w:pPr>
    </w:p>
    <w:p>
      <w:pPr>
        <w:pStyle w:val="2"/>
        <w:pageBreakBefore w:val="0"/>
        <w:kinsoku/>
        <w:wordWrap/>
        <w:overflowPunct/>
        <w:topLinePunct w:val="0"/>
        <w:autoSpaceDE/>
        <w:autoSpaceDN/>
        <w:bidi w:val="0"/>
        <w:adjustRightInd/>
        <w:snapToGrid/>
        <w:spacing w:line="558" w:lineRule="exact"/>
        <w:jc w:val="center"/>
        <w:textAlignment w:val="auto"/>
        <w:rPr>
          <w:rFonts w:hint="eastAsia" w:ascii="黑体" w:hAnsi="黑体" w:eastAsia="黑体" w:cs="黑体"/>
          <w:color w:val="auto"/>
          <w:sz w:val="32"/>
          <w:szCs w:val="32"/>
        </w:rPr>
      </w:pPr>
      <w:bookmarkStart w:id="1" w:name="_Toc31297_WPSOffice_Level1"/>
      <w:r>
        <w:rPr>
          <w:rFonts w:hint="eastAsia" w:ascii="黑体" w:hAnsi="黑体" w:eastAsia="黑体" w:cs="黑体"/>
          <w:color w:val="auto"/>
          <w:sz w:val="32"/>
          <w:szCs w:val="32"/>
        </w:rPr>
        <w:t>第一</w:t>
      </w:r>
      <w:r>
        <w:rPr>
          <w:rFonts w:hint="eastAsia" w:ascii="黑体" w:hAnsi="黑体" w:eastAsia="黑体" w:cs="黑体"/>
          <w:color w:val="auto"/>
          <w:sz w:val="32"/>
          <w:szCs w:val="32"/>
          <w:lang w:eastAsia="zh-CN"/>
        </w:rPr>
        <w:t>章</w:t>
      </w:r>
      <w:r>
        <w:rPr>
          <w:rFonts w:hint="eastAsia" w:ascii="黑体" w:hAnsi="黑体" w:eastAsia="黑体" w:cs="黑体"/>
          <w:color w:val="auto"/>
          <w:sz w:val="32"/>
          <w:szCs w:val="32"/>
        </w:rPr>
        <w:tab/>
      </w:r>
      <w:r>
        <w:rPr>
          <w:rFonts w:hint="eastAsia" w:ascii="黑体" w:hAnsi="黑体" w:eastAsia="黑体" w:cs="黑体"/>
          <w:color w:val="auto"/>
          <w:sz w:val="32"/>
          <w:szCs w:val="32"/>
        </w:rPr>
        <w:t>总</w:t>
      </w:r>
      <w:r>
        <w:rPr>
          <w:rFonts w:hint="eastAsia" w:ascii="黑体" w:hAnsi="黑体" w:eastAsia="黑体" w:cs="黑体"/>
          <w:color w:val="auto"/>
          <w:sz w:val="32"/>
          <w:szCs w:val="32"/>
        </w:rPr>
        <w:tab/>
      </w:r>
      <w:r>
        <w:rPr>
          <w:rFonts w:hint="eastAsia" w:ascii="黑体" w:hAnsi="黑体" w:eastAsia="黑体" w:cs="黑体"/>
          <w:color w:val="auto"/>
          <w:sz w:val="32"/>
          <w:szCs w:val="32"/>
        </w:rPr>
        <w:t>则</w:t>
      </w:r>
      <w:bookmarkEnd w:id="1"/>
    </w:p>
    <w:p>
      <w:pPr>
        <w:keepNext w:val="0"/>
        <w:keepLines w:val="0"/>
        <w:pageBreakBefore w:val="0"/>
        <w:kinsoku/>
        <w:wordWrap/>
        <w:overflowPunct/>
        <w:topLinePunct w:val="0"/>
        <w:autoSpaceDE/>
        <w:autoSpaceDN/>
        <w:bidi w:val="0"/>
        <w:adjustRightInd/>
        <w:snapToGrid/>
        <w:spacing w:line="558" w:lineRule="exact"/>
        <w:ind w:firstLine="0" w:firstLineChars="0"/>
        <w:jc w:val="center"/>
        <w:textAlignment w:val="auto"/>
        <w:rPr>
          <w:rFonts w:hint="eastAsia" w:ascii="方正小标宋_GBK" w:hAnsi="方正小标宋_GBK" w:eastAsia="方正小标宋_GBK" w:cs="方正小标宋_GBK"/>
          <w:b w:val="0"/>
          <w:bCs w:val="0"/>
          <w:color w:val="auto"/>
          <w:spacing w:val="0"/>
          <w:w w:val="100"/>
          <w:sz w:val="32"/>
          <w:szCs w:val="32"/>
          <w:highlight w:val="none"/>
        </w:rPr>
      </w:pP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第一</w:t>
      </w:r>
      <w:r>
        <w:rPr>
          <w:rFonts w:hint="eastAsia" w:ascii="黑体" w:hAnsi="黑体" w:eastAsia="黑体" w:cs="黑体"/>
          <w:b w:val="0"/>
          <w:bCs w:val="0"/>
          <w:color w:val="auto"/>
          <w:spacing w:val="0"/>
          <w:w w:val="100"/>
          <w:sz w:val="32"/>
          <w:szCs w:val="32"/>
          <w:highlight w:val="none"/>
          <w:lang w:eastAsia="zh-CN"/>
        </w:rPr>
        <w:t>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_GB2312" w:eastAsia="仿宋_GB2312" w:cs="仿宋_GB2312"/>
          <w:b w:val="0"/>
          <w:bCs w:val="0"/>
          <w:color w:val="auto"/>
          <w:spacing w:val="0"/>
          <w:w w:val="100"/>
          <w:sz w:val="32"/>
          <w:szCs w:val="32"/>
          <w:highlight w:val="none"/>
        </w:rPr>
        <w:t>为规范</w:t>
      </w:r>
      <w:r>
        <w:rPr>
          <w:rFonts w:hint="eastAsia" w:ascii="仿宋_GB2312" w:hAnsi="仿宋_GB2312" w:eastAsia="仿宋_GB2312" w:cs="仿宋_GB2312"/>
          <w:b w:val="0"/>
          <w:bCs w:val="0"/>
          <w:color w:val="auto"/>
          <w:spacing w:val="0"/>
          <w:w w:val="100"/>
          <w:sz w:val="32"/>
          <w:szCs w:val="32"/>
          <w:highlight w:val="none"/>
          <w:lang w:eastAsia="zh-CN"/>
        </w:rPr>
        <w:t>政府</w:t>
      </w:r>
      <w:r>
        <w:rPr>
          <w:rFonts w:hint="eastAsia" w:ascii="仿宋_GB2312" w:hAnsi="仿宋_GB2312" w:eastAsia="仿宋_GB2312" w:cs="仿宋_GB2312"/>
          <w:b w:val="0"/>
          <w:bCs w:val="0"/>
          <w:color w:val="auto"/>
          <w:spacing w:val="0"/>
          <w:w w:val="100"/>
          <w:sz w:val="32"/>
          <w:szCs w:val="32"/>
          <w:highlight w:val="none"/>
        </w:rPr>
        <w:t>投资项目管理，健全科学、民主的投资项目决策和实施程序，提高投资效益和绩效，加强投资事中事后监管</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b w:val="0"/>
          <w:bCs w:val="0"/>
          <w:color w:val="auto"/>
          <w:spacing w:val="0"/>
          <w:w w:val="100"/>
          <w:sz w:val="32"/>
          <w:szCs w:val="32"/>
          <w:highlight w:val="none"/>
        </w:rPr>
        <w:t>根据</w:t>
      </w:r>
      <w:r>
        <w:rPr>
          <w:rFonts w:hint="eastAsia" w:ascii="仿宋_GB2312" w:hAnsi="仿宋_GB2312" w:eastAsia="仿宋_GB2312" w:cs="仿宋_GB2312"/>
          <w:b w:val="0"/>
          <w:bCs w:val="0"/>
          <w:color w:val="auto"/>
          <w:spacing w:val="0"/>
          <w:w w:val="100"/>
          <w:sz w:val="32"/>
          <w:szCs w:val="32"/>
          <w:highlight w:val="none"/>
          <w:lang w:eastAsia="zh-CN"/>
        </w:rPr>
        <w:t>《政府投资条例》</w:t>
      </w:r>
      <w:r>
        <w:rPr>
          <w:rFonts w:hint="eastAsia" w:ascii="仿宋_GB2312" w:hAnsi="仿宋_GB2312" w:eastAsia="仿宋_GB2312" w:cs="仿宋_GB2312"/>
          <w:b w:val="0"/>
          <w:bCs w:val="0"/>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lang w:eastAsia="zh-CN"/>
        </w:rPr>
        <w:t>海南省政府投资项目管理办法</w:t>
      </w:r>
      <w:r>
        <w:rPr>
          <w:rFonts w:hint="eastAsia" w:ascii="仿宋_GB2312" w:hAnsi="仿宋_GB2312" w:eastAsia="仿宋_GB2312" w:cs="仿宋_GB2312"/>
          <w:b w:val="0"/>
          <w:bCs w:val="0"/>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lang w:eastAsia="zh-CN"/>
        </w:rPr>
        <w:t>《三亚市政府投资项目管理规定》</w:t>
      </w:r>
      <w:r>
        <w:rPr>
          <w:rFonts w:hint="eastAsia" w:ascii="仿宋_GB2312" w:hAnsi="仿宋_GB2312" w:eastAsia="仿宋_GB2312" w:cs="仿宋_GB2312"/>
          <w:b w:val="0"/>
          <w:bCs w:val="0"/>
          <w:color w:val="auto"/>
          <w:spacing w:val="0"/>
          <w:w w:val="100"/>
          <w:sz w:val="32"/>
          <w:szCs w:val="32"/>
          <w:highlight w:val="none"/>
        </w:rPr>
        <w:t>等有关法律法规</w:t>
      </w:r>
      <w:r>
        <w:rPr>
          <w:rFonts w:hint="eastAsia" w:ascii="仿宋_GB2312" w:hAnsi="仿宋_GB2312" w:eastAsia="仿宋_GB2312" w:cs="仿宋_GB2312"/>
          <w:b w:val="0"/>
          <w:bCs w:val="0"/>
          <w:color w:val="auto"/>
          <w:spacing w:val="0"/>
          <w:w w:val="100"/>
          <w:sz w:val="32"/>
          <w:szCs w:val="32"/>
          <w:highlight w:val="none"/>
          <w:lang w:eastAsia="zh-CN"/>
        </w:rPr>
        <w:t>规章和上级文件规定</w:t>
      </w:r>
      <w:r>
        <w:rPr>
          <w:rFonts w:hint="eastAsia" w:ascii="仿宋_GB2312" w:hAnsi="仿宋_GB2312" w:eastAsia="仿宋_GB2312" w:cs="仿宋_GB2312"/>
          <w:b w:val="0"/>
          <w:bCs w:val="0"/>
          <w:color w:val="auto"/>
          <w:spacing w:val="0"/>
          <w:w w:val="100"/>
          <w:sz w:val="32"/>
          <w:szCs w:val="32"/>
          <w:highlight w:val="none"/>
        </w:rPr>
        <w:t>，结合</w:t>
      </w:r>
      <w:r>
        <w:rPr>
          <w:rFonts w:hint="eastAsia" w:ascii="仿宋_GB2312" w:hAnsi="仿宋_GB2312" w:eastAsia="仿宋_GB2312" w:cs="仿宋_GB2312"/>
          <w:b w:val="0"/>
          <w:bCs w:val="0"/>
          <w:color w:val="auto"/>
          <w:spacing w:val="0"/>
          <w:w w:val="100"/>
          <w:sz w:val="32"/>
          <w:szCs w:val="32"/>
          <w:highlight w:val="none"/>
          <w:lang w:eastAsia="zh-CN"/>
        </w:rPr>
        <w:t>崖州区</w:t>
      </w:r>
      <w:r>
        <w:rPr>
          <w:rFonts w:hint="eastAsia" w:ascii="仿宋_GB2312" w:hAnsi="仿宋_GB2312" w:eastAsia="仿宋_GB2312" w:cs="仿宋_GB2312"/>
          <w:b w:val="0"/>
          <w:bCs w:val="0"/>
          <w:color w:val="auto"/>
          <w:spacing w:val="0"/>
          <w:w w:val="100"/>
          <w:sz w:val="32"/>
          <w:szCs w:val="32"/>
          <w:highlight w:val="none"/>
        </w:rPr>
        <w:t>实际，制定本办法。</w:t>
      </w:r>
    </w:p>
    <w:p>
      <w:pPr>
        <w:keepNext w:val="0"/>
        <w:keepLines w:val="0"/>
        <w:pageBreakBefore w:val="0"/>
        <w:kinsoku/>
        <w:wordWrap/>
        <w:overflowPunct/>
        <w:topLinePunct w:val="0"/>
        <w:autoSpaceDE/>
        <w:autoSpaceDN/>
        <w:bidi w:val="0"/>
        <w:adjustRightInd/>
        <w:snapToGrid/>
        <w:spacing w:line="558" w:lineRule="exact"/>
        <w:ind w:firstLine="642" w:firstLineChars="200"/>
        <w:jc w:val="both"/>
        <w:textAlignment w:val="auto"/>
        <w:rPr>
          <w:rFonts w:hint="eastAsia" w:ascii="仿宋_GB2312" w:hAnsi="仿宋" w:eastAsia="仿宋_GB2312"/>
          <w:b w:val="0"/>
          <w:bCs w:val="0"/>
          <w:color w:val="auto"/>
          <w:sz w:val="32"/>
          <w:szCs w:val="32"/>
          <w:highlight w:val="none"/>
          <w:shd w:val="clear" w:color="auto" w:fill="FFFFFF"/>
        </w:rPr>
      </w:pPr>
      <w:r>
        <w:rPr>
          <w:rFonts w:hint="eastAsia" w:ascii="黑体" w:hAnsi="黑体" w:eastAsia="黑体" w:cs="黑体"/>
          <w:b/>
          <w:bCs/>
          <w:color w:val="auto"/>
          <w:spacing w:val="0"/>
          <w:w w:val="100"/>
          <w:sz w:val="32"/>
          <w:szCs w:val="32"/>
          <w:highlight w:val="none"/>
        </w:rPr>
        <w:t>第二</w:t>
      </w:r>
      <w:r>
        <w:rPr>
          <w:rFonts w:hint="eastAsia" w:ascii="黑体" w:hAnsi="黑体" w:eastAsia="黑体" w:cs="黑体"/>
          <w:b w:val="0"/>
          <w:bCs w:val="0"/>
          <w:color w:val="auto"/>
          <w:spacing w:val="0"/>
          <w:w w:val="100"/>
          <w:sz w:val="32"/>
          <w:szCs w:val="32"/>
          <w:highlight w:val="none"/>
          <w:lang w:eastAsia="zh-CN"/>
        </w:rPr>
        <w:t>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 w:eastAsia="仿宋_GB2312"/>
          <w:b w:val="0"/>
          <w:bCs w:val="0"/>
          <w:color w:val="auto"/>
          <w:sz w:val="32"/>
          <w:szCs w:val="32"/>
          <w:highlight w:val="none"/>
          <w:shd w:val="clear" w:color="auto" w:fill="FFFFFF"/>
        </w:rPr>
        <w:t>本办法所称的政府投资项目，是指</w:t>
      </w:r>
      <w:r>
        <w:rPr>
          <w:rFonts w:hint="eastAsia" w:ascii="仿宋_GB2312" w:hAnsi="仿宋" w:eastAsia="仿宋_GB2312"/>
          <w:b w:val="0"/>
          <w:bCs w:val="0"/>
          <w:color w:val="auto"/>
          <w:sz w:val="32"/>
          <w:szCs w:val="32"/>
          <w:highlight w:val="none"/>
          <w:shd w:val="clear" w:color="auto" w:fill="FFFFFF"/>
          <w:lang w:eastAsia="zh-CN"/>
        </w:rPr>
        <w:t>审批权限由区级审批的崖州区</w:t>
      </w:r>
      <w:r>
        <w:rPr>
          <w:rFonts w:hint="eastAsia" w:ascii="仿宋_GB2312" w:hAnsi="仿宋" w:eastAsia="仿宋_GB2312"/>
          <w:b w:val="0"/>
          <w:bCs w:val="0"/>
          <w:color w:val="auto"/>
          <w:sz w:val="32"/>
          <w:szCs w:val="32"/>
          <w:highlight w:val="none"/>
          <w:shd w:val="clear" w:color="auto" w:fill="FFFFFF"/>
        </w:rPr>
        <w:t>行政区域内使用</w:t>
      </w:r>
      <w:r>
        <w:rPr>
          <w:rFonts w:hint="eastAsia" w:ascii="仿宋_GB2312" w:hAnsi="仿宋" w:eastAsia="仿宋_GB2312"/>
          <w:b w:val="0"/>
          <w:bCs w:val="0"/>
          <w:color w:val="auto"/>
          <w:sz w:val="32"/>
          <w:szCs w:val="32"/>
          <w:highlight w:val="none"/>
          <w:shd w:val="clear" w:color="auto" w:fill="FFFFFF"/>
          <w:lang w:eastAsia="zh-CN"/>
        </w:rPr>
        <w:t>区本级预算资金、市财政统筹安排区级的建设资金、市级</w:t>
      </w:r>
      <w:r>
        <w:rPr>
          <w:rFonts w:hint="eastAsia" w:ascii="仿宋_GB2312" w:hAnsi="仿宋" w:eastAsia="仿宋_GB2312"/>
          <w:b w:val="0"/>
          <w:bCs w:val="0"/>
          <w:color w:val="auto"/>
          <w:sz w:val="32"/>
          <w:szCs w:val="32"/>
          <w:highlight w:val="none"/>
          <w:shd w:val="clear" w:color="auto" w:fill="FFFFFF"/>
          <w:lang w:val="en-US" w:eastAsia="zh-CN"/>
        </w:rPr>
        <w:t>3000万元以下财政</w:t>
      </w:r>
      <w:r>
        <w:rPr>
          <w:rFonts w:hint="eastAsia" w:ascii="仿宋_GB2312" w:hAnsi="仿宋" w:eastAsia="仿宋_GB2312"/>
          <w:b w:val="0"/>
          <w:bCs w:val="0"/>
          <w:color w:val="auto"/>
          <w:sz w:val="32"/>
          <w:szCs w:val="32"/>
          <w:highlight w:val="none"/>
          <w:shd w:val="clear" w:color="auto" w:fill="FFFFFF"/>
          <w:lang w:eastAsia="zh-CN"/>
        </w:rPr>
        <w:t>资金及其它由区级财政支配资金所</w:t>
      </w:r>
      <w:r>
        <w:rPr>
          <w:rFonts w:hint="eastAsia" w:ascii="仿宋_GB2312" w:hAnsi="仿宋" w:eastAsia="仿宋_GB2312"/>
          <w:b w:val="0"/>
          <w:bCs w:val="0"/>
          <w:color w:val="auto"/>
          <w:sz w:val="32"/>
          <w:szCs w:val="32"/>
          <w:highlight w:val="none"/>
          <w:shd w:val="clear" w:color="auto" w:fill="FFFFFF"/>
        </w:rPr>
        <w:t>进行新建、扩建、改建、技术改造等固定资产投资项目。</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 w:eastAsia="仿宋_GB2312"/>
          <w:b w:val="0"/>
          <w:bCs w:val="0"/>
          <w:color w:val="auto"/>
          <w:sz w:val="32"/>
          <w:szCs w:val="32"/>
          <w:highlight w:val="none"/>
          <w:shd w:val="clear" w:color="auto" w:fill="FFFFFF"/>
          <w:lang w:eastAsia="zh-CN"/>
        </w:rPr>
      </w:pPr>
      <w:r>
        <w:rPr>
          <w:rFonts w:hint="eastAsia" w:ascii="仿宋_GB2312" w:hAnsi="仿宋" w:eastAsia="仿宋_GB2312"/>
          <w:b w:val="0"/>
          <w:bCs w:val="0"/>
          <w:color w:val="auto"/>
          <w:sz w:val="32"/>
          <w:szCs w:val="32"/>
          <w:highlight w:val="none"/>
          <w:shd w:val="clear" w:color="auto" w:fill="FFFFFF"/>
          <w:lang w:eastAsia="zh-CN"/>
        </w:rPr>
        <w:t>使用中央资金及其他上级专项资金的项目，应按照相关资金文件要求实施项目审批。</w:t>
      </w:r>
    </w:p>
    <w:p>
      <w:pPr>
        <w:keepNext w:val="0"/>
        <w:keepLines w:val="0"/>
        <w:pageBreakBefore w:val="0"/>
        <w:widowControl/>
        <w:numPr>
          <w:ilvl w:val="-1"/>
          <w:numId w:val="0"/>
        </w:numPr>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pacing w:val="0"/>
          <w:w w:val="100"/>
          <w:sz w:val="32"/>
          <w:szCs w:val="32"/>
          <w:highlight w:val="none"/>
          <w:lang w:eastAsia="zh-CN"/>
        </w:rPr>
        <w:t>第三条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区发展改革部门</w:t>
      </w:r>
      <w:r>
        <w:rPr>
          <w:rFonts w:hint="eastAsia" w:ascii="仿宋_GB2312" w:hAnsi="仿宋_GB2312" w:eastAsia="仿宋_GB2312" w:cs="仿宋_GB2312"/>
          <w:b w:val="0"/>
          <w:bCs w:val="0"/>
          <w:color w:val="auto"/>
          <w:sz w:val="32"/>
          <w:szCs w:val="32"/>
          <w:highlight w:val="none"/>
          <w:lang w:val="en-US" w:eastAsia="zh-CN"/>
        </w:rPr>
        <w:t>为</w:t>
      </w:r>
      <w:r>
        <w:rPr>
          <w:rFonts w:hint="eastAsia" w:ascii="仿宋_GB2312" w:hAnsi="仿宋_GB2312" w:eastAsia="仿宋_GB2312" w:cs="仿宋_GB2312"/>
          <w:b w:val="0"/>
          <w:bCs w:val="0"/>
          <w:color w:val="auto"/>
          <w:sz w:val="32"/>
          <w:szCs w:val="32"/>
          <w:highlight w:val="none"/>
          <w:lang w:eastAsia="zh-CN"/>
        </w:rPr>
        <w:t>崖州区投资主管部门，负责投资项目计划的编制、项目审批（信息化项目除外）和协调监督等综合管理工作；</w:t>
      </w:r>
      <w:r>
        <w:rPr>
          <w:rFonts w:hint="eastAsia" w:ascii="仿宋_GB2312" w:hAnsi="仿宋_GB2312" w:eastAsia="仿宋_GB2312" w:cs="仿宋_GB2312"/>
          <w:b/>
          <w:bCs/>
          <w:color w:val="auto"/>
          <w:sz w:val="32"/>
          <w:szCs w:val="32"/>
          <w:highlight w:val="none"/>
          <w:lang w:val="en-US" w:eastAsia="zh-CN"/>
        </w:rPr>
        <w:t>区财政部门</w:t>
      </w:r>
      <w:r>
        <w:rPr>
          <w:rFonts w:hint="eastAsia" w:ascii="仿宋_GB2312" w:hAnsi="仿宋_GB2312" w:eastAsia="仿宋_GB2312" w:cs="仿宋_GB2312"/>
          <w:b w:val="0"/>
          <w:bCs w:val="0"/>
          <w:color w:val="auto"/>
          <w:sz w:val="32"/>
          <w:szCs w:val="32"/>
          <w:highlight w:val="none"/>
          <w:lang w:val="en-US" w:eastAsia="zh-CN"/>
        </w:rPr>
        <w:t>负责政府投资项目预算审核、预算安排、监督管理，负责实施概算预算合并审批项目的设计方案审查；</w:t>
      </w:r>
      <w:r>
        <w:rPr>
          <w:rFonts w:hint="eastAsia" w:ascii="仿宋_GB2312" w:hAnsi="仿宋_GB2312" w:eastAsia="仿宋_GB2312" w:cs="仿宋_GB2312"/>
          <w:b w:val="0"/>
          <w:bCs w:val="0"/>
          <w:color w:val="auto"/>
          <w:spacing w:val="0"/>
          <w:w w:val="100"/>
          <w:sz w:val="32"/>
          <w:szCs w:val="32"/>
          <w:highlight w:val="none"/>
          <w:lang w:val="en-US" w:eastAsia="zh-CN"/>
        </w:rPr>
        <w:t>信息化类项目由区信息化建设领导小组进行审查，相关项目管理办法另行制定；</w:t>
      </w:r>
      <w:r>
        <w:rPr>
          <w:rFonts w:hint="eastAsia" w:ascii="仿宋_GB2312" w:hAnsi="仿宋_GB2312" w:eastAsia="仿宋_GB2312" w:cs="仿宋_GB2312"/>
          <w:b/>
          <w:bCs/>
          <w:color w:val="auto"/>
          <w:sz w:val="32"/>
          <w:szCs w:val="32"/>
          <w:highlight w:val="none"/>
          <w:lang w:eastAsia="zh-CN"/>
        </w:rPr>
        <w:t>区审计部门</w:t>
      </w:r>
      <w:r>
        <w:rPr>
          <w:rFonts w:hint="eastAsia" w:ascii="仿宋_GB2312" w:hAnsi="仿宋_GB2312" w:eastAsia="仿宋_GB2312" w:cs="仿宋_GB2312"/>
          <w:b w:val="0"/>
          <w:bCs w:val="0"/>
          <w:color w:val="auto"/>
          <w:sz w:val="32"/>
          <w:szCs w:val="32"/>
          <w:highlight w:val="none"/>
          <w:lang w:eastAsia="zh-CN"/>
        </w:rPr>
        <w:t>依法独立履行政府投资项目预算执行、决算以及有关建设、运行情况审计监督职责；</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eastAsia="zh-CN"/>
        </w:rPr>
        <w:t>其他</w:t>
      </w:r>
      <w:r>
        <w:rPr>
          <w:rFonts w:hint="eastAsia" w:ascii="仿宋_GB2312" w:hAnsi="仿宋_GB2312" w:eastAsia="仿宋_GB2312" w:cs="仿宋_GB2312"/>
          <w:b/>
          <w:bCs/>
          <w:color w:val="auto"/>
          <w:sz w:val="32"/>
          <w:szCs w:val="32"/>
          <w:highlight w:val="none"/>
          <w:lang w:val="en-US" w:eastAsia="zh-CN"/>
        </w:rPr>
        <w:t>行业主管部</w:t>
      </w:r>
      <w:r>
        <w:rPr>
          <w:rFonts w:hint="eastAsia" w:ascii="仿宋_GB2312" w:hAnsi="仿宋_GB2312" w:eastAsia="仿宋_GB2312" w:cs="仿宋_GB2312"/>
          <w:b w:val="0"/>
          <w:bCs w:val="0"/>
          <w:color w:val="auto"/>
          <w:sz w:val="32"/>
          <w:szCs w:val="32"/>
          <w:highlight w:val="none"/>
          <w:lang w:val="en-US" w:eastAsia="zh-CN"/>
        </w:rPr>
        <w:t>门根据行业主管要求进行项目策划、储备，对投资项目提出意见和建议并落实行业监管责任；</w:t>
      </w:r>
      <w:r>
        <w:rPr>
          <w:rFonts w:hint="eastAsia" w:ascii="仿宋_GB2312" w:hAnsi="仿宋_GB2312" w:eastAsia="仿宋_GB2312" w:cs="仿宋_GB2312"/>
          <w:b/>
          <w:bCs/>
          <w:color w:val="auto"/>
          <w:sz w:val="32"/>
          <w:szCs w:val="32"/>
          <w:highlight w:val="none"/>
          <w:lang w:val="en-US" w:eastAsia="zh-CN"/>
        </w:rPr>
        <w:t>项目相关审批部门</w:t>
      </w:r>
      <w:r>
        <w:rPr>
          <w:rFonts w:hint="eastAsia" w:ascii="仿宋_GB2312" w:hAnsi="仿宋_GB2312" w:eastAsia="仿宋_GB2312" w:cs="仿宋_GB2312"/>
          <w:b w:val="0"/>
          <w:bCs w:val="0"/>
          <w:color w:val="auto"/>
          <w:sz w:val="32"/>
          <w:szCs w:val="32"/>
          <w:highlight w:val="none"/>
          <w:lang w:val="en-US" w:eastAsia="zh-CN"/>
        </w:rPr>
        <w:t>出具的项目审批文件要同步抄送</w:t>
      </w:r>
      <w:r>
        <w:rPr>
          <w:rFonts w:hint="eastAsia" w:ascii="仿宋_GB2312" w:hAnsi="仿宋_GB2312" w:eastAsia="仿宋_GB2312" w:cs="仿宋_GB2312"/>
          <w:b w:val="0"/>
          <w:bCs w:val="0"/>
          <w:color w:val="auto"/>
          <w:sz w:val="32"/>
          <w:szCs w:val="32"/>
          <w:highlight w:val="none"/>
          <w:lang w:eastAsia="zh-CN"/>
        </w:rPr>
        <w:t>区投资主管部门进行统筹沟通</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pacing w:val="0"/>
          <w:w w:val="100"/>
          <w:sz w:val="32"/>
          <w:szCs w:val="32"/>
          <w:highlight w:val="none"/>
          <w:lang w:eastAsia="zh-CN"/>
        </w:rPr>
        <w:t>第四条</w:t>
      </w:r>
      <w:r>
        <w:rPr>
          <w:rFonts w:hint="eastAsia" w:ascii="仿宋_GB2312" w:hAnsi="仿宋_GB2312" w:eastAsia="仿宋_GB2312" w:cs="仿宋_GB2312"/>
          <w:b w:val="0"/>
          <w:bCs w:val="0"/>
          <w:color w:val="auto"/>
          <w:spacing w:val="0"/>
          <w:w w:val="100"/>
          <w:sz w:val="32"/>
          <w:szCs w:val="32"/>
          <w:highlight w:val="none"/>
          <w:lang w:val="en-US" w:eastAsia="zh-CN"/>
        </w:rPr>
        <w:t xml:space="preserve"> 政府投资项目原则上由区各行业主管部门负责策划、监管和实施。经营性项目原则上以区属国有企业作为出资代表，</w:t>
      </w:r>
      <w:r>
        <w:rPr>
          <w:rFonts w:hint="eastAsia" w:ascii="仿宋_GB2312" w:hAnsi="仿宋_GB2312" w:eastAsia="仿宋_GB2312" w:cs="仿宋_GB2312"/>
          <w:b w:val="0"/>
          <w:bCs w:val="0"/>
          <w:color w:val="auto"/>
          <w:spacing w:val="0"/>
          <w:w w:val="100"/>
          <w:sz w:val="32"/>
          <w:szCs w:val="32"/>
          <w:highlight w:val="none"/>
          <w:lang w:eastAsia="zh-CN"/>
        </w:rPr>
        <w:t>以资本金注入为主的方式实施。对有合理回报和一定投资回收能力的政府经营性项目，应积极创造条件，利用多种方式吸引社会资本参与投资。</w:t>
      </w:r>
    </w:p>
    <w:p>
      <w:pPr>
        <w:rPr>
          <w:rFonts w:hint="eastAsia"/>
          <w:color w:val="auto"/>
          <w:lang w:eastAsia="zh-CN"/>
        </w:rPr>
      </w:pPr>
    </w:p>
    <w:p>
      <w:pPr>
        <w:pStyle w:val="3"/>
        <w:pageBreakBefore w:val="0"/>
        <w:kinsoku/>
        <w:wordWrap/>
        <w:overflowPunct/>
        <w:topLinePunct w:val="0"/>
        <w:autoSpaceDE/>
        <w:autoSpaceDN/>
        <w:bidi w:val="0"/>
        <w:adjustRightInd/>
        <w:snapToGrid/>
        <w:spacing w:line="558" w:lineRule="exact"/>
        <w:jc w:val="center"/>
        <w:textAlignment w:val="auto"/>
        <w:rPr>
          <w:rFonts w:hint="default"/>
          <w:b w:val="0"/>
          <w:bCs/>
          <w:color w:val="auto"/>
          <w:lang w:val="en-US" w:eastAsia="zh-CN"/>
        </w:rPr>
      </w:pPr>
      <w:bookmarkStart w:id="2" w:name="_Toc21471_WPSOffice_Level2"/>
      <w:r>
        <w:rPr>
          <w:rFonts w:hint="eastAsia"/>
          <w:b w:val="0"/>
          <w:bCs/>
          <w:color w:val="auto"/>
          <w:lang w:eastAsia="zh-CN"/>
        </w:rPr>
        <w:t>第二章</w:t>
      </w:r>
      <w:r>
        <w:rPr>
          <w:rFonts w:hint="eastAsia"/>
          <w:b w:val="0"/>
          <w:bCs/>
          <w:color w:val="auto"/>
          <w:lang w:val="en-US" w:eastAsia="zh-CN"/>
        </w:rPr>
        <w:t xml:space="preserve">  投资方向</w:t>
      </w:r>
      <w:bookmarkEnd w:id="2"/>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五条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政府投资资金应当投向市场不能有效配置资源的</w:t>
      </w:r>
      <w:r>
        <w:rPr>
          <w:rFonts w:hint="eastAsia" w:ascii="仿宋_GB2312" w:hAnsi="仿宋_GB2312" w:eastAsia="仿宋_GB2312" w:cs="仿宋_GB2312"/>
          <w:b w:val="0"/>
          <w:bCs w:val="0"/>
          <w:color w:val="auto"/>
          <w:spacing w:val="0"/>
          <w:w w:val="100"/>
          <w:sz w:val="32"/>
          <w:szCs w:val="32"/>
          <w:highlight w:val="none"/>
          <w:lang w:eastAsia="zh-CN"/>
        </w:rPr>
        <w:t>非经营性</w:t>
      </w:r>
      <w:r>
        <w:rPr>
          <w:rFonts w:hint="eastAsia" w:ascii="仿宋_GB2312" w:hAnsi="仿宋_GB2312" w:eastAsia="仿宋_GB2312" w:cs="仿宋_GB2312"/>
          <w:b w:val="0"/>
          <w:bCs w:val="0"/>
          <w:color w:val="auto"/>
          <w:spacing w:val="0"/>
          <w:w w:val="100"/>
          <w:sz w:val="32"/>
          <w:szCs w:val="32"/>
          <w:highlight w:val="none"/>
        </w:rPr>
        <w:t>公共领域项目，以</w:t>
      </w:r>
      <w:r>
        <w:rPr>
          <w:rFonts w:hint="eastAsia" w:ascii="仿宋_GB2312" w:hAnsi="仿宋_GB2312" w:eastAsia="仿宋_GB2312" w:cs="仿宋_GB2312"/>
          <w:b w:val="0"/>
          <w:bCs w:val="0"/>
          <w:color w:val="auto"/>
          <w:spacing w:val="0"/>
          <w:w w:val="100"/>
          <w:sz w:val="32"/>
          <w:szCs w:val="32"/>
          <w:highlight w:val="none"/>
          <w:lang w:eastAsia="zh-CN"/>
        </w:rPr>
        <w:t>直接投资</w:t>
      </w:r>
      <w:r>
        <w:rPr>
          <w:rFonts w:hint="eastAsia" w:ascii="仿宋_GB2312" w:hAnsi="仿宋_GB2312" w:eastAsia="仿宋_GB2312" w:cs="仿宋_GB2312"/>
          <w:b w:val="0"/>
          <w:bCs w:val="0"/>
          <w:color w:val="auto"/>
          <w:spacing w:val="0"/>
          <w:w w:val="100"/>
          <w:sz w:val="32"/>
          <w:szCs w:val="32"/>
          <w:highlight w:val="none"/>
        </w:rPr>
        <w:t>为主。主要投向以下领域及项目：</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 xml:space="preserve">（一）市政基础设施、农、林、牧、渔、水务、交通、能源等城乡基础设施项目;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 xml:space="preserve">（二）教育、卫生、科技、文化、体育、社会保障、生态建设、环境保护、资源节约等公益性建设项目;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（三）国家机关、公共服务及社会管理</w:t>
      </w:r>
      <w:r>
        <w:rPr>
          <w:rFonts w:hint="eastAsia" w:ascii="仿宋_GB2312" w:hAnsi="仿宋_GB2312" w:eastAsia="仿宋_GB2312" w:cs="仿宋_GB2312"/>
          <w:b w:val="0"/>
          <w:bCs w:val="0"/>
          <w:color w:val="auto"/>
          <w:spacing w:val="0"/>
          <w:w w:val="100"/>
          <w:sz w:val="32"/>
          <w:szCs w:val="32"/>
          <w:highlight w:val="none"/>
          <w:lang w:eastAsia="zh-CN"/>
        </w:rPr>
        <w:t>及关乎国家安全的基础设施项目</w:t>
      </w:r>
      <w:r>
        <w:rPr>
          <w:rFonts w:hint="eastAsia" w:ascii="仿宋_GB2312" w:hAnsi="仿宋_GB2312" w:eastAsia="仿宋_GB2312" w:cs="仿宋_GB2312"/>
          <w:b w:val="0"/>
          <w:bCs w:val="0"/>
          <w:color w:val="auto"/>
          <w:spacing w:val="0"/>
          <w:w w:val="1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（四）科技进步、高新技术、旅游业、现代物流业等重点扶持的重大产业结构调整优化项目；</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（五）政府确定需要的其他领域设施建设。</w:t>
      </w:r>
    </w:p>
    <w:p>
      <w:pPr>
        <w:pStyle w:val="3"/>
        <w:pageBreakBefore w:val="0"/>
        <w:numPr>
          <w:ilvl w:val="0"/>
          <w:numId w:val="0"/>
        </w:numPr>
        <w:kinsoku/>
        <w:wordWrap/>
        <w:overflowPunct/>
        <w:topLinePunct w:val="0"/>
        <w:autoSpaceDE/>
        <w:autoSpaceDN/>
        <w:bidi w:val="0"/>
        <w:adjustRightInd/>
        <w:snapToGrid/>
        <w:spacing w:line="558" w:lineRule="exact"/>
        <w:jc w:val="center"/>
        <w:textAlignment w:val="auto"/>
        <w:rPr>
          <w:rFonts w:hint="eastAsia"/>
          <w:color w:val="auto"/>
        </w:rPr>
      </w:pPr>
      <w:bookmarkStart w:id="3" w:name="_Toc31297_WPSOffice_Level2"/>
      <w:r>
        <w:rPr>
          <w:rFonts w:hint="eastAsia"/>
          <w:b w:val="0"/>
          <w:bCs/>
          <w:color w:val="auto"/>
          <w:lang w:eastAsia="zh-CN"/>
        </w:rPr>
        <w:t>第三章</w:t>
      </w:r>
      <w:r>
        <w:rPr>
          <w:rFonts w:hint="eastAsia"/>
          <w:b w:val="0"/>
          <w:bCs/>
          <w:color w:val="auto"/>
          <w:lang w:val="en-US" w:eastAsia="zh-CN"/>
        </w:rPr>
        <w:t xml:space="preserve">  </w:t>
      </w:r>
      <w:r>
        <w:rPr>
          <w:rFonts w:hint="eastAsia"/>
          <w:b w:val="0"/>
          <w:bCs/>
          <w:color w:val="auto"/>
        </w:rPr>
        <w:t>项目决策管理</w:t>
      </w:r>
      <w:bookmarkEnd w:id="3"/>
    </w:p>
    <w:p>
      <w:pPr>
        <w:pageBreakBefore w:val="0"/>
        <w:kinsoku/>
        <w:wordWrap/>
        <w:overflowPunct/>
        <w:topLinePunct w:val="0"/>
        <w:autoSpaceDE/>
        <w:autoSpaceDN/>
        <w:bidi w:val="0"/>
        <w:adjustRightInd/>
        <w:snapToGrid/>
        <w:spacing w:line="558" w:lineRule="exact"/>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第一节   项目储备</w:t>
      </w:r>
    </w:p>
    <w:p>
      <w:pPr>
        <w:pageBreakBefore w:val="0"/>
        <w:kinsoku/>
        <w:wordWrap/>
        <w:overflowPunct/>
        <w:topLinePunct w:val="0"/>
        <w:autoSpaceDE/>
        <w:autoSpaceDN/>
        <w:bidi w:val="0"/>
        <w:adjustRightInd/>
        <w:snapToGrid/>
        <w:spacing w:line="558" w:lineRule="exact"/>
        <w:jc w:val="center"/>
        <w:textAlignment w:val="auto"/>
        <w:rPr>
          <w:rFonts w:hint="eastAsia" w:ascii="楷体" w:hAnsi="楷体" w:eastAsia="楷体" w:cs="楷体"/>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eastAsia="zh-CN"/>
        </w:rPr>
      </w:pPr>
      <w:r>
        <w:rPr>
          <w:rFonts w:hint="eastAsia" w:ascii="黑体" w:hAnsi="黑体" w:eastAsia="黑体" w:cs="黑体"/>
          <w:b w:val="0"/>
          <w:bCs w:val="0"/>
          <w:color w:val="auto"/>
          <w:sz w:val="32"/>
          <w:szCs w:val="32"/>
          <w:highlight w:val="none"/>
          <w:lang w:eastAsia="zh-CN"/>
        </w:rPr>
        <w:t>第六条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政府投资项目应</w:t>
      </w:r>
      <w:r>
        <w:rPr>
          <w:rFonts w:hint="eastAsia" w:ascii="仿宋_GB2312" w:hAnsi="仿宋_GB2312" w:eastAsia="仿宋_GB2312" w:cs="仿宋_GB2312"/>
          <w:b w:val="0"/>
          <w:bCs w:val="0"/>
          <w:color w:val="auto"/>
          <w:spacing w:val="0"/>
          <w:w w:val="100"/>
          <w:sz w:val="32"/>
          <w:szCs w:val="32"/>
          <w:highlight w:val="none"/>
          <w:lang w:eastAsia="zh-CN"/>
        </w:rPr>
        <w:t>当充分</w:t>
      </w:r>
      <w:r>
        <w:rPr>
          <w:rFonts w:hint="eastAsia" w:ascii="仿宋_GB2312" w:hAnsi="仿宋_GB2312" w:eastAsia="仿宋_GB2312" w:cs="仿宋_GB2312"/>
          <w:b w:val="0"/>
          <w:bCs w:val="0"/>
          <w:color w:val="auto"/>
          <w:spacing w:val="0"/>
          <w:w w:val="100"/>
          <w:sz w:val="32"/>
          <w:szCs w:val="32"/>
          <w:highlight w:val="none"/>
        </w:rPr>
        <w:t>做好前期工作。</w:t>
      </w:r>
      <w:r>
        <w:rPr>
          <w:rFonts w:hint="eastAsia" w:ascii="仿宋_GB2312" w:hAnsi="仿宋_GB2312" w:eastAsia="仿宋_GB2312" w:cs="仿宋_GB2312"/>
          <w:b w:val="0"/>
          <w:bCs w:val="0"/>
          <w:color w:val="auto"/>
          <w:spacing w:val="0"/>
          <w:w w:val="100"/>
          <w:sz w:val="32"/>
          <w:szCs w:val="32"/>
          <w:highlight w:val="none"/>
          <w:lang w:val="en-US" w:eastAsia="zh-CN"/>
        </w:rPr>
        <w:t>项目业主在项目策划阶段，须充分了解项目选址的土地利用现状、规划用途、土地权属、征地拆迁及是否存在与其它项目用地冲突，应充分与市、区行业主管等相关部门开展研究论证。</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eastAsia="zh-CN"/>
        </w:rPr>
        <w:t>区各项目单位</w:t>
      </w:r>
      <w:r>
        <w:rPr>
          <w:rFonts w:hint="eastAsia" w:ascii="仿宋_GB2312" w:hAnsi="仿宋_GB2312" w:eastAsia="仿宋_GB2312" w:cs="仿宋_GB2312"/>
          <w:b w:val="0"/>
          <w:bCs w:val="0"/>
          <w:color w:val="auto"/>
          <w:spacing w:val="0"/>
          <w:w w:val="100"/>
          <w:sz w:val="32"/>
          <w:szCs w:val="32"/>
          <w:highlight w:val="none"/>
        </w:rPr>
        <w:t>根据国家宏观调控总体要求及</w:t>
      </w:r>
      <w:r>
        <w:rPr>
          <w:rFonts w:hint="eastAsia" w:ascii="仿宋_GB2312" w:hAnsi="仿宋_GB2312" w:eastAsia="仿宋_GB2312" w:cs="仿宋_GB2312"/>
          <w:b w:val="0"/>
          <w:bCs w:val="0"/>
          <w:color w:val="auto"/>
          <w:spacing w:val="0"/>
          <w:w w:val="100"/>
          <w:sz w:val="32"/>
          <w:szCs w:val="32"/>
          <w:highlight w:val="none"/>
          <w:lang w:eastAsia="zh-CN"/>
        </w:rPr>
        <w:t>省、市</w:t>
      </w:r>
      <w:r>
        <w:rPr>
          <w:rFonts w:hint="eastAsia" w:ascii="仿宋_GB2312" w:hAnsi="仿宋_GB2312" w:eastAsia="仿宋_GB2312" w:cs="仿宋_GB2312"/>
          <w:b w:val="0"/>
          <w:bCs w:val="0"/>
          <w:color w:val="auto"/>
          <w:spacing w:val="0"/>
          <w:w w:val="100"/>
          <w:sz w:val="32"/>
          <w:szCs w:val="32"/>
          <w:highlight w:val="none"/>
        </w:rPr>
        <w:t>总体规划、国民经济和社会发展中长期规划、区域规划</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b w:val="0"/>
          <w:bCs w:val="0"/>
          <w:color w:val="auto"/>
          <w:spacing w:val="0"/>
          <w:w w:val="100"/>
          <w:sz w:val="32"/>
          <w:szCs w:val="32"/>
          <w:highlight w:val="none"/>
        </w:rPr>
        <w:t>专项规划</w:t>
      </w:r>
      <w:r>
        <w:rPr>
          <w:rFonts w:hint="eastAsia" w:ascii="仿宋_GB2312" w:hAnsi="仿宋_GB2312" w:eastAsia="仿宋_GB2312" w:cs="仿宋_GB2312"/>
          <w:b w:val="0"/>
          <w:bCs w:val="0"/>
          <w:color w:val="auto"/>
          <w:spacing w:val="0"/>
          <w:w w:val="100"/>
          <w:sz w:val="32"/>
          <w:szCs w:val="32"/>
          <w:highlight w:val="none"/>
          <w:lang w:eastAsia="zh-CN"/>
        </w:rPr>
        <w:t>和职能范围内所需建设的项目情况，开展前期工作。符合以下条件之一可纳入项目</w:t>
      </w:r>
      <w:r>
        <w:rPr>
          <w:rFonts w:hint="eastAsia" w:ascii="仿宋_GB2312" w:hAnsi="仿宋_GB2312" w:eastAsia="仿宋_GB2312" w:cs="仿宋_GB2312"/>
          <w:b w:val="0"/>
          <w:bCs w:val="0"/>
          <w:color w:val="auto"/>
          <w:spacing w:val="0"/>
          <w:w w:val="100"/>
          <w:sz w:val="32"/>
          <w:szCs w:val="32"/>
          <w:highlight w:val="none"/>
          <w:lang w:val="en-US" w:eastAsia="zh-CN"/>
        </w:rPr>
        <w:t>储备库：</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经区政府专题会审定同意的项目,专题会应召集发改、财政、资规、林业、环保等要素部门对项目以下重点内容作出决策并予以明确：1.建设的必要性；2.资金来源；3.可行性初步审查，包括用地、用海、用林、多规、环评、占用基本农田、生态红线等可行性初步审查。</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（二）已明确资金来源，落实土地等要素，或经区委、区政府批示同意实施的项目。</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（三）上级文件明确要求实施的项目等。</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第七条</w:t>
      </w:r>
      <w:r>
        <w:rPr>
          <w:rFonts w:hint="eastAsia" w:ascii="仿宋_GB2312" w:hAnsi="仿宋_GB2312" w:eastAsia="仿宋_GB2312" w:cs="仿宋_GB2312"/>
          <w:b w:val="0"/>
          <w:bCs w:val="0"/>
          <w:color w:val="auto"/>
          <w:sz w:val="32"/>
          <w:szCs w:val="32"/>
          <w:highlight w:val="none"/>
          <w:lang w:val="en-US" w:eastAsia="zh-CN"/>
        </w:rPr>
        <w:t xml:space="preserve"> 项目单位向区投资主管部门申报项目储备，应向区投资主管部门提交以下所需材料。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val="en-US" w:eastAsia="zh-CN"/>
        </w:rPr>
        <w:t>支撑性文件、资金或土地等要素落实文件。</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项目基本情况，包括项目策划的依据，建设的必要性，项目建设规模及内容，项目所要解决的问题，项目匡算表、项目用地权属图、规划图、现状图等信息。</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en-US" w:eastAsia="zh-CN"/>
        </w:rPr>
        <w:t>项目可行性初步审查意见。</w:t>
      </w:r>
    </w:p>
    <w:p>
      <w:pPr>
        <w:pageBreakBefore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b w:val="0"/>
          <w:bCs w:val="0"/>
          <w:color w:val="auto"/>
          <w:spacing w:val="0"/>
          <w:w w:val="100"/>
          <w:sz w:val="32"/>
          <w:szCs w:val="32"/>
          <w:highlight w:val="none"/>
          <w:lang w:eastAsia="zh-CN"/>
        </w:rPr>
      </w:pPr>
      <w:r>
        <w:rPr>
          <w:rFonts w:hint="eastAsia" w:ascii="楷体" w:hAnsi="楷体" w:eastAsia="楷体" w:cs="楷体"/>
          <w:b/>
          <w:bCs/>
          <w:color w:val="auto"/>
          <w:sz w:val="32"/>
          <w:szCs w:val="32"/>
          <w:lang w:val="en-US" w:eastAsia="zh-CN"/>
        </w:rPr>
        <w:t>第二节   项目审批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八条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政府投资项目需审批项目建议书、可行性研究报告、初步设计及概算。按照管理权限和有关规定，由</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报</w:t>
      </w:r>
      <w:r>
        <w:rPr>
          <w:rFonts w:hint="eastAsia" w:ascii="仿宋_GB2312" w:hAnsi="仿宋_GB2312" w:eastAsia="仿宋_GB2312" w:cs="仿宋_GB2312"/>
          <w:b w:val="0"/>
          <w:bCs w:val="0"/>
          <w:color w:val="auto"/>
          <w:spacing w:val="0"/>
          <w:w w:val="100"/>
          <w:sz w:val="32"/>
          <w:szCs w:val="32"/>
          <w:highlight w:val="none"/>
          <w:lang w:eastAsia="zh-CN"/>
        </w:rPr>
        <w:t>区投资</w:t>
      </w:r>
      <w:r>
        <w:rPr>
          <w:rFonts w:hint="eastAsia" w:ascii="仿宋_GB2312" w:hAnsi="仿宋_GB2312" w:eastAsia="仿宋_GB2312" w:cs="仿宋_GB2312"/>
          <w:b w:val="0"/>
          <w:bCs w:val="0"/>
          <w:color w:val="auto"/>
          <w:spacing w:val="0"/>
          <w:w w:val="100"/>
          <w:sz w:val="32"/>
          <w:szCs w:val="32"/>
          <w:highlight w:val="none"/>
        </w:rPr>
        <w:t>主管部门或其他有</w:t>
      </w:r>
      <w:r>
        <w:rPr>
          <w:rFonts w:hint="eastAsia" w:ascii="仿宋_GB2312" w:hAnsi="仿宋_GB2312" w:eastAsia="仿宋_GB2312" w:cs="仿宋_GB2312"/>
          <w:b w:val="0"/>
          <w:bCs w:val="0"/>
          <w:color w:val="auto"/>
          <w:spacing w:val="0"/>
          <w:w w:val="100"/>
          <w:sz w:val="32"/>
          <w:szCs w:val="32"/>
          <w:highlight w:val="none"/>
          <w:lang w:val="en-US" w:eastAsia="zh-CN"/>
        </w:rPr>
        <w:t>审批</w:t>
      </w:r>
      <w:r>
        <w:rPr>
          <w:rFonts w:hint="eastAsia" w:ascii="仿宋_GB2312" w:hAnsi="仿宋_GB2312" w:eastAsia="仿宋_GB2312" w:cs="仿宋_GB2312"/>
          <w:b w:val="0"/>
          <w:bCs w:val="0"/>
          <w:color w:val="auto"/>
          <w:spacing w:val="0"/>
          <w:w w:val="100"/>
          <w:sz w:val="32"/>
          <w:szCs w:val="32"/>
          <w:highlight w:val="none"/>
        </w:rPr>
        <w:t>权限的部门审批。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bCs/>
          <w:color w:val="auto"/>
          <w:spacing w:val="-20"/>
          <w:w w:val="100"/>
          <w:sz w:val="24"/>
          <w:szCs w:val="24"/>
          <w:highlight w:val="none"/>
          <w:vertAlign w:val="baseli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九条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_GB2312" w:eastAsia="仿宋_GB2312" w:cs="仿宋_GB2312"/>
          <w:b w:val="0"/>
          <w:bCs w:val="0"/>
          <w:color w:val="auto"/>
          <w:spacing w:val="0"/>
          <w:w w:val="100"/>
          <w:sz w:val="32"/>
          <w:szCs w:val="32"/>
          <w:highlight w:val="none"/>
        </w:rPr>
        <w:t>有下列情形之一的，简化审批程序：</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eastAsia="zh-CN"/>
        </w:rPr>
        <w:t>（一）列入区级及以上投资年度资金安排计划或年度固定资产投资计划的项目，列入区级及以上</w:t>
      </w:r>
      <w:r>
        <w:rPr>
          <w:rFonts w:hint="eastAsia" w:ascii="仿宋_GB2312" w:hAnsi="仿宋_GB2312" w:eastAsia="仿宋_GB2312" w:cs="仿宋_GB2312"/>
          <w:b w:val="0"/>
          <w:bCs w:val="0"/>
          <w:color w:val="auto"/>
          <w:spacing w:val="0"/>
          <w:w w:val="100"/>
          <w:sz w:val="32"/>
          <w:szCs w:val="32"/>
          <w:highlight w:val="none"/>
        </w:rPr>
        <w:t>国民经济和社会发展中长期规划</w:t>
      </w:r>
      <w:r>
        <w:rPr>
          <w:rFonts w:hint="eastAsia" w:ascii="仿宋_GB2312" w:hAnsi="仿宋_GB2312" w:eastAsia="仿宋_GB2312" w:cs="仿宋_GB2312"/>
          <w:b w:val="0"/>
          <w:bCs w:val="0"/>
          <w:color w:val="auto"/>
          <w:spacing w:val="0"/>
          <w:w w:val="100"/>
          <w:sz w:val="32"/>
          <w:szCs w:val="32"/>
          <w:highlight w:val="none"/>
          <w:lang w:eastAsia="zh-CN"/>
        </w:rPr>
        <w:t>等相关规划计划的项目</w:t>
      </w:r>
      <w:r>
        <w:rPr>
          <w:rFonts w:hint="eastAsia" w:ascii="仿宋_GB2312" w:hAnsi="仿宋_GB2312" w:eastAsia="仿宋_GB2312" w:cs="仿宋_GB2312"/>
          <w:b w:val="0"/>
          <w:bCs w:val="0"/>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lang w:eastAsia="zh-CN"/>
        </w:rPr>
        <w:t>可</w:t>
      </w:r>
      <w:r>
        <w:rPr>
          <w:rFonts w:hint="eastAsia" w:ascii="仿宋_GB2312" w:hAnsi="仿宋_GB2312" w:eastAsia="仿宋_GB2312" w:cs="仿宋_GB2312"/>
          <w:b w:val="0"/>
          <w:bCs w:val="0"/>
          <w:color w:val="auto"/>
          <w:spacing w:val="0"/>
          <w:w w:val="100"/>
          <w:sz w:val="32"/>
          <w:szCs w:val="32"/>
          <w:highlight w:val="none"/>
        </w:rPr>
        <w:t>不</w:t>
      </w:r>
      <w:r>
        <w:rPr>
          <w:rFonts w:hint="eastAsia" w:ascii="仿宋_GB2312" w:hAnsi="仿宋_GB2312" w:eastAsia="仿宋_GB2312" w:cs="仿宋_GB2312"/>
          <w:b w:val="0"/>
          <w:bCs w:val="0"/>
          <w:color w:val="auto"/>
          <w:spacing w:val="0"/>
          <w:w w:val="100"/>
          <w:sz w:val="32"/>
          <w:szCs w:val="32"/>
          <w:highlight w:val="none"/>
          <w:lang w:eastAsia="zh-CN"/>
        </w:rPr>
        <w:t>再</w:t>
      </w:r>
      <w:r>
        <w:rPr>
          <w:rFonts w:hint="eastAsia" w:ascii="仿宋_GB2312" w:hAnsi="仿宋_GB2312" w:eastAsia="仿宋_GB2312" w:cs="仿宋_GB2312"/>
          <w:b w:val="0"/>
          <w:bCs w:val="0"/>
          <w:color w:val="auto"/>
          <w:spacing w:val="0"/>
          <w:w w:val="100"/>
          <w:sz w:val="32"/>
          <w:szCs w:val="32"/>
          <w:highlight w:val="none"/>
        </w:rPr>
        <w:t>审批项目建议书，以规划</w:t>
      </w:r>
      <w:r>
        <w:rPr>
          <w:rFonts w:hint="eastAsia" w:ascii="仿宋_GB2312" w:hAnsi="仿宋_GB2312" w:eastAsia="仿宋_GB2312" w:cs="仿宋_GB2312"/>
          <w:b w:val="0"/>
          <w:bCs w:val="0"/>
          <w:color w:val="auto"/>
          <w:spacing w:val="0"/>
          <w:w w:val="100"/>
          <w:sz w:val="32"/>
          <w:szCs w:val="32"/>
          <w:highlight w:val="none"/>
          <w:lang w:eastAsia="zh-CN"/>
        </w:rPr>
        <w:t>、计划实施</w:t>
      </w:r>
      <w:r>
        <w:rPr>
          <w:rFonts w:hint="eastAsia" w:ascii="仿宋_GB2312" w:hAnsi="仿宋_GB2312" w:eastAsia="仿宋_GB2312" w:cs="仿宋_GB2312"/>
          <w:b w:val="0"/>
          <w:bCs w:val="0"/>
          <w:color w:val="auto"/>
          <w:spacing w:val="0"/>
          <w:w w:val="100"/>
          <w:sz w:val="32"/>
          <w:szCs w:val="32"/>
          <w:highlight w:val="none"/>
        </w:rPr>
        <w:t>代</w:t>
      </w:r>
      <w:r>
        <w:rPr>
          <w:rFonts w:hint="eastAsia" w:ascii="仿宋_GB2312" w:hAnsi="仿宋_GB2312" w:eastAsia="仿宋_GB2312" w:cs="仿宋_GB2312"/>
          <w:b w:val="0"/>
          <w:bCs w:val="0"/>
          <w:color w:val="auto"/>
          <w:spacing w:val="0"/>
          <w:w w:val="100"/>
          <w:sz w:val="32"/>
          <w:szCs w:val="32"/>
          <w:highlight w:val="none"/>
          <w:lang w:eastAsia="zh-CN"/>
        </w:rPr>
        <w:t>替</w:t>
      </w:r>
      <w:r>
        <w:rPr>
          <w:rFonts w:hint="eastAsia" w:ascii="仿宋_GB2312" w:hAnsi="仿宋_GB2312" w:eastAsia="仿宋_GB2312" w:cs="仿宋_GB2312"/>
          <w:b w:val="0"/>
          <w:bCs w:val="0"/>
          <w:color w:val="auto"/>
          <w:spacing w:val="0"/>
          <w:w w:val="100"/>
          <w:sz w:val="32"/>
          <w:szCs w:val="32"/>
          <w:highlight w:val="none"/>
        </w:rPr>
        <w:t>项目建议书的审批</w:t>
      </w:r>
      <w:r>
        <w:rPr>
          <w:rFonts w:hint="eastAsia" w:ascii="仿宋_GB2312" w:hAnsi="仿宋_GB2312" w:eastAsia="仿宋_GB2312" w:cs="仿宋_GB2312"/>
          <w:b w:val="0"/>
          <w:bCs w:val="0"/>
          <w:color w:val="auto"/>
          <w:spacing w:val="0"/>
          <w:w w:val="100"/>
          <w:sz w:val="32"/>
          <w:szCs w:val="32"/>
          <w:highlight w:val="none"/>
          <w:lang w:eastAsia="zh-CN"/>
        </w:rPr>
        <w:t>。其中，总投资</w:t>
      </w:r>
      <w:r>
        <w:rPr>
          <w:rFonts w:hint="eastAsia" w:ascii="仿宋_GB2312" w:hAnsi="仿宋_GB2312" w:eastAsia="仿宋_GB2312" w:cs="仿宋_GB2312"/>
          <w:b w:val="0"/>
          <w:bCs w:val="0"/>
          <w:color w:val="auto"/>
          <w:spacing w:val="0"/>
          <w:w w:val="100"/>
          <w:sz w:val="32"/>
          <w:szCs w:val="32"/>
          <w:highlight w:val="none"/>
          <w:lang w:val="en-US" w:eastAsia="zh-CN"/>
        </w:rPr>
        <w:t>3000万以下的项目，建设内容单一、技术方案简单，或已颁布建设标准和设计规范的，可实施项目建议书、可行性研究报告、初步设计概算“三合一”审批，仅审批项目初步设计及概算。符合初步设计及概算、预算合并审批的，可由区财政部门进行初步设计及概算、预算合并审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eastAsia="zh-CN"/>
        </w:rPr>
      </w:pPr>
      <w:r>
        <w:rPr>
          <w:rFonts w:hint="eastAsia" w:ascii="楷体_GB2312" w:hAnsi="楷体_GB2312" w:eastAsia="楷体_GB2312" w:cs="楷体_GB2312"/>
          <w:b w:val="0"/>
          <w:bCs w:val="0"/>
          <w:color w:val="auto"/>
          <w:spacing w:val="0"/>
          <w:w w:val="100"/>
          <w:sz w:val="32"/>
          <w:szCs w:val="32"/>
          <w:highlight w:val="none"/>
          <w:lang w:eastAsia="zh-CN"/>
        </w:rPr>
        <w:t>（二）</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eastAsia="仿宋_GB2312"/>
          <w:b w:val="0"/>
          <w:bCs w:val="0"/>
          <w:color w:val="auto"/>
          <w:sz w:val="32"/>
          <w:szCs w:val="32"/>
          <w:highlight w:val="none"/>
        </w:rPr>
        <w:t>总投资小于50万元（</w:t>
      </w:r>
      <w:r>
        <w:rPr>
          <w:rFonts w:hint="eastAsia" w:ascii="仿宋_GB2312" w:eastAsia="仿宋_GB2312"/>
          <w:b w:val="0"/>
          <w:bCs w:val="0"/>
          <w:color w:val="auto"/>
          <w:sz w:val="32"/>
          <w:szCs w:val="32"/>
          <w:highlight w:val="none"/>
          <w:lang w:eastAsia="zh-CN"/>
        </w:rPr>
        <w:t>不含</w:t>
      </w:r>
      <w:r>
        <w:rPr>
          <w:rFonts w:hint="eastAsia" w:ascii="仿宋_GB2312" w:eastAsia="仿宋_GB2312"/>
          <w:b w:val="0"/>
          <w:bCs w:val="0"/>
          <w:color w:val="auto"/>
          <w:sz w:val="32"/>
          <w:szCs w:val="32"/>
          <w:highlight w:val="none"/>
          <w:lang w:val="en-US" w:eastAsia="zh-CN"/>
        </w:rPr>
        <w:t>50万元</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的项目</w:t>
      </w:r>
      <w:r>
        <w:rPr>
          <w:rFonts w:hint="eastAsia" w:ascii="仿宋_GB2312" w:eastAsia="仿宋_GB2312"/>
          <w:b w:val="0"/>
          <w:bCs w:val="0"/>
          <w:color w:val="auto"/>
          <w:sz w:val="32"/>
          <w:szCs w:val="32"/>
          <w:highlight w:val="none"/>
          <w:lang w:eastAsia="zh-CN"/>
        </w:rPr>
        <w:t>无需</w:t>
      </w:r>
      <w:r>
        <w:rPr>
          <w:rFonts w:hint="eastAsia" w:ascii="仿宋_GB2312" w:eastAsia="仿宋_GB2312"/>
          <w:b w:val="0"/>
          <w:bCs w:val="0"/>
          <w:color w:val="auto"/>
          <w:sz w:val="32"/>
          <w:szCs w:val="32"/>
          <w:highlight w:val="none"/>
          <w:lang w:val="en-US" w:eastAsia="zh-CN"/>
        </w:rPr>
        <w:t>立项；</w:t>
      </w:r>
      <w:r>
        <w:rPr>
          <w:rFonts w:hint="eastAsia" w:ascii="仿宋_GB2312" w:hAnsi="仿宋_GB2312" w:eastAsia="仿宋_GB2312" w:cs="仿宋_GB2312"/>
          <w:b w:val="0"/>
          <w:bCs w:val="0"/>
          <w:color w:val="auto"/>
          <w:spacing w:val="0"/>
          <w:w w:val="100"/>
          <w:sz w:val="32"/>
          <w:szCs w:val="32"/>
          <w:highlight w:val="none"/>
          <w:lang w:eastAsia="zh-CN"/>
        </w:rPr>
        <w:t>以设备采购为主要内容的项目，按照设备采购程序进行采购；</w:t>
      </w:r>
      <w:r>
        <w:rPr>
          <w:rFonts w:hint="eastAsia" w:ascii="仿宋_GB2312" w:eastAsia="仿宋_GB2312" w:hAnsiTheme="minorHAnsi" w:cstheme="minorBidi"/>
          <w:b w:val="0"/>
          <w:bCs w:val="0"/>
          <w:color w:val="auto"/>
          <w:sz w:val="32"/>
          <w:szCs w:val="32"/>
          <w:highlight w:val="none"/>
          <w:lang w:val="en-US" w:eastAsia="zh-CN" w:bidi="ar-SA"/>
        </w:rPr>
        <w:t>垃圾清运、淤泥清理、拆除</w:t>
      </w:r>
      <w:r>
        <w:rPr>
          <w:rFonts w:hint="eastAsia" w:ascii="仿宋_GB2312" w:eastAsia="仿宋_GB2312" w:cstheme="minorBidi"/>
          <w:b w:val="0"/>
          <w:bCs w:val="0"/>
          <w:color w:val="auto"/>
          <w:sz w:val="32"/>
          <w:szCs w:val="32"/>
          <w:highlight w:val="none"/>
          <w:lang w:val="en-US" w:eastAsia="zh-CN" w:bidi="ar-SA"/>
        </w:rPr>
        <w:t>工程</w:t>
      </w:r>
      <w:r>
        <w:rPr>
          <w:rFonts w:hint="eastAsia" w:ascii="仿宋_GB2312" w:eastAsia="仿宋_GB2312" w:hAnsiTheme="minorHAnsi" w:cstheme="minorBidi"/>
          <w:b w:val="0"/>
          <w:bCs w:val="0"/>
          <w:color w:val="auto"/>
          <w:sz w:val="32"/>
          <w:szCs w:val="32"/>
          <w:highlight w:val="none"/>
          <w:lang w:val="en-US" w:eastAsia="zh-CN" w:bidi="ar-SA"/>
        </w:rPr>
        <w:t>、广告绘制、铁皮围挡、电线整理、盆栽绿化美化等不属于政府</w:t>
      </w:r>
      <w:r>
        <w:rPr>
          <w:rFonts w:hint="eastAsia" w:ascii="仿宋_GB2312" w:eastAsia="仿宋_GB2312" w:cstheme="minorBidi"/>
          <w:b w:val="0"/>
          <w:bCs w:val="0"/>
          <w:color w:val="auto"/>
          <w:sz w:val="32"/>
          <w:szCs w:val="32"/>
          <w:highlight w:val="none"/>
          <w:lang w:val="en-US" w:eastAsia="zh-CN" w:bidi="ar-SA"/>
        </w:rPr>
        <w:t>固定资产投资的项目</w:t>
      </w:r>
      <w:r>
        <w:rPr>
          <w:rFonts w:hint="eastAsia" w:ascii="仿宋_GB2312" w:eastAsia="仿宋_GB2312" w:hAnsiTheme="minorHAnsi" w:cstheme="minorBidi"/>
          <w:b w:val="0"/>
          <w:bCs w:val="0"/>
          <w:color w:val="auto"/>
          <w:sz w:val="32"/>
          <w:szCs w:val="32"/>
          <w:highlight w:val="none"/>
          <w:lang w:val="en-US" w:eastAsia="zh-CN" w:bidi="ar-SA"/>
        </w:rPr>
        <w:t>，无需办理立项手续。</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eastAsia="zh-CN"/>
        </w:rPr>
        <w:t>（三</w:t>
      </w:r>
      <w:r>
        <w:rPr>
          <w:rFonts w:hint="eastAsia" w:ascii="仿宋_GB2312" w:eastAsia="仿宋_GB2312"/>
          <w:b w:val="0"/>
          <w:bCs w:val="0"/>
          <w:color w:val="auto"/>
          <w:sz w:val="32"/>
          <w:szCs w:val="32"/>
          <w:highlight w:val="none"/>
          <w:lang w:val="en-US" w:eastAsia="zh-CN"/>
        </w:rPr>
        <w:t>）总投资在50万元</w:t>
      </w:r>
      <w:r>
        <w:rPr>
          <w:rFonts w:hint="eastAsia" w:ascii="仿宋_GB2312" w:eastAsia="仿宋_GB2312"/>
          <w:b w:val="0"/>
          <w:bCs w:val="0"/>
          <w:color w:val="auto"/>
          <w:sz w:val="32"/>
          <w:szCs w:val="32"/>
          <w:highlight w:val="none"/>
        </w:rPr>
        <w:t>（含）～</w:t>
      </w:r>
      <w:r>
        <w:rPr>
          <w:rFonts w:hint="eastAsia" w:ascii="仿宋_GB2312" w:eastAsia="仿宋_GB2312"/>
          <w:b w:val="0"/>
          <w:bCs w:val="0"/>
          <w:color w:val="auto"/>
          <w:sz w:val="32"/>
          <w:szCs w:val="32"/>
          <w:highlight w:val="none"/>
          <w:lang w:val="en-US" w:eastAsia="zh-CN"/>
        </w:rPr>
        <w:t>500万元（不含</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的项目，符合</w:t>
      </w:r>
      <w:r>
        <w:rPr>
          <w:rFonts w:hint="eastAsia" w:ascii="仿宋_GB2312" w:eastAsia="仿宋_GB2312" w:hAnsiTheme="minorHAnsi" w:cstheme="minorBidi"/>
          <w:b w:val="0"/>
          <w:bCs w:val="0"/>
          <w:color w:val="auto"/>
          <w:spacing w:val="0"/>
          <w:w w:val="100"/>
          <w:sz w:val="32"/>
          <w:szCs w:val="32"/>
          <w:highlight w:val="none"/>
          <w:lang w:val="en-US" w:eastAsia="zh-CN"/>
        </w:rPr>
        <w:t>本条一、二款情形</w:t>
      </w:r>
      <w:r>
        <w:rPr>
          <w:rFonts w:hint="eastAsia" w:ascii="仿宋_GB2312" w:eastAsia="仿宋_GB2312" w:cstheme="minorBidi"/>
          <w:b w:val="0"/>
          <w:bCs w:val="0"/>
          <w:color w:val="auto"/>
          <w:spacing w:val="0"/>
          <w:w w:val="100"/>
          <w:sz w:val="32"/>
          <w:szCs w:val="32"/>
          <w:highlight w:val="none"/>
          <w:lang w:val="en-US" w:eastAsia="zh-CN"/>
        </w:rPr>
        <w:t>的</w:t>
      </w:r>
      <w:r>
        <w:rPr>
          <w:rFonts w:hint="eastAsia" w:ascii="仿宋_GB2312" w:eastAsia="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lang w:eastAsia="zh-CN"/>
        </w:rPr>
        <w:t>可</w:t>
      </w:r>
      <w:r>
        <w:rPr>
          <w:rFonts w:hint="eastAsia" w:ascii="仿宋_GB2312" w:eastAsia="仿宋_GB2312"/>
          <w:b w:val="0"/>
          <w:bCs w:val="0"/>
          <w:color w:val="auto"/>
          <w:sz w:val="32"/>
          <w:szCs w:val="32"/>
          <w:highlight w:val="none"/>
        </w:rPr>
        <w:t>直接进入施工图设计，</w:t>
      </w:r>
      <w:r>
        <w:rPr>
          <w:rFonts w:hint="eastAsia" w:ascii="仿宋_GB2312" w:eastAsia="仿宋_GB2312"/>
          <w:b w:val="0"/>
          <w:bCs w:val="0"/>
          <w:color w:val="auto"/>
          <w:sz w:val="32"/>
          <w:szCs w:val="32"/>
          <w:highlight w:val="none"/>
          <w:lang w:eastAsia="zh-CN"/>
        </w:rPr>
        <w:t>并按规定和程序组织预算审查</w:t>
      </w:r>
      <w:r>
        <w:rPr>
          <w:rFonts w:hint="eastAsia" w:ascii="仿宋_GB2312" w:eastAsia="仿宋_GB2312"/>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（四）</w:t>
      </w:r>
      <w:r>
        <w:rPr>
          <w:rFonts w:hint="eastAsia" w:ascii="仿宋_GB2312" w:eastAsia="仿宋_GB2312"/>
          <w:b w:val="0"/>
          <w:bCs w:val="0"/>
          <w:color w:val="auto"/>
          <w:sz w:val="32"/>
          <w:szCs w:val="32"/>
          <w:highlight w:val="none"/>
        </w:rPr>
        <w:t>总投资</w:t>
      </w:r>
      <w:r>
        <w:rPr>
          <w:rFonts w:hint="eastAsia" w:ascii="仿宋_GB2312" w:eastAsia="仿宋_GB2312"/>
          <w:b w:val="0"/>
          <w:bCs w:val="0"/>
          <w:color w:val="auto"/>
          <w:sz w:val="32"/>
          <w:szCs w:val="32"/>
          <w:highlight w:val="none"/>
          <w:lang w:eastAsia="zh-CN"/>
        </w:rPr>
        <w:t>在</w:t>
      </w:r>
      <w:r>
        <w:rPr>
          <w:rFonts w:hint="eastAsia" w:ascii="仿宋_GB2312" w:eastAsia="仿宋_GB2312"/>
          <w:b w:val="0"/>
          <w:bCs w:val="0"/>
          <w:color w:val="auto"/>
          <w:sz w:val="32"/>
          <w:szCs w:val="32"/>
          <w:highlight w:val="none"/>
          <w:lang w:val="en-US" w:eastAsia="zh-CN"/>
        </w:rPr>
        <w:t>500万元</w:t>
      </w:r>
      <w:r>
        <w:rPr>
          <w:rFonts w:hint="eastAsia" w:ascii="仿宋_GB2312" w:eastAsia="仿宋_GB2312"/>
          <w:b w:val="0"/>
          <w:bCs w:val="0"/>
          <w:color w:val="auto"/>
          <w:sz w:val="32"/>
          <w:szCs w:val="32"/>
          <w:highlight w:val="none"/>
        </w:rPr>
        <w:t>（含）～</w:t>
      </w: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000万元（</w:t>
      </w:r>
      <w:r>
        <w:rPr>
          <w:rFonts w:hint="eastAsia" w:ascii="仿宋_GB2312" w:eastAsia="仿宋_GB2312"/>
          <w:b w:val="0"/>
          <w:bCs w:val="0"/>
          <w:color w:val="auto"/>
          <w:sz w:val="32"/>
          <w:szCs w:val="32"/>
          <w:highlight w:val="none"/>
          <w:lang w:eastAsia="zh-CN"/>
        </w:rPr>
        <w:t>不含</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区间，技术方案简单</w:t>
      </w:r>
      <w:r>
        <w:rPr>
          <w:rFonts w:hint="eastAsia" w:ascii="仿宋_GB2312" w:eastAsia="仿宋_GB2312"/>
          <w:b w:val="0"/>
          <w:bCs w:val="0"/>
          <w:color w:val="auto"/>
          <w:sz w:val="32"/>
          <w:szCs w:val="32"/>
          <w:highlight w:val="none"/>
        </w:rPr>
        <w:t>的建设项目</w:t>
      </w:r>
      <w:r>
        <w:rPr>
          <w:rFonts w:hint="eastAsia" w:ascii="仿宋_GB2312" w:eastAsia="仿宋_GB2312"/>
          <w:b w:val="0"/>
          <w:bCs w:val="0"/>
          <w:color w:val="auto"/>
          <w:sz w:val="32"/>
          <w:szCs w:val="32"/>
          <w:highlight w:val="none"/>
          <w:lang w:eastAsia="zh-CN"/>
        </w:rPr>
        <w:t>在立项后，可不再编制、报批项目可行性研究报告，可将初步设计及概算、预算审查合并为审批，编制技术设计方案和概算书报财政部门审批，并按规定组织</w:t>
      </w:r>
      <w:r>
        <w:rPr>
          <w:rFonts w:hint="eastAsia" w:ascii="仿宋_GB2312" w:eastAsia="仿宋_GB2312"/>
          <w:b w:val="0"/>
          <w:bCs w:val="0"/>
          <w:color w:val="auto"/>
          <w:sz w:val="32"/>
          <w:szCs w:val="32"/>
          <w:highlight w:val="none"/>
        </w:rPr>
        <w:t>施工图</w:t>
      </w:r>
      <w:r>
        <w:rPr>
          <w:rFonts w:hint="eastAsia" w:ascii="仿宋_GB2312" w:eastAsia="仿宋_GB2312"/>
          <w:b w:val="0"/>
          <w:bCs w:val="0"/>
          <w:color w:val="auto"/>
          <w:sz w:val="32"/>
          <w:szCs w:val="32"/>
          <w:highlight w:val="none"/>
          <w:lang w:eastAsia="zh-CN"/>
        </w:rPr>
        <w:t>审查及其他相关手续后实施。</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hAnsi="仿宋_GB2312" w:eastAsia="仿宋_GB2312" w:cs="仿宋_GB2312"/>
          <w:b w:val="0"/>
          <w:bCs w:val="0"/>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lang w:eastAsia="zh-CN"/>
        </w:rPr>
        <w:t>五</w:t>
      </w:r>
      <w:r>
        <w:rPr>
          <w:rFonts w:hint="eastAsia" w:ascii="仿宋_GB2312" w:hAnsi="仿宋_GB2312" w:eastAsia="仿宋_GB2312" w:cs="仿宋_GB2312"/>
          <w:b w:val="0"/>
          <w:bCs w:val="0"/>
          <w:color w:val="auto"/>
          <w:spacing w:val="0"/>
          <w:w w:val="100"/>
          <w:sz w:val="32"/>
          <w:szCs w:val="32"/>
          <w:highlight w:val="none"/>
        </w:rPr>
        <w:t>）为应对自然灾害、事故灾难、公共卫生事件、社会安全等突发事件需要</w:t>
      </w:r>
      <w:r>
        <w:rPr>
          <w:rFonts w:hint="eastAsia" w:ascii="仿宋_GB2312" w:hAnsi="仿宋_GB2312" w:eastAsia="仿宋_GB2312" w:cs="仿宋_GB2312"/>
          <w:b w:val="0"/>
          <w:bCs w:val="0"/>
          <w:color w:val="auto"/>
          <w:spacing w:val="0"/>
          <w:w w:val="100"/>
          <w:sz w:val="32"/>
          <w:szCs w:val="32"/>
          <w:highlight w:val="none"/>
          <w:lang w:eastAsia="zh-CN"/>
        </w:rPr>
        <w:t>应</w:t>
      </w:r>
      <w:r>
        <w:rPr>
          <w:rFonts w:hint="eastAsia" w:ascii="仿宋_GB2312" w:hAnsi="仿宋_GB2312" w:eastAsia="仿宋_GB2312" w:cs="仿宋_GB2312"/>
          <w:b w:val="0"/>
          <w:bCs w:val="0"/>
          <w:color w:val="auto"/>
          <w:spacing w:val="0"/>
          <w:w w:val="100"/>
          <w:sz w:val="32"/>
          <w:szCs w:val="32"/>
          <w:highlight w:val="none"/>
        </w:rPr>
        <w:t>急建设的项目，总投资额不受限制，由行业主管部门</w:t>
      </w:r>
      <w:r>
        <w:rPr>
          <w:rFonts w:hint="eastAsia" w:ascii="仿宋_GB2312" w:hAnsi="仿宋_GB2312" w:eastAsia="仿宋_GB2312" w:cs="仿宋_GB2312"/>
          <w:b w:val="0"/>
          <w:bCs w:val="0"/>
          <w:color w:val="auto"/>
          <w:spacing w:val="0"/>
          <w:w w:val="100"/>
          <w:sz w:val="32"/>
          <w:szCs w:val="32"/>
          <w:highlight w:val="none"/>
          <w:lang w:eastAsia="zh-CN"/>
        </w:rPr>
        <w:t>或区属国有企业</w:t>
      </w:r>
      <w:r>
        <w:rPr>
          <w:rFonts w:hint="eastAsia" w:ascii="仿宋_GB2312" w:hAnsi="仿宋_GB2312" w:eastAsia="仿宋_GB2312" w:cs="仿宋_GB2312"/>
          <w:b w:val="0"/>
          <w:bCs w:val="0"/>
          <w:color w:val="auto"/>
          <w:spacing w:val="0"/>
          <w:w w:val="100"/>
          <w:sz w:val="32"/>
          <w:szCs w:val="32"/>
          <w:highlight w:val="none"/>
        </w:rPr>
        <w:t>直接编制</w:t>
      </w:r>
      <w:r>
        <w:rPr>
          <w:rFonts w:hint="eastAsia" w:ascii="仿宋_GB2312" w:eastAsia="仿宋_GB2312"/>
          <w:b w:val="0"/>
          <w:bCs w:val="0"/>
          <w:color w:val="auto"/>
          <w:sz w:val="32"/>
          <w:szCs w:val="32"/>
          <w:highlight w:val="none"/>
          <w:lang w:eastAsia="zh-CN"/>
        </w:rPr>
        <w:t>初步设计及概算。</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hAnsiTheme="minorHAnsi" w:cstheme="minorBidi"/>
          <w:b w:val="0"/>
          <w:bCs w:val="0"/>
          <w:color w:val="auto"/>
          <w:sz w:val="32"/>
          <w:szCs w:val="32"/>
          <w:highlight w:val="none"/>
          <w:lang w:val="en-US" w:eastAsia="zh-CN" w:bidi="ar-SA"/>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eastAsia="仿宋_GB2312" w:hAnsiTheme="minorHAnsi" w:cstheme="minorBidi"/>
          <w:b w:val="0"/>
          <w:bCs w:val="0"/>
          <w:color w:val="auto"/>
          <w:sz w:val="32"/>
          <w:szCs w:val="32"/>
          <w:highlight w:val="none"/>
          <w:lang w:val="en-US" w:eastAsia="zh-CN" w:bidi="ar-SA"/>
        </w:rPr>
        <w:t>技术方案相对复杂、投资规模较大、关系人民群众生命财产安全的房屋修造类、能源类、桥梁涵洞，水库修缮等</w:t>
      </w:r>
      <w:r>
        <w:rPr>
          <w:rFonts w:hint="eastAsia" w:ascii="仿宋_GB2312" w:eastAsia="仿宋_GB2312" w:cstheme="minorBidi"/>
          <w:b w:val="0"/>
          <w:bCs w:val="0"/>
          <w:color w:val="auto"/>
          <w:sz w:val="32"/>
          <w:szCs w:val="32"/>
          <w:highlight w:val="none"/>
          <w:lang w:val="en-US" w:eastAsia="zh-CN" w:bidi="ar-SA"/>
        </w:rPr>
        <w:t>特殊类</w:t>
      </w:r>
      <w:r>
        <w:rPr>
          <w:rFonts w:hint="eastAsia" w:ascii="仿宋_GB2312" w:eastAsia="仿宋_GB2312" w:hAnsiTheme="minorHAnsi" w:cstheme="minorBidi"/>
          <w:b w:val="0"/>
          <w:bCs w:val="0"/>
          <w:color w:val="auto"/>
          <w:sz w:val="32"/>
          <w:szCs w:val="32"/>
          <w:highlight w:val="none"/>
          <w:lang w:val="en-US" w:eastAsia="zh-CN" w:bidi="ar-SA"/>
        </w:rPr>
        <w:t>项目</w:t>
      </w:r>
      <w:r>
        <w:rPr>
          <w:rFonts w:hint="eastAsia" w:ascii="仿宋_GB2312" w:eastAsia="仿宋_GB2312" w:cstheme="minorBidi"/>
          <w:b w:val="0"/>
          <w:bCs w:val="0"/>
          <w:color w:val="auto"/>
          <w:sz w:val="32"/>
          <w:szCs w:val="32"/>
          <w:highlight w:val="none"/>
          <w:lang w:val="en-US" w:eastAsia="zh-CN" w:bidi="ar-SA"/>
        </w:rPr>
        <w:t>，</w:t>
      </w:r>
      <w:r>
        <w:rPr>
          <w:rFonts w:hint="eastAsia" w:ascii="仿宋_GB2312" w:eastAsia="仿宋_GB2312" w:hAnsiTheme="minorHAnsi" w:cstheme="minorBidi"/>
          <w:b w:val="0"/>
          <w:bCs w:val="0"/>
          <w:color w:val="auto"/>
          <w:sz w:val="32"/>
          <w:szCs w:val="32"/>
          <w:highlight w:val="none"/>
          <w:lang w:val="en-US" w:eastAsia="zh-CN" w:bidi="ar-SA"/>
        </w:rPr>
        <w:t>不得适用</w:t>
      </w:r>
      <w:r>
        <w:rPr>
          <w:rFonts w:hint="eastAsia" w:ascii="仿宋_GB2312" w:eastAsia="仿宋_GB2312" w:cstheme="minorBidi"/>
          <w:b w:val="0"/>
          <w:bCs w:val="0"/>
          <w:color w:val="auto"/>
          <w:sz w:val="32"/>
          <w:szCs w:val="32"/>
          <w:highlight w:val="none"/>
          <w:lang w:val="en-US" w:eastAsia="zh-CN" w:bidi="ar-SA"/>
        </w:rPr>
        <w:t>初步设计及概算、预算合并审批</w:t>
      </w:r>
      <w:r>
        <w:rPr>
          <w:rFonts w:hint="eastAsia" w:ascii="仿宋_GB2312" w:eastAsia="仿宋_GB2312" w:hAnsiTheme="minorHAnsi" w:cstheme="minorBidi"/>
          <w:b w:val="0"/>
          <w:bCs w:val="0"/>
          <w:color w:val="auto"/>
          <w:sz w:val="32"/>
          <w:szCs w:val="32"/>
          <w:highlight w:val="none"/>
          <w:lang w:val="en-US" w:eastAsia="zh-CN" w:bidi="ar-SA"/>
        </w:rPr>
        <w:t>。</w:t>
      </w:r>
      <w:r>
        <w:rPr>
          <w:rFonts w:hint="eastAsia" w:ascii="仿宋_GB2312" w:hAnsi="仿宋_GB2312" w:eastAsia="仿宋_GB2312" w:cs="仿宋_GB2312"/>
          <w:b w:val="0"/>
          <w:bCs w:val="0"/>
          <w:color w:val="auto"/>
          <w:spacing w:val="0"/>
          <w:w w:val="100"/>
          <w:sz w:val="32"/>
          <w:szCs w:val="32"/>
          <w:highlight w:val="none"/>
          <w:lang w:eastAsia="zh-CN"/>
        </w:rPr>
        <w:t>由区级审批的</w:t>
      </w:r>
      <w:r>
        <w:rPr>
          <w:rFonts w:hint="eastAsia" w:ascii="仿宋_GB2312" w:eastAsia="仿宋_GB2312"/>
          <w:b w:val="0"/>
          <w:bCs w:val="0"/>
          <w:color w:val="auto"/>
          <w:sz w:val="32"/>
          <w:szCs w:val="32"/>
          <w:highlight w:val="none"/>
        </w:rPr>
        <w:t>总投资</w:t>
      </w:r>
      <w:r>
        <w:rPr>
          <w:rFonts w:hint="eastAsia" w:ascii="仿宋_GB2312" w:eastAsia="仿宋_GB2312"/>
          <w:b w:val="0"/>
          <w:bCs w:val="0"/>
          <w:color w:val="auto"/>
          <w:sz w:val="32"/>
          <w:szCs w:val="32"/>
          <w:highlight w:val="none"/>
          <w:lang w:eastAsia="zh-CN"/>
        </w:rPr>
        <w:t>在</w:t>
      </w:r>
      <w:r>
        <w:rPr>
          <w:rFonts w:hint="eastAsia" w:ascii="仿宋_GB2312" w:eastAsia="仿宋_GB2312"/>
          <w:b w:val="0"/>
          <w:bCs w:val="0"/>
          <w:color w:val="auto"/>
          <w:sz w:val="32"/>
          <w:szCs w:val="32"/>
          <w:highlight w:val="none"/>
          <w:lang w:val="en-US" w:eastAsia="zh-CN"/>
        </w:rPr>
        <w:t>3000万元</w:t>
      </w:r>
      <w:r>
        <w:rPr>
          <w:rFonts w:hint="eastAsia" w:ascii="仿宋_GB2312" w:eastAsia="仿宋_GB2312"/>
          <w:b w:val="0"/>
          <w:bCs w:val="0"/>
          <w:color w:val="auto"/>
          <w:sz w:val="32"/>
          <w:szCs w:val="32"/>
          <w:highlight w:val="none"/>
          <w:lang w:eastAsia="zh-CN"/>
        </w:rPr>
        <w:t>以上</w:t>
      </w:r>
      <w:r>
        <w:rPr>
          <w:rFonts w:hint="eastAsia" w:ascii="仿宋_GB2312" w:eastAsia="仿宋_GB2312"/>
          <w:b w:val="0"/>
          <w:bCs w:val="0"/>
          <w:color w:val="auto"/>
          <w:sz w:val="32"/>
          <w:szCs w:val="32"/>
          <w:highlight w:val="none"/>
        </w:rPr>
        <w:t>的项目</w:t>
      </w:r>
      <w:r>
        <w:rPr>
          <w:rFonts w:hint="eastAsia" w:ascii="仿宋_GB2312" w:eastAsia="仿宋_GB2312"/>
          <w:b w:val="0"/>
          <w:bCs w:val="0"/>
          <w:color w:val="auto"/>
          <w:sz w:val="32"/>
          <w:szCs w:val="32"/>
          <w:highlight w:val="none"/>
          <w:lang w:eastAsia="zh-CN"/>
        </w:rPr>
        <w:t>在立项或列入计划后，应编制项目可行性研究报告、初步设计及概算报区投资主管部门审批。</w:t>
      </w:r>
    </w:p>
    <w:p>
      <w:pPr>
        <w:pStyle w:val="6"/>
        <w:keepNext w:val="0"/>
        <w:keepLines w:val="0"/>
        <w:pageBreakBefore w:val="0"/>
        <w:tabs>
          <w:tab w:val="left" w:pos="2328"/>
        </w:tabs>
        <w:kinsoku/>
        <w:wordWrap/>
        <w:overflowPunct/>
        <w:topLinePunct w:val="0"/>
        <w:autoSpaceDE/>
        <w:autoSpaceDN/>
        <w:bidi w:val="0"/>
        <w:adjustRightInd/>
        <w:snapToGrid/>
        <w:spacing w:before="40" w:line="558" w:lineRule="exact"/>
        <w:ind w:right="100" w:firstLine="704" w:firstLineChars="200"/>
        <w:jc w:val="left"/>
        <w:textAlignment w:val="auto"/>
        <w:rPr>
          <w:rFonts w:hint="eastAsia" w:ascii="仿宋_GB2312" w:hAnsi="仿宋_GB2312" w:eastAsia="仿宋_GB2312" w:cs="仿宋_GB2312"/>
          <w:b w:val="0"/>
          <w:bCs w:val="0"/>
          <w:color w:val="auto"/>
          <w:spacing w:val="16"/>
          <w:sz w:val="32"/>
          <w:szCs w:val="32"/>
        </w:rPr>
      </w:pPr>
      <w:r>
        <w:rPr>
          <w:rFonts w:hint="eastAsia" w:ascii="黑体" w:hAnsi="黑体" w:eastAsia="黑体" w:cs="黑体"/>
          <w:b w:val="0"/>
          <w:bCs w:val="0"/>
          <w:color w:val="auto"/>
          <w:spacing w:val="16"/>
          <w:w w:val="100"/>
          <w:sz w:val="32"/>
          <w:szCs w:val="32"/>
        </w:rPr>
        <w:t>第十</w:t>
      </w:r>
      <w:r>
        <w:rPr>
          <w:rFonts w:hint="eastAsia" w:ascii="黑体" w:hAnsi="黑体" w:eastAsia="黑体" w:cs="黑体"/>
          <w:b w:val="0"/>
          <w:bCs w:val="0"/>
          <w:color w:val="auto"/>
          <w:spacing w:val="16"/>
          <w:w w:val="100"/>
          <w:sz w:val="32"/>
          <w:szCs w:val="32"/>
          <w:lang w:eastAsia="zh-CN"/>
        </w:rPr>
        <w:t>一</w:t>
      </w:r>
      <w:r>
        <w:rPr>
          <w:rFonts w:hint="eastAsia" w:ascii="黑体" w:hAnsi="黑体" w:eastAsia="黑体" w:cs="黑体"/>
          <w:b w:val="0"/>
          <w:bCs w:val="0"/>
          <w:color w:val="auto"/>
          <w:spacing w:val="16"/>
          <w:w w:val="100"/>
          <w:sz w:val="32"/>
          <w:szCs w:val="32"/>
        </w:rPr>
        <w:t>条</w:t>
      </w:r>
      <w:r>
        <w:rPr>
          <w:rFonts w:hint="eastAsia" w:ascii="仿宋_GB2312" w:hAnsi="仿宋_GB2312" w:eastAsia="仿宋_GB2312" w:cs="仿宋_GB2312"/>
          <w:b w:val="0"/>
          <w:bCs w:val="0"/>
          <w:color w:val="auto"/>
          <w:spacing w:val="16"/>
          <w:w w:val="100"/>
          <w:sz w:val="32"/>
          <w:szCs w:val="32"/>
          <w:lang w:val="en-US" w:eastAsia="zh-CN"/>
        </w:rPr>
        <w:t xml:space="preserve"> </w:t>
      </w:r>
      <w:r>
        <w:rPr>
          <w:rFonts w:hint="eastAsia" w:ascii="仿宋_GB2312" w:hAnsi="仿宋_GB2312" w:eastAsia="仿宋_GB2312" w:cs="仿宋_GB2312"/>
          <w:b w:val="0"/>
          <w:bCs w:val="0"/>
          <w:color w:val="auto"/>
          <w:spacing w:val="16"/>
          <w:w w:val="100"/>
          <w:sz w:val="32"/>
          <w:szCs w:val="32"/>
          <w:lang w:eastAsia="zh-CN"/>
        </w:rPr>
        <w:t>项目业主</w:t>
      </w:r>
      <w:r>
        <w:rPr>
          <w:rFonts w:hint="eastAsia" w:ascii="仿宋_GB2312" w:hAnsi="仿宋_GB2312" w:eastAsia="仿宋_GB2312" w:cs="仿宋_GB2312"/>
          <w:b w:val="0"/>
          <w:bCs w:val="0"/>
          <w:color w:val="auto"/>
          <w:spacing w:val="16"/>
          <w:w w:val="100"/>
          <w:sz w:val="32"/>
          <w:szCs w:val="32"/>
        </w:rPr>
        <w:t>应当依照批准的</w:t>
      </w:r>
      <w:r>
        <w:rPr>
          <w:rFonts w:hint="eastAsia" w:ascii="仿宋_GB2312" w:hAnsi="仿宋_GB2312" w:eastAsia="仿宋_GB2312" w:cs="仿宋_GB2312"/>
          <w:b w:val="0"/>
          <w:bCs w:val="0"/>
          <w:color w:val="auto"/>
          <w:spacing w:val="16"/>
          <w:w w:val="100"/>
          <w:sz w:val="32"/>
          <w:szCs w:val="32"/>
          <w:lang w:eastAsia="zh-CN"/>
        </w:rPr>
        <w:t>概算</w:t>
      </w:r>
      <w:r>
        <w:rPr>
          <w:rFonts w:hint="eastAsia" w:ascii="仿宋_GB2312" w:hAnsi="仿宋_GB2312" w:eastAsia="仿宋_GB2312" w:cs="仿宋_GB2312"/>
          <w:b w:val="0"/>
          <w:bCs w:val="0"/>
          <w:color w:val="auto"/>
          <w:spacing w:val="16"/>
          <w:w w:val="100"/>
          <w:sz w:val="32"/>
          <w:szCs w:val="32"/>
        </w:rPr>
        <w:t>，遵循</w:t>
      </w:r>
      <w:r>
        <w:rPr>
          <w:rFonts w:hint="eastAsia" w:ascii="仿宋_GB2312" w:hAnsi="仿宋_GB2312" w:eastAsia="仿宋_GB2312" w:cs="仿宋_GB2312"/>
          <w:b w:val="0"/>
          <w:bCs w:val="0"/>
          <w:color w:val="auto"/>
          <w:spacing w:val="16"/>
          <w:w w:val="100"/>
          <w:sz w:val="32"/>
          <w:szCs w:val="32"/>
          <w:lang w:eastAsia="zh-CN"/>
        </w:rPr>
        <w:t>概</w:t>
      </w:r>
      <w:r>
        <w:rPr>
          <w:rFonts w:hint="eastAsia" w:ascii="仿宋_GB2312" w:hAnsi="仿宋_GB2312" w:eastAsia="仿宋_GB2312" w:cs="仿宋_GB2312"/>
          <w:b w:val="0"/>
          <w:bCs w:val="0"/>
          <w:color w:val="auto"/>
          <w:spacing w:val="16"/>
          <w:w w:val="100"/>
          <w:sz w:val="32"/>
          <w:szCs w:val="32"/>
        </w:rPr>
        <w:t>算</w:t>
      </w:r>
      <w:r>
        <w:rPr>
          <w:rFonts w:hint="eastAsia" w:ascii="仿宋_GB2312" w:hAnsi="仿宋_GB2312" w:eastAsia="仿宋_GB2312" w:cs="仿宋_GB2312"/>
          <w:b w:val="0"/>
          <w:bCs w:val="0"/>
          <w:color w:val="auto"/>
          <w:spacing w:val="16"/>
          <w:w w:val="100"/>
          <w:sz w:val="32"/>
          <w:szCs w:val="32"/>
          <w:lang w:eastAsia="zh-CN"/>
        </w:rPr>
        <w:t>控制</w:t>
      </w:r>
      <w:r>
        <w:rPr>
          <w:rFonts w:hint="eastAsia" w:ascii="仿宋_GB2312" w:hAnsi="仿宋_GB2312" w:eastAsia="仿宋_GB2312" w:cs="仿宋_GB2312"/>
          <w:b w:val="0"/>
          <w:bCs w:val="0"/>
          <w:color w:val="auto"/>
          <w:spacing w:val="16"/>
          <w:w w:val="100"/>
          <w:sz w:val="32"/>
          <w:szCs w:val="32"/>
        </w:rPr>
        <w:t>的原则进行施工图设计。</w:t>
      </w:r>
      <w:r>
        <w:rPr>
          <w:rFonts w:hint="eastAsia" w:ascii="仿宋_GB2312" w:hAnsi="仿宋_GB2312" w:eastAsia="仿宋_GB2312" w:cs="仿宋_GB2312"/>
          <w:b w:val="0"/>
          <w:bCs w:val="0"/>
          <w:color w:val="auto"/>
          <w:spacing w:val="16"/>
          <w:w w:val="100"/>
          <w:sz w:val="32"/>
          <w:szCs w:val="32"/>
          <w:lang w:val="en-US" w:eastAsia="zh-CN"/>
        </w:rPr>
        <w:t>实施概算、预算合并审批的项目，</w:t>
      </w:r>
      <w:r>
        <w:rPr>
          <w:rFonts w:hint="eastAsia" w:ascii="仿宋_GB2312" w:hAnsi="仿宋_GB2312" w:eastAsia="仿宋_GB2312" w:cs="仿宋_GB2312"/>
          <w:b w:val="0"/>
          <w:bCs w:val="0"/>
          <w:color w:val="auto"/>
          <w:spacing w:val="16"/>
          <w:w w:val="100"/>
          <w:sz w:val="32"/>
          <w:szCs w:val="32"/>
        </w:rPr>
        <w:t>经</w:t>
      </w:r>
      <w:r>
        <w:rPr>
          <w:rFonts w:hint="eastAsia" w:ascii="仿宋_GB2312" w:hAnsi="仿宋_GB2312" w:eastAsia="仿宋_GB2312" w:cs="仿宋_GB2312"/>
          <w:b w:val="0"/>
          <w:bCs w:val="0"/>
          <w:color w:val="auto"/>
          <w:spacing w:val="16"/>
          <w:w w:val="100"/>
          <w:sz w:val="32"/>
          <w:szCs w:val="32"/>
          <w:lang w:eastAsia="zh-CN"/>
        </w:rPr>
        <w:t>区财政部门审批后</w:t>
      </w:r>
      <w:r>
        <w:rPr>
          <w:rFonts w:hint="eastAsia" w:ascii="仿宋_GB2312" w:hAnsi="仿宋_GB2312" w:eastAsia="仿宋_GB2312" w:cs="仿宋_GB2312"/>
          <w:b w:val="0"/>
          <w:bCs w:val="0"/>
          <w:color w:val="auto"/>
          <w:spacing w:val="16"/>
          <w:w w:val="100"/>
          <w:sz w:val="32"/>
          <w:szCs w:val="32"/>
        </w:rPr>
        <w:t>的</w:t>
      </w:r>
      <w:r>
        <w:rPr>
          <w:rFonts w:hint="eastAsia" w:ascii="仿宋_GB2312" w:hAnsi="仿宋_GB2312" w:eastAsia="仿宋_GB2312" w:cs="仿宋_GB2312"/>
          <w:b w:val="0"/>
          <w:bCs w:val="0"/>
          <w:color w:val="auto"/>
          <w:spacing w:val="16"/>
          <w:w w:val="100"/>
          <w:sz w:val="32"/>
          <w:szCs w:val="32"/>
          <w:lang w:eastAsia="zh-CN"/>
        </w:rPr>
        <w:t>概</w:t>
      </w:r>
      <w:r>
        <w:rPr>
          <w:rFonts w:hint="eastAsia" w:ascii="仿宋_GB2312" w:hAnsi="仿宋_GB2312" w:eastAsia="仿宋_GB2312" w:cs="仿宋_GB2312"/>
          <w:b w:val="0"/>
          <w:bCs w:val="0"/>
          <w:color w:val="auto"/>
          <w:spacing w:val="16"/>
          <w:w w:val="100"/>
          <w:sz w:val="32"/>
          <w:szCs w:val="32"/>
        </w:rPr>
        <w:t>算</w:t>
      </w:r>
      <w:r>
        <w:rPr>
          <w:rFonts w:hint="eastAsia" w:ascii="仿宋_GB2312" w:hAnsi="仿宋_GB2312" w:eastAsia="仿宋_GB2312" w:cs="仿宋_GB2312"/>
          <w:b w:val="0"/>
          <w:bCs w:val="0"/>
          <w:color w:val="auto"/>
          <w:spacing w:val="16"/>
          <w:w w:val="100"/>
          <w:sz w:val="32"/>
          <w:szCs w:val="32"/>
          <w:lang w:eastAsia="zh-CN"/>
        </w:rPr>
        <w:t>即为预算，</w:t>
      </w:r>
      <w:r>
        <w:rPr>
          <w:rFonts w:hint="eastAsia" w:ascii="仿宋_GB2312" w:hAnsi="仿宋_GB2312" w:eastAsia="仿宋_GB2312" w:cs="仿宋_GB2312"/>
          <w:b w:val="0"/>
          <w:bCs w:val="0"/>
          <w:color w:val="auto"/>
          <w:spacing w:val="16"/>
          <w:w w:val="100"/>
          <w:sz w:val="32"/>
          <w:szCs w:val="32"/>
        </w:rPr>
        <w:t>是项目建设和控制项目总投资以及安排财政拨付资金、竣工验收及编制审批竣工决算的重要依据。</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十二条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区投资主管部门应当根据国民经济和社会发展规划、相关专项领域规划、产业政策等，从下列方面进行审查，作出是否批准的决定：</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（一）项目立项审批，重点审查项目建设的必要性；</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（二）项目可行性研究报告审批，重点审查项目技术经济可行性，社会效益及项目资金来源等主要建设条件的落实情况；</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（三）初步设计及概算是否符合可行性研究报告批复以及国家有关标准和规范要求；</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（四）依照法律、行政法规和国家有关规定应当审查的其他事项。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 w:eastAsia="仿宋_GB2312"/>
          <w:b w:val="0"/>
          <w:bCs w:val="0"/>
          <w:color w:val="auto"/>
          <w:sz w:val="32"/>
          <w:szCs w:val="32"/>
          <w:highlight w:val="none"/>
          <w:shd w:val="clear" w:color="auto" w:fill="FFFFFF"/>
          <w:lang w:eastAsia="zh-CN"/>
        </w:rPr>
      </w:pPr>
      <w:r>
        <w:rPr>
          <w:rFonts w:hint="eastAsia" w:ascii="仿宋_GB2312" w:hAnsi="仿宋_GB2312" w:eastAsia="仿宋_GB2312" w:cs="仿宋_GB2312"/>
          <w:b w:val="0"/>
          <w:bCs w:val="0"/>
          <w:color w:val="auto"/>
          <w:spacing w:val="0"/>
          <w:w w:val="100"/>
          <w:sz w:val="32"/>
          <w:szCs w:val="32"/>
          <w:highlight w:val="none"/>
        </w:rPr>
        <w:t>对经济社会发展、社会公众利益有重大影响或者投资规模较大的政府投资项目，批准前，</w:t>
      </w:r>
      <w:r>
        <w:rPr>
          <w:rFonts w:hint="eastAsia" w:ascii="仿宋_GB2312" w:hAnsi="仿宋_GB2312" w:eastAsia="仿宋_GB2312" w:cs="仿宋_GB2312"/>
          <w:b w:val="0"/>
          <w:bCs w:val="0"/>
          <w:color w:val="auto"/>
          <w:spacing w:val="0"/>
          <w:w w:val="100"/>
          <w:sz w:val="32"/>
          <w:szCs w:val="32"/>
          <w:highlight w:val="none"/>
          <w:lang w:eastAsia="zh-CN"/>
        </w:rPr>
        <w:t>区投资</w:t>
      </w:r>
      <w:r>
        <w:rPr>
          <w:rFonts w:hint="eastAsia" w:ascii="仿宋_GB2312" w:hAnsi="仿宋_GB2312" w:eastAsia="仿宋_GB2312" w:cs="仿宋_GB2312"/>
          <w:b w:val="0"/>
          <w:bCs w:val="0"/>
          <w:color w:val="auto"/>
          <w:spacing w:val="0"/>
          <w:w w:val="100"/>
          <w:sz w:val="32"/>
          <w:szCs w:val="32"/>
          <w:highlight w:val="none"/>
        </w:rPr>
        <w:t>主管部门或者其他有关部门应当在中介服务机构评估、公众参与、专家评议、风险评估的基础上作出是否批准的决定。对不予批准的政府投资项目，应当书面通知</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并说明理由。</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十三条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业主单位申请项目立项，应向项目区投资主管部门提交下列所需材料：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楷体" w:hAnsi="楷体" w:eastAsia="楷体" w:cs="楷体"/>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val="en-US" w:eastAsia="zh-CN"/>
        </w:rPr>
        <w:t>（一）申请书；</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val="en-US" w:eastAsia="zh-CN"/>
        </w:rPr>
        <w:t>（二）项目建议书。</w:t>
      </w:r>
      <w:r>
        <w:rPr>
          <w:rFonts w:hint="eastAsia" w:ascii="仿宋_GB2312" w:hAnsi="仿宋_GB2312" w:eastAsia="仿宋_GB2312" w:cs="仿宋_GB2312"/>
          <w:b w:val="0"/>
          <w:bCs w:val="0"/>
          <w:color w:val="auto"/>
          <w:spacing w:val="0"/>
          <w:w w:val="100"/>
          <w:sz w:val="32"/>
          <w:szCs w:val="32"/>
          <w:highlight w:val="none"/>
          <w:lang w:val="en-US" w:eastAsia="zh-CN"/>
        </w:rPr>
        <w:t>详细说明项目建设规模及内容，建设计划安排及项目建设的必要性。对不再编制可行性研究报告的项目还需说明项目技术经济可行性，社会效益及项目资金来源等主要建设条件的落实情况。</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已列入区级及以上年度资金计划、投资计划或相关专项规划的项目，原则上不再出具立项批文。确需立项批文的，由业主单位向区投资主管部门提出申请。</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十四条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业主单位申请项目可行性研究报告审批需向项目区投资主管部门提交下列所需材料：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楷体" w:hAnsi="楷体" w:eastAsia="楷体" w:cs="楷体"/>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val="en-US" w:eastAsia="zh-CN"/>
        </w:rPr>
        <w:t>（一）申请书；</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楷体" w:hAnsi="楷体" w:eastAsia="楷体" w:cs="楷体"/>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val="en-US" w:eastAsia="zh-CN"/>
        </w:rPr>
        <w:t>（二）可行性研究报告书。</w:t>
      </w:r>
      <w:r>
        <w:rPr>
          <w:rFonts w:hint="eastAsia" w:ascii="仿宋_GB2312" w:hAnsi="仿宋_GB2312" w:eastAsia="仿宋_GB2312" w:cs="仿宋_GB2312"/>
          <w:b w:val="0"/>
          <w:bCs w:val="0"/>
          <w:color w:val="auto"/>
          <w:spacing w:val="0"/>
          <w:w w:val="100"/>
          <w:sz w:val="32"/>
          <w:szCs w:val="32"/>
          <w:highlight w:val="none"/>
          <w:lang w:val="en-US" w:eastAsia="zh-CN"/>
        </w:rPr>
        <w:t>详细说明项目技术经济可行性，社会效益及项目资金来源等主要建设条件的落实情况；</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val="en-US" w:eastAsia="zh-CN"/>
        </w:rPr>
        <w:t>（三）招标核准表。</w:t>
      </w:r>
      <w:r>
        <w:rPr>
          <w:rFonts w:hint="eastAsia" w:ascii="仿宋_GB2312" w:hAnsi="仿宋_GB2312" w:eastAsia="仿宋_GB2312" w:cs="仿宋_GB2312"/>
          <w:b w:val="0"/>
          <w:bCs w:val="0"/>
          <w:color w:val="auto"/>
          <w:spacing w:val="0"/>
          <w:w w:val="100"/>
          <w:sz w:val="32"/>
          <w:szCs w:val="32"/>
          <w:highlight w:val="none"/>
          <w:lang w:val="en-US" w:eastAsia="zh-CN"/>
        </w:rPr>
        <w:t>承诺勘察、设计、施工、监理等全部采取公开招标的，可不再进行招标核准。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（四）按规定应提交的其他材料。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十五条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业主单位申请项目初步设计及概算审批需向项目区投资主管部门提交下列所需材料：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（一）申请书；</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（二）初步设计及概算修编文本；</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（三）初步设计及概算评审结果确认书。</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（四）按规定应提交的其他材料。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楷体" w:hAnsi="楷体" w:eastAsia="楷体" w:cs="楷体"/>
          <w:b w:val="0"/>
          <w:bCs w:val="0"/>
          <w:color w:val="auto"/>
          <w:spacing w:val="0"/>
          <w:w w:val="100"/>
          <w:sz w:val="32"/>
          <w:szCs w:val="32"/>
          <w:highlight w:val="none"/>
          <w:lang w:val="en-US" w:eastAsia="zh-CN"/>
        </w:rPr>
      </w:pPr>
    </w:p>
    <w:p>
      <w:pPr>
        <w:pageBreakBefore w:val="0"/>
        <w:kinsoku/>
        <w:wordWrap/>
        <w:overflowPunct/>
        <w:topLinePunct w:val="0"/>
        <w:autoSpaceDE/>
        <w:autoSpaceDN/>
        <w:bidi w:val="0"/>
        <w:adjustRightInd/>
        <w:snapToGrid/>
        <w:spacing w:line="558" w:lineRule="exact"/>
        <w:jc w:val="center"/>
        <w:textAlignment w:val="auto"/>
        <w:rPr>
          <w:rFonts w:hint="eastAsia" w:ascii="黑体" w:hAnsi="黑体" w:eastAsia="黑体" w:cs="黑体"/>
          <w:b w:val="0"/>
          <w:bCs/>
          <w:color w:val="auto"/>
          <w:sz w:val="32"/>
          <w:szCs w:val="32"/>
        </w:rPr>
      </w:pPr>
      <w:bookmarkStart w:id="4" w:name="_Toc2644_WPSOffice_Level2"/>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章</w:t>
      </w:r>
      <w:r>
        <w:rPr>
          <w:rFonts w:hint="eastAsia" w:ascii="黑体" w:hAnsi="黑体" w:eastAsia="黑体" w:cs="黑体"/>
          <w:b w:val="0"/>
          <w:bCs/>
          <w:color w:val="auto"/>
          <w:sz w:val="32"/>
          <w:szCs w:val="32"/>
        </w:rPr>
        <w:tab/>
      </w:r>
      <w:r>
        <w:rPr>
          <w:rFonts w:hint="eastAsia" w:ascii="黑体" w:hAnsi="黑体" w:eastAsia="黑体" w:cs="黑体"/>
          <w:b w:val="0"/>
          <w:bCs/>
          <w:color w:val="auto"/>
          <w:sz w:val="32"/>
          <w:szCs w:val="32"/>
          <w:lang w:eastAsia="zh-CN"/>
        </w:rPr>
        <w:t>政府</w:t>
      </w:r>
      <w:r>
        <w:rPr>
          <w:rFonts w:hint="eastAsia" w:ascii="黑体" w:hAnsi="黑体" w:eastAsia="黑体" w:cs="黑体"/>
          <w:b w:val="0"/>
          <w:bCs/>
          <w:color w:val="auto"/>
          <w:sz w:val="32"/>
          <w:szCs w:val="32"/>
        </w:rPr>
        <w:t>投资计划管理</w:t>
      </w:r>
      <w:bookmarkEnd w:id="4"/>
    </w:p>
    <w:p>
      <w:pPr>
        <w:pageBreakBefore w:val="0"/>
        <w:kinsoku/>
        <w:wordWrap/>
        <w:overflowPunct/>
        <w:topLinePunct w:val="0"/>
        <w:autoSpaceDE/>
        <w:autoSpaceDN/>
        <w:bidi w:val="0"/>
        <w:adjustRightInd/>
        <w:snapToGrid/>
        <w:spacing w:line="558" w:lineRule="exact"/>
        <w:jc w:val="center"/>
        <w:textAlignment w:val="auto"/>
        <w:rPr>
          <w:rFonts w:hint="eastAsia" w:ascii="黑体" w:hAnsi="黑体" w:eastAsia="黑体" w:cs="黑体"/>
          <w:b w:val="0"/>
          <w:bCs/>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十六</w:t>
      </w:r>
      <w:r>
        <w:rPr>
          <w:rFonts w:hint="eastAsia" w:ascii="黑体" w:hAnsi="黑体" w:eastAsia="黑体" w:cs="黑体"/>
          <w:b w:val="0"/>
          <w:bCs w:val="0"/>
          <w:color w:val="auto"/>
          <w:spacing w:val="0"/>
          <w:w w:val="100"/>
          <w:sz w:val="32"/>
          <w:szCs w:val="32"/>
          <w:highlight w:val="none"/>
          <w:lang w:eastAsia="en-US"/>
        </w:rPr>
        <w:t>条</w:t>
      </w:r>
      <w:r>
        <w:rPr>
          <w:rFonts w:hint="eastAsia" w:ascii="仿宋_GB2312" w:hAnsi="仿宋_GB2312" w:eastAsia="仿宋_GB2312" w:cs="仿宋_GB2312"/>
          <w:b w:val="0"/>
          <w:bCs w:val="0"/>
          <w:color w:val="auto"/>
          <w:spacing w:val="0"/>
          <w:w w:val="100"/>
          <w:sz w:val="32"/>
          <w:szCs w:val="32"/>
          <w:highlight w:val="none"/>
          <w:lang w:eastAsia="zh-CN"/>
        </w:rPr>
        <w:t xml:space="preserve"> 年度投资计划项目原则上从项目储备库中筛选，由区投资主管部门按程序报区委、区政府审定后执行。</w:t>
      </w:r>
      <w:r>
        <w:rPr>
          <w:rFonts w:hint="eastAsia" w:ascii="仿宋_GB2312" w:hAnsi="仿宋_GB2312" w:eastAsia="仿宋_GB2312" w:cs="仿宋_GB2312"/>
          <w:b w:val="0"/>
          <w:bCs w:val="0"/>
          <w:color w:val="auto"/>
          <w:spacing w:val="0"/>
          <w:w w:val="100"/>
          <w:sz w:val="32"/>
          <w:szCs w:val="32"/>
          <w:highlight w:val="none"/>
        </w:rPr>
        <w:t>政府投资项目</w:t>
      </w:r>
      <w:r>
        <w:rPr>
          <w:rFonts w:hint="eastAsia" w:ascii="仿宋_GB2312" w:hAnsi="仿宋_GB2312" w:eastAsia="仿宋_GB2312" w:cs="仿宋_GB2312"/>
          <w:b w:val="0"/>
          <w:bCs w:val="0"/>
          <w:color w:val="auto"/>
          <w:spacing w:val="0"/>
          <w:w w:val="100"/>
          <w:sz w:val="32"/>
          <w:szCs w:val="32"/>
          <w:highlight w:val="none"/>
          <w:lang w:eastAsia="zh-CN"/>
        </w:rPr>
        <w:t>年度</w:t>
      </w:r>
      <w:r>
        <w:rPr>
          <w:rFonts w:hint="eastAsia" w:ascii="仿宋_GB2312" w:hAnsi="仿宋_GB2312" w:eastAsia="仿宋_GB2312" w:cs="仿宋_GB2312"/>
          <w:b w:val="0"/>
          <w:bCs w:val="0"/>
          <w:color w:val="auto"/>
          <w:spacing w:val="0"/>
          <w:w w:val="100"/>
          <w:sz w:val="32"/>
          <w:szCs w:val="32"/>
          <w:highlight w:val="none"/>
        </w:rPr>
        <w:t>计划应当遵循量入为出、综合平衡的原则。</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黑体" w:hAnsi="黑体" w:eastAsia="黑体" w:cs="黑体"/>
          <w:b w:val="0"/>
          <w:bCs w:val="0"/>
          <w:color w:val="auto"/>
          <w:spacing w:val="0"/>
          <w:w w:val="100"/>
          <w:sz w:val="32"/>
          <w:szCs w:val="32"/>
          <w:highlight w:val="none"/>
          <w:lang w:eastAsia="zh-CN"/>
        </w:rPr>
        <w:t>第十七条</w:t>
      </w:r>
      <w:r>
        <w:rPr>
          <w:rFonts w:hint="eastAsia" w:ascii="仿宋_GB2312" w:hAnsi="仿宋_GB2312" w:eastAsia="仿宋_GB2312" w:cs="仿宋_GB2312"/>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政府投资项目年度计划一经批准，必须严格执行，任何单位和个人不得擅自变更</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b w:val="0"/>
          <w:bCs w:val="0"/>
          <w:color w:val="auto"/>
          <w:spacing w:val="0"/>
          <w:w w:val="100"/>
          <w:sz w:val="32"/>
          <w:szCs w:val="32"/>
          <w:highlight w:val="none"/>
        </w:rPr>
        <w:t>政府投资项目年度</w:t>
      </w:r>
      <w:r>
        <w:rPr>
          <w:rFonts w:hint="eastAsia" w:ascii="仿宋_GB2312" w:eastAsia="仿宋_GB2312"/>
          <w:b w:val="0"/>
          <w:bCs w:val="0"/>
          <w:color w:val="auto"/>
          <w:sz w:val="32"/>
          <w:szCs w:val="32"/>
          <w:highlight w:val="none"/>
          <w:lang w:eastAsia="zh-CN"/>
        </w:rPr>
        <w:t>计划外确需增加的</w:t>
      </w:r>
      <w:r>
        <w:rPr>
          <w:rFonts w:hint="eastAsia" w:ascii="仿宋_GB2312" w:eastAsia="仿宋_GB2312"/>
          <w:b w:val="0"/>
          <w:bCs w:val="0"/>
          <w:color w:val="auto"/>
          <w:sz w:val="32"/>
          <w:szCs w:val="32"/>
          <w:highlight w:val="none"/>
        </w:rPr>
        <w:t>项目</w:t>
      </w:r>
      <w:r>
        <w:rPr>
          <w:rFonts w:hint="eastAsia" w:ascii="仿宋_GB2312" w:eastAsia="仿宋_GB2312"/>
          <w:b w:val="0"/>
          <w:bCs w:val="0"/>
          <w:color w:val="auto"/>
          <w:sz w:val="32"/>
          <w:szCs w:val="32"/>
          <w:highlight w:val="none"/>
          <w:lang w:eastAsia="zh-CN"/>
        </w:rPr>
        <w:t>原则上列入下一年度计划实施，需紧急实施的项目</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按以下方式实施：</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（一）已列入储备库的项目，由业主单位提出申请，区投资主管部门初步审核后，原则上于每季度末提交区委常委会审议后实施，并纳入当年度投资计划，实施计划代立项审批</w:t>
      </w:r>
      <w:r>
        <w:rPr>
          <w:rFonts w:hint="eastAsia" w:ascii="仿宋_GB2312" w:eastAsia="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（二）未列入储备库的项目，需按第七条要求先进行储备后再按前款要求实施。</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（三）项目总投资在50万至100万元（不含）的，经区长专题会审议后即可列入当年度投资计划，实施计划代立项审批。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color w:val="auto"/>
          <w:lang w:val="en-US" w:eastAsia="zh-CN"/>
        </w:rPr>
      </w:pPr>
      <w:r>
        <w:rPr>
          <w:rFonts w:hint="eastAsia" w:ascii="仿宋_GB2312" w:eastAsia="仿宋_GB2312"/>
          <w:b w:val="0"/>
          <w:bCs w:val="0"/>
          <w:color w:val="auto"/>
          <w:sz w:val="32"/>
          <w:szCs w:val="32"/>
          <w:highlight w:val="none"/>
          <w:lang w:eastAsia="zh-CN"/>
        </w:rPr>
        <w:t>（四）对上级机关明确要实施的或已落实土地、资金等要素的计划外项目，不论投资额度，经区长专题会审议后列入当年度投资计划，实施计划代立项审批。</w:t>
      </w:r>
    </w:p>
    <w:p>
      <w:pPr>
        <w:pStyle w:val="3"/>
        <w:pageBreakBefore w:val="0"/>
        <w:kinsoku/>
        <w:wordWrap/>
        <w:overflowPunct/>
        <w:topLinePunct w:val="0"/>
        <w:autoSpaceDE/>
        <w:autoSpaceDN/>
        <w:bidi w:val="0"/>
        <w:adjustRightInd/>
        <w:snapToGrid/>
        <w:spacing w:line="558" w:lineRule="exact"/>
        <w:jc w:val="center"/>
        <w:textAlignment w:val="auto"/>
        <w:rPr>
          <w:rFonts w:hint="eastAsia" w:ascii="黑体" w:hAnsi="黑体" w:eastAsia="黑体" w:cs="黑体"/>
          <w:b w:val="0"/>
          <w:bCs w:val="0"/>
          <w:color w:val="auto"/>
          <w:spacing w:val="0"/>
          <w:w w:val="100"/>
          <w:sz w:val="32"/>
          <w:szCs w:val="32"/>
          <w:highlight w:val="none"/>
        </w:rPr>
      </w:pPr>
      <w:bookmarkStart w:id="5" w:name="_Toc3044_WPSOffice_Level2"/>
      <w:r>
        <w:rPr>
          <w:rFonts w:hint="eastAsia"/>
          <w:b w:val="0"/>
          <w:bCs/>
          <w:color w:val="auto"/>
        </w:rPr>
        <w:t>第</w:t>
      </w:r>
      <w:r>
        <w:rPr>
          <w:rFonts w:hint="eastAsia"/>
          <w:b w:val="0"/>
          <w:bCs/>
          <w:color w:val="auto"/>
          <w:lang w:eastAsia="zh-CN"/>
        </w:rPr>
        <w:t>五</w:t>
      </w:r>
      <w:r>
        <w:rPr>
          <w:rFonts w:hint="eastAsia"/>
          <w:b w:val="0"/>
          <w:bCs/>
          <w:color w:val="auto"/>
        </w:rPr>
        <w:t>章</w:t>
      </w:r>
      <w:r>
        <w:rPr>
          <w:rFonts w:hint="eastAsia"/>
          <w:b w:val="0"/>
          <w:bCs/>
          <w:color w:val="auto"/>
        </w:rPr>
        <w:tab/>
      </w:r>
      <w:r>
        <w:rPr>
          <w:rFonts w:hint="eastAsia"/>
          <w:b w:val="0"/>
          <w:bCs/>
          <w:color w:val="auto"/>
          <w:lang w:eastAsia="zh-CN"/>
        </w:rPr>
        <w:t>政府投资</w:t>
      </w:r>
      <w:r>
        <w:rPr>
          <w:rFonts w:hint="eastAsia"/>
          <w:b w:val="0"/>
          <w:bCs/>
          <w:color w:val="auto"/>
        </w:rPr>
        <w:t>项目建设管理</w:t>
      </w:r>
      <w:bookmarkEnd w:id="5"/>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lang w:eastAsia="zh-CN"/>
        </w:rPr>
        <w:t>第十八条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政府投资项目应当依法办理相关手续，在具备国家规定的各项开工</w:t>
      </w:r>
      <w:r>
        <w:rPr>
          <w:rFonts w:hint="eastAsia" w:ascii="仿宋_GB2312" w:hAnsi="仿宋_GB2312" w:eastAsia="仿宋_GB2312" w:cs="仿宋_GB2312"/>
          <w:b w:val="0"/>
          <w:bCs w:val="0"/>
          <w:color w:val="auto"/>
          <w:spacing w:val="0"/>
          <w:w w:val="100"/>
          <w:sz w:val="32"/>
          <w:szCs w:val="32"/>
          <w:highlight w:val="none"/>
          <w:lang w:eastAsia="zh-CN"/>
        </w:rPr>
        <w:t>条</w:t>
      </w:r>
      <w:r>
        <w:rPr>
          <w:rFonts w:hint="eastAsia" w:ascii="仿宋_GB2312" w:hAnsi="仿宋_GB2312" w:eastAsia="仿宋_GB2312" w:cs="仿宋_GB2312"/>
          <w:b w:val="0"/>
          <w:bCs w:val="0"/>
          <w:color w:val="auto"/>
          <w:spacing w:val="0"/>
          <w:w w:val="100"/>
          <w:sz w:val="32"/>
          <w:szCs w:val="32"/>
          <w:highlight w:val="none"/>
        </w:rPr>
        <w:t>件后，方可开工建设。</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rPr>
        <w:t>项目开工建设前，应当依法取得</w:t>
      </w:r>
      <w:r>
        <w:rPr>
          <w:rFonts w:hint="eastAsia" w:ascii="仿宋_GB2312" w:hAnsi="仿宋_GB2312" w:eastAsia="仿宋_GB2312" w:cs="仿宋_GB2312"/>
          <w:b w:val="0"/>
          <w:bCs w:val="0"/>
          <w:color w:val="auto"/>
          <w:spacing w:val="0"/>
          <w:w w:val="100"/>
          <w:sz w:val="32"/>
          <w:szCs w:val="32"/>
          <w:highlight w:val="none"/>
          <w:lang w:eastAsia="zh-CN"/>
        </w:rPr>
        <w:t>环评、水保、用地、用林、用海等</w:t>
      </w:r>
      <w:r>
        <w:rPr>
          <w:rFonts w:hint="eastAsia" w:ascii="仿宋_GB2312" w:hAnsi="仿宋_GB2312" w:eastAsia="仿宋_GB2312" w:cs="仿宋_GB2312"/>
          <w:b w:val="0"/>
          <w:bCs w:val="0"/>
          <w:color w:val="auto"/>
          <w:spacing w:val="0"/>
          <w:w w:val="100"/>
          <w:sz w:val="32"/>
          <w:szCs w:val="32"/>
          <w:highlight w:val="none"/>
        </w:rPr>
        <w:t>文件审批意见或者履行环境影响登记表备案手续。</w:t>
      </w:r>
      <w:r>
        <w:rPr>
          <w:rFonts w:hint="eastAsia" w:ascii="仿宋_GB2312" w:hAnsi="仿宋_GB2312" w:eastAsia="仿宋_GB2312" w:cs="仿宋_GB2312"/>
          <w:b w:val="0"/>
          <w:bCs w:val="0"/>
          <w:color w:val="auto"/>
          <w:spacing w:val="0"/>
          <w:w w:val="100"/>
          <w:sz w:val="32"/>
          <w:szCs w:val="32"/>
          <w:highlight w:val="none"/>
          <w:lang w:eastAsia="zh-CN"/>
        </w:rPr>
        <w:t>按照规定不需办理以上审批事项的项目除外。</w:t>
      </w:r>
      <w:r>
        <w:rPr>
          <w:rFonts w:hint="eastAsia" w:ascii="仿宋_GB2312" w:hAnsi="仿宋_GB2312" w:eastAsia="仿宋_GB2312" w:cs="仿宋_GB2312"/>
          <w:b w:val="0"/>
          <w:bCs w:val="0"/>
          <w:color w:val="auto"/>
          <w:spacing w:val="0"/>
          <w:w w:val="100"/>
          <w:sz w:val="32"/>
          <w:szCs w:val="32"/>
          <w:highlight w:val="none"/>
        </w:rPr>
        <w:t>项目实施过程中不得任意压缩或随意延长合理工期。</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应当通过在线平台如实报送政府投资项目开工建设、建设进度、竣工的基本信息。</w:t>
      </w:r>
    </w:p>
    <w:p>
      <w:pPr>
        <w:keepNext w:val="0"/>
        <w:keepLines w:val="0"/>
        <w:pageBreakBefore w:val="0"/>
        <w:numPr>
          <w:ilvl w:val="0"/>
          <w:numId w:val="0"/>
        </w:numPr>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十九</w:t>
      </w:r>
      <w:r>
        <w:rPr>
          <w:rFonts w:hint="eastAsia" w:ascii="黑体" w:hAnsi="黑体" w:eastAsia="黑体" w:cs="黑体"/>
          <w:b w:val="0"/>
          <w:bCs w:val="0"/>
          <w:color w:val="auto"/>
          <w:spacing w:val="0"/>
          <w:w w:val="100"/>
          <w:sz w:val="32"/>
          <w:szCs w:val="32"/>
          <w:highlight w:val="none"/>
          <w:lang w:eastAsia="en-US"/>
        </w:rPr>
        <w:t>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政府投资项目实行</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法人责任制，由</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对项目的策划、资金筹措、建设实施、经营管理、债务偿还和资产保值增值实行全过程负责。政府投资项目应当严格实行招投标制、监理制、合同制。</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应当建立</w:t>
      </w:r>
      <w:r>
        <w:rPr>
          <w:rFonts w:hint="eastAsia" w:ascii="仿宋_GB2312" w:hAnsi="仿宋_GB2312" w:eastAsia="仿宋_GB2312" w:cs="仿宋_GB2312"/>
          <w:b w:val="0"/>
          <w:bCs w:val="0"/>
          <w:color w:val="auto"/>
          <w:spacing w:val="0"/>
          <w:w w:val="100"/>
          <w:sz w:val="32"/>
          <w:szCs w:val="32"/>
          <w:highlight w:val="none"/>
          <w:lang w:eastAsia="zh-CN"/>
        </w:rPr>
        <w:t>投资</w:t>
      </w:r>
      <w:r>
        <w:rPr>
          <w:rFonts w:hint="eastAsia" w:ascii="仿宋_GB2312" w:hAnsi="仿宋_GB2312" w:eastAsia="仿宋_GB2312" w:cs="仿宋_GB2312"/>
          <w:b w:val="0"/>
          <w:bCs w:val="0"/>
          <w:color w:val="auto"/>
          <w:spacing w:val="0"/>
          <w:w w:val="100"/>
          <w:sz w:val="32"/>
          <w:szCs w:val="32"/>
          <w:highlight w:val="none"/>
        </w:rPr>
        <w:t>、进度、质量</w:t>
      </w:r>
      <w:r>
        <w:rPr>
          <w:rFonts w:hint="eastAsia" w:ascii="仿宋_GB2312" w:hAnsi="仿宋_GB2312" w:eastAsia="仿宋_GB2312" w:cs="仿宋_GB2312"/>
          <w:b w:val="0"/>
          <w:bCs w:val="0"/>
          <w:color w:val="auto"/>
          <w:spacing w:val="0"/>
          <w:w w:val="100"/>
          <w:sz w:val="32"/>
          <w:szCs w:val="32"/>
          <w:highlight w:val="none"/>
          <w:lang w:eastAsia="zh-CN"/>
        </w:rPr>
        <w:t>、安全生产四</w:t>
      </w:r>
      <w:r>
        <w:rPr>
          <w:rFonts w:hint="eastAsia" w:ascii="仿宋_GB2312" w:hAnsi="仿宋_GB2312" w:eastAsia="仿宋_GB2312" w:cs="仿宋_GB2312"/>
          <w:b w:val="0"/>
          <w:bCs w:val="0"/>
          <w:color w:val="auto"/>
          <w:spacing w:val="0"/>
          <w:w w:val="100"/>
          <w:sz w:val="32"/>
          <w:szCs w:val="32"/>
          <w:highlight w:val="none"/>
        </w:rPr>
        <w:t>大控制体系，切实有效地提高政府投资项目效益。</w:t>
      </w:r>
    </w:p>
    <w:p>
      <w:pPr>
        <w:keepNext w:val="0"/>
        <w:keepLines w:val="0"/>
        <w:pageBreakBefore w:val="0"/>
        <w:numPr>
          <w:ilvl w:val="0"/>
          <w:numId w:val="0"/>
        </w:numPr>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58" w:lineRule="exact"/>
        <w:jc w:val="center"/>
        <w:textAlignment w:val="auto"/>
        <w:rPr>
          <w:rFonts w:hint="eastAsia" w:ascii="楷体" w:hAnsi="楷体" w:eastAsia="楷体" w:cs="楷体"/>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eastAsia="zh-CN"/>
        </w:rPr>
        <w:t>第一节</w:t>
      </w:r>
      <w:r>
        <w:rPr>
          <w:rFonts w:hint="eastAsia" w:ascii="楷体" w:hAnsi="楷体" w:eastAsia="楷体" w:cs="楷体"/>
          <w:b w:val="0"/>
          <w:bCs w:val="0"/>
          <w:color w:val="auto"/>
          <w:spacing w:val="0"/>
          <w:w w:val="100"/>
          <w:sz w:val="32"/>
          <w:szCs w:val="32"/>
          <w:highlight w:val="none"/>
          <w:lang w:val="en-US" w:eastAsia="zh-CN"/>
        </w:rPr>
        <w:t xml:space="preserve">  项目招投标</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w:t>
      </w:r>
      <w:r>
        <w:rPr>
          <w:rFonts w:hint="eastAsia" w:ascii="黑体" w:hAnsi="黑体" w:eastAsia="黑体" w:cs="黑体"/>
          <w:b w:val="0"/>
          <w:bCs w:val="0"/>
          <w:color w:val="auto"/>
          <w:spacing w:val="0"/>
          <w:w w:val="100"/>
          <w:sz w:val="32"/>
          <w:szCs w:val="32"/>
          <w:highlight w:val="none"/>
          <w:lang w:eastAsia="en-US"/>
        </w:rPr>
        <w:t>条</w:t>
      </w:r>
      <w:r>
        <w:rPr>
          <w:rFonts w:hint="eastAsia" w:ascii="仿宋_GB2312" w:hAnsi="仿宋_GB2312" w:eastAsia="仿宋_GB2312" w:cs="仿宋_GB2312"/>
          <w:b w:val="0"/>
          <w:bCs w:val="0"/>
          <w:color w:val="auto"/>
          <w:spacing w:val="0"/>
          <w:w w:val="100"/>
          <w:sz w:val="32"/>
          <w:szCs w:val="32"/>
          <w:highlight w:val="none"/>
          <w:lang w:eastAsia="zh-CN"/>
        </w:rPr>
        <w:t xml:space="preserve"> </w:t>
      </w:r>
      <w:r>
        <w:rPr>
          <w:rFonts w:hint="eastAsia" w:ascii="仿宋_GB2312" w:hAnsi="仿宋_GB2312" w:eastAsia="仿宋_GB2312" w:cs="仿宋_GB2312"/>
          <w:b w:val="0"/>
          <w:bCs w:val="0"/>
          <w:color w:val="auto"/>
          <w:spacing w:val="0"/>
          <w:w w:val="100"/>
          <w:sz w:val="32"/>
          <w:szCs w:val="32"/>
          <w:highlight w:val="none"/>
        </w:rPr>
        <w:t>按照规定的具体范围和规模标准依法必须进行招标的政府投资项目，</w:t>
      </w: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应在履行相应项目审批手续并落实预算资金或承诺落实资金后按照核准的招标事项，对必须履行招投标程序的工程项目以及与工程建设有关的服务、货物，在公共资源交易平台发布招标采购信息，依法进行招投标采购活动。</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lang w:eastAsia="zh-CN"/>
        </w:rPr>
        <w:t>项目业主</w:t>
      </w:r>
      <w:r>
        <w:rPr>
          <w:rFonts w:hint="eastAsia" w:ascii="仿宋_GB2312" w:hAnsi="仿宋_GB2312" w:eastAsia="仿宋_GB2312" w:cs="仿宋_GB2312"/>
          <w:b w:val="0"/>
          <w:bCs w:val="0"/>
          <w:color w:val="auto"/>
          <w:spacing w:val="0"/>
          <w:w w:val="100"/>
          <w:sz w:val="32"/>
          <w:szCs w:val="32"/>
          <w:highlight w:val="none"/>
        </w:rPr>
        <w:t>必须按照中标价格同项目工程以及与工程建设有关的服务、货物单位签订固定价格合同，约定在合理工期内按既定的合约价格开展项目工程以及与工程建设有关的服务、货物供应。</w:t>
      </w:r>
    </w:p>
    <w:p>
      <w:pPr>
        <w:pStyle w:val="6"/>
        <w:keepNext w:val="0"/>
        <w:keepLines w:val="0"/>
        <w:pageBreakBefore w:val="0"/>
        <w:kinsoku/>
        <w:wordWrap/>
        <w:overflowPunct/>
        <w:topLinePunct w:val="0"/>
        <w:autoSpaceDE/>
        <w:autoSpaceDN/>
        <w:bidi w:val="0"/>
        <w:adjustRightInd/>
        <w:snapToGrid/>
        <w:spacing w:before="40" w:line="558" w:lineRule="exact"/>
        <w:ind w:left="0" w:leftChars="0" w:right="140"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二十一</w:t>
      </w:r>
      <w:r>
        <w:rPr>
          <w:rFonts w:hint="eastAsia" w:ascii="黑体" w:hAnsi="黑体" w:eastAsia="黑体" w:cs="黑体"/>
          <w:b w:val="0"/>
          <w:bCs w:val="0"/>
          <w:color w:val="auto"/>
          <w:spacing w:val="0"/>
          <w:w w:val="100"/>
          <w:sz w:val="32"/>
          <w:szCs w:val="32"/>
          <w:highlight w:val="none"/>
          <w:lang w:eastAsia="en-US"/>
        </w:rPr>
        <w:t>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项目招标人在发出招标公告时，应同步将招标文件提交至招标监管部门。自发出中标通知书5个工作日内向区投资主管部门及招标监管部门提交招投标情况的书面报告。自签订施工合同之日起5个工作日内将合同报区投资主管部门及招标监管部门进行告知性备案。</w:t>
      </w:r>
    </w:p>
    <w:p>
      <w:pPr>
        <w:pStyle w:val="6"/>
        <w:keepNext w:val="0"/>
        <w:keepLines w:val="0"/>
        <w:pageBreakBefore w:val="0"/>
        <w:kinsoku/>
        <w:wordWrap/>
        <w:overflowPunct/>
        <w:topLinePunct w:val="0"/>
        <w:autoSpaceDE/>
        <w:autoSpaceDN/>
        <w:bidi w:val="0"/>
        <w:adjustRightInd/>
        <w:snapToGrid/>
        <w:spacing w:before="40" w:line="558" w:lineRule="exact"/>
        <w:ind w:left="0" w:leftChars="0" w:right="140"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58" w:lineRule="exact"/>
        <w:jc w:val="center"/>
        <w:textAlignment w:val="auto"/>
        <w:rPr>
          <w:rFonts w:hint="eastAsia" w:ascii="楷体" w:hAnsi="楷体" w:eastAsia="楷体" w:cs="楷体"/>
          <w:b w:val="0"/>
          <w:bCs w:val="0"/>
          <w:color w:val="auto"/>
          <w:spacing w:val="0"/>
          <w:w w:val="100"/>
          <w:sz w:val="32"/>
          <w:szCs w:val="32"/>
          <w:highlight w:val="none"/>
          <w:lang w:val="en-US" w:eastAsia="zh-CN"/>
        </w:rPr>
      </w:pPr>
      <w:r>
        <w:rPr>
          <w:rFonts w:hint="eastAsia" w:ascii="楷体" w:hAnsi="楷体" w:eastAsia="楷体" w:cs="楷体"/>
          <w:b w:val="0"/>
          <w:bCs w:val="0"/>
          <w:color w:val="auto"/>
          <w:spacing w:val="0"/>
          <w:w w:val="100"/>
          <w:sz w:val="32"/>
          <w:szCs w:val="32"/>
          <w:highlight w:val="none"/>
          <w:lang w:eastAsia="zh-CN"/>
        </w:rPr>
        <w:t>第二节</w:t>
      </w:r>
      <w:r>
        <w:rPr>
          <w:rFonts w:hint="eastAsia" w:ascii="楷体" w:hAnsi="楷体" w:eastAsia="楷体" w:cs="楷体"/>
          <w:b w:val="0"/>
          <w:bCs w:val="0"/>
          <w:color w:val="auto"/>
          <w:spacing w:val="0"/>
          <w:w w:val="100"/>
          <w:sz w:val="32"/>
          <w:szCs w:val="32"/>
          <w:highlight w:val="none"/>
          <w:lang w:val="en-US" w:eastAsia="zh-CN"/>
        </w:rPr>
        <w:t xml:space="preserve">  项目代管与代建</w:t>
      </w:r>
    </w:p>
    <w:p>
      <w:pPr>
        <w:pStyle w:val="6"/>
        <w:keepNext w:val="0"/>
        <w:keepLines w:val="0"/>
        <w:pageBreakBefore w:val="0"/>
        <w:kinsoku/>
        <w:wordWrap/>
        <w:overflowPunct/>
        <w:topLinePunct w:val="0"/>
        <w:autoSpaceDE/>
        <w:autoSpaceDN/>
        <w:bidi w:val="0"/>
        <w:adjustRightInd/>
        <w:snapToGrid/>
        <w:spacing w:before="40" w:line="558" w:lineRule="exact"/>
        <w:ind w:left="0" w:leftChars="0" w:right="140"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二十二</w:t>
      </w:r>
      <w:r>
        <w:rPr>
          <w:rFonts w:hint="eastAsia" w:ascii="黑体" w:hAnsi="黑体" w:eastAsia="黑体" w:cs="黑体"/>
          <w:b w:val="0"/>
          <w:bCs w:val="0"/>
          <w:color w:val="auto"/>
          <w:spacing w:val="0"/>
          <w:w w:val="100"/>
          <w:sz w:val="32"/>
          <w:szCs w:val="32"/>
          <w:highlight w:val="none"/>
          <w:lang w:eastAsia="en-US"/>
        </w:rPr>
        <w:t>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olor w:val="auto"/>
          <w:sz w:val="32"/>
          <w:szCs w:val="32"/>
          <w:lang w:eastAsia="zh-CN"/>
        </w:rPr>
        <w:t>涉及</w:t>
      </w:r>
      <w:r>
        <w:rPr>
          <w:rFonts w:hint="eastAsia" w:ascii="仿宋_GB2312" w:hAnsi="仿宋_GB2312" w:eastAsia="仿宋_GB2312"/>
          <w:color w:val="auto"/>
          <w:sz w:val="32"/>
          <w:szCs w:val="32"/>
        </w:rPr>
        <w:t>卫生健康、教育、</w:t>
      </w:r>
      <w:r>
        <w:rPr>
          <w:rFonts w:hint="eastAsia" w:ascii="仿宋_GB2312" w:hAnsi="仿宋_GB2312" w:eastAsia="仿宋_GB2312"/>
          <w:color w:val="auto"/>
          <w:sz w:val="32"/>
          <w:szCs w:val="32"/>
          <w:lang w:eastAsia="zh-CN"/>
        </w:rPr>
        <w:t>民政、</w:t>
      </w:r>
      <w:r>
        <w:rPr>
          <w:rFonts w:hint="eastAsia" w:ascii="仿宋_GB2312" w:hAnsi="仿宋_GB2312" w:eastAsia="仿宋_GB2312"/>
          <w:color w:val="auto"/>
          <w:sz w:val="32"/>
          <w:szCs w:val="32"/>
        </w:rPr>
        <w:t>文化、体育等社会领域</w:t>
      </w:r>
      <w:r>
        <w:rPr>
          <w:rFonts w:hint="eastAsia" w:ascii="仿宋_GB2312" w:hAnsi="仿宋_GB2312" w:eastAsia="仿宋_GB2312"/>
          <w:color w:val="auto"/>
          <w:sz w:val="32"/>
          <w:szCs w:val="32"/>
          <w:lang w:eastAsia="zh-CN"/>
        </w:rPr>
        <w:t>的政府投资项目应施行代管制</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由</w:t>
      </w:r>
      <w:r>
        <w:rPr>
          <w:rFonts w:hint="eastAsia" w:ascii="仿宋_GB2312" w:hAnsi="仿宋_GB2312" w:eastAsia="仿宋_GB2312"/>
          <w:color w:val="auto"/>
          <w:sz w:val="32"/>
          <w:szCs w:val="32"/>
        </w:rPr>
        <w:t>项目</w:t>
      </w:r>
      <w:r>
        <w:rPr>
          <w:rFonts w:hint="eastAsia" w:ascii="仿宋_GB2312" w:hAnsi="仿宋_GB2312" w:eastAsia="仿宋_GB2312"/>
          <w:color w:val="auto"/>
          <w:sz w:val="32"/>
          <w:szCs w:val="32"/>
          <w:lang w:eastAsia="zh-CN"/>
        </w:rPr>
        <w:t>业主</w:t>
      </w:r>
      <w:r>
        <w:rPr>
          <w:rFonts w:hint="eastAsia" w:ascii="仿宋_GB2312" w:hAnsi="仿宋_GB2312" w:eastAsia="仿宋_GB2312"/>
          <w:color w:val="auto"/>
          <w:sz w:val="32"/>
          <w:szCs w:val="32"/>
        </w:rPr>
        <w:t>单位委托具有独立法人资格、具备与同类工程建设管理相适应管理能力的单位</w:t>
      </w:r>
      <w:r>
        <w:rPr>
          <w:rFonts w:hint="eastAsia" w:ascii="仿宋_GB2312" w:hAnsi="仿宋_GB2312" w:eastAsia="仿宋_GB2312"/>
          <w:color w:val="auto"/>
          <w:sz w:val="32"/>
          <w:szCs w:val="32"/>
          <w:lang w:eastAsia="zh-CN"/>
        </w:rPr>
        <w:t>进行</w:t>
      </w:r>
      <w:r>
        <w:rPr>
          <w:rFonts w:hint="eastAsia" w:ascii="仿宋_GB2312" w:hAnsi="仿宋_GB2312" w:eastAsia="仿宋_GB2312"/>
          <w:color w:val="auto"/>
          <w:sz w:val="32"/>
          <w:szCs w:val="32"/>
        </w:rPr>
        <w:t>代管。</w:t>
      </w:r>
    </w:p>
    <w:p>
      <w:pPr>
        <w:keepNext w:val="0"/>
        <w:keepLines w:val="0"/>
        <w:pageBreakBefore w:val="0"/>
        <w:widowControl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二十三</w:t>
      </w:r>
      <w:r>
        <w:rPr>
          <w:rFonts w:hint="eastAsia" w:ascii="黑体" w:hAnsi="黑体" w:eastAsia="黑体" w:cs="黑体"/>
          <w:b w:val="0"/>
          <w:bCs w:val="0"/>
          <w:color w:val="auto"/>
          <w:spacing w:val="0"/>
          <w:w w:val="100"/>
          <w:sz w:val="32"/>
          <w:szCs w:val="32"/>
          <w:highlight w:val="none"/>
          <w:lang w:eastAsia="en-US"/>
        </w:rPr>
        <w:t>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除前款</w:t>
      </w:r>
      <w:r>
        <w:rPr>
          <w:rFonts w:hint="eastAsia" w:ascii="仿宋_GB2312" w:hAnsi="仿宋_GB2312" w:eastAsia="仿宋_GB2312"/>
          <w:color w:val="auto"/>
          <w:sz w:val="32"/>
          <w:szCs w:val="32"/>
        </w:rPr>
        <w:t>社会领域</w:t>
      </w:r>
      <w:r>
        <w:rPr>
          <w:rFonts w:hint="eastAsia" w:ascii="仿宋_GB2312" w:hAnsi="仿宋_GB2312" w:eastAsia="仿宋_GB2312" w:cs="仿宋_GB2312"/>
          <w:b w:val="0"/>
          <w:bCs w:val="0"/>
          <w:color w:val="auto"/>
          <w:spacing w:val="0"/>
          <w:w w:val="100"/>
          <w:sz w:val="32"/>
          <w:szCs w:val="32"/>
          <w:highlight w:val="none"/>
          <w:lang w:val="en-US" w:eastAsia="zh-CN"/>
        </w:rPr>
        <w:t>外的基础设施及其他项目应实施代建制，项目单位将本单位政府投资项目的策划、建设等管理行为，通过招标等择优方式，委托给相关专业建设管理机构代理项目单位在一定期限内具体负责项目策划、建设等管理模式。代建单位由项目单位通过公开招标等方式择优产生。有关招投标程序遵照《中华人民共和国招投标法》《中国人民共和国政府采购法》等有关法律法规执行。</w:t>
      </w:r>
    </w:p>
    <w:p>
      <w:pPr>
        <w:keepNext w:val="0"/>
        <w:keepLines w:val="0"/>
        <w:pageBreakBefore w:val="0"/>
        <w:widowControl w:val="0"/>
        <w:kinsoku/>
        <w:wordWrap/>
        <w:overflowPunct/>
        <w:topLinePunct w:val="0"/>
        <w:autoSpaceDE/>
        <w:autoSpaceDN/>
        <w:bidi w:val="0"/>
        <w:adjustRightInd/>
        <w:snapToGrid/>
        <w:spacing w:beforeLines="0" w:afterLines="0" w:line="558" w:lineRule="exact"/>
        <w:ind w:firstLine="600" w:firstLineChars="200"/>
        <w:jc w:val="left"/>
        <w:textAlignment w:val="auto"/>
        <w:rPr>
          <w:rFonts w:hint="eastAsia" w:ascii="仿宋_GB2312" w:hAnsi="仿宋_GB2312" w:eastAsia="仿宋_GB2312"/>
          <w:color w:val="auto"/>
          <w:sz w:val="32"/>
          <w:szCs w:val="32"/>
        </w:rPr>
      </w:pPr>
      <w:r>
        <w:rPr>
          <w:rFonts w:hint="eastAsia" w:ascii="黑体" w:hAnsi="黑体" w:eastAsia="黑体"/>
          <w:color w:val="auto"/>
          <w:sz w:val="30"/>
        </w:rPr>
        <w:t>第</w:t>
      </w:r>
      <w:r>
        <w:rPr>
          <w:rFonts w:hint="eastAsia" w:ascii="黑体" w:hAnsi="黑体" w:eastAsia="黑体"/>
          <w:color w:val="auto"/>
          <w:sz w:val="30"/>
          <w:lang w:eastAsia="zh-CN"/>
        </w:rPr>
        <w:t>二十四</w:t>
      </w:r>
      <w:r>
        <w:rPr>
          <w:rFonts w:hint="eastAsia" w:ascii="黑体" w:hAnsi="黑体" w:eastAsia="黑体"/>
          <w:color w:val="auto"/>
          <w:sz w:val="30"/>
        </w:rPr>
        <w:t>条</w:t>
      </w:r>
      <w:r>
        <w:rPr>
          <w:rFonts w:hint="eastAsia" w:ascii="黑体" w:hAnsi="黑体" w:eastAsia="黑体"/>
          <w:color w:val="auto"/>
          <w:sz w:val="30"/>
          <w:lang w:val="en-US" w:eastAsia="zh-CN"/>
        </w:rPr>
        <w:t xml:space="preserve">  </w:t>
      </w:r>
      <w:r>
        <w:rPr>
          <w:rFonts w:hint="eastAsia" w:ascii="仿宋_GB2312" w:hAnsi="仿宋_GB2312" w:eastAsia="仿宋_GB2312"/>
          <w:color w:val="auto"/>
          <w:sz w:val="32"/>
          <w:szCs w:val="32"/>
        </w:rPr>
        <w:t>订立、变更、终止</w:t>
      </w:r>
      <w:r>
        <w:rPr>
          <w:rFonts w:hint="eastAsia" w:ascii="仿宋_GB2312" w:hAnsi="仿宋_GB2312" w:eastAsia="仿宋_GB2312" w:cs="仿宋_GB2312"/>
          <w:color w:val="auto"/>
          <w:sz w:val="32"/>
          <w:szCs w:val="32"/>
          <w:lang w:eastAsia="zh-CN"/>
        </w:rPr>
        <w:t>代建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代管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合同</w:t>
      </w:r>
      <w:r>
        <w:rPr>
          <w:rFonts w:hint="eastAsia" w:ascii="仿宋_GB2312" w:hAnsi="仿宋_GB2312" w:eastAsia="仿宋_GB2312"/>
          <w:color w:val="auto"/>
          <w:sz w:val="32"/>
          <w:szCs w:val="32"/>
          <w:lang w:val="en-US" w:eastAsia="zh-CN"/>
        </w:rPr>
        <w:t>5个工作日内</w:t>
      </w:r>
      <w:r>
        <w:rPr>
          <w:rFonts w:hint="eastAsia" w:ascii="仿宋_GB2312" w:hAnsi="仿宋_GB2312" w:eastAsia="仿宋_GB2312"/>
          <w:color w:val="auto"/>
          <w:sz w:val="32"/>
          <w:szCs w:val="32"/>
        </w:rPr>
        <w:t>，项目单位应当向所属</w:t>
      </w:r>
      <w:r>
        <w:rPr>
          <w:rFonts w:hint="eastAsia" w:ascii="仿宋_GB2312" w:hAnsi="仿宋_GB2312" w:eastAsia="仿宋_GB2312"/>
          <w:color w:val="auto"/>
          <w:sz w:val="32"/>
          <w:szCs w:val="32"/>
          <w:lang w:eastAsia="zh-CN"/>
        </w:rPr>
        <w:t>区级行业</w:t>
      </w:r>
      <w:r>
        <w:rPr>
          <w:rFonts w:hint="eastAsia" w:ascii="仿宋_GB2312" w:hAnsi="仿宋_GB2312" w:eastAsia="仿宋_GB2312"/>
          <w:color w:val="auto"/>
          <w:sz w:val="32"/>
          <w:szCs w:val="32"/>
        </w:rPr>
        <w:t>主管部门</w:t>
      </w:r>
      <w:r>
        <w:rPr>
          <w:rFonts w:hint="eastAsia" w:ascii="仿宋_GB2312" w:hAnsi="仿宋_GB2312" w:eastAsia="仿宋_GB2312"/>
          <w:color w:val="auto"/>
          <w:sz w:val="32"/>
          <w:szCs w:val="32"/>
          <w:lang w:eastAsia="zh-CN"/>
        </w:rPr>
        <w:t>及区</w:t>
      </w:r>
      <w:r>
        <w:rPr>
          <w:rFonts w:hint="eastAsia" w:ascii="仿宋_GB2312" w:hAnsi="仿宋_GB2312" w:eastAsia="仿宋_GB2312"/>
          <w:color w:val="auto"/>
          <w:sz w:val="32"/>
          <w:szCs w:val="32"/>
        </w:rPr>
        <w:t>投资主管部门</w:t>
      </w:r>
      <w:r>
        <w:rPr>
          <w:rFonts w:hint="eastAsia" w:ascii="仿宋_GB2312" w:hAnsi="仿宋_GB2312" w:eastAsia="仿宋_GB2312"/>
          <w:color w:val="auto"/>
          <w:sz w:val="32"/>
          <w:szCs w:val="32"/>
          <w:lang w:eastAsia="zh-CN"/>
        </w:rPr>
        <w:t>进行</w:t>
      </w:r>
      <w:r>
        <w:rPr>
          <w:rFonts w:hint="eastAsia" w:ascii="仿宋_GB2312" w:hAnsi="仿宋_GB2312" w:eastAsia="仿宋_GB2312"/>
          <w:color w:val="auto"/>
          <w:sz w:val="32"/>
          <w:szCs w:val="32"/>
        </w:rPr>
        <w:t>备案。</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二十五</w:t>
      </w:r>
      <w:r>
        <w:rPr>
          <w:rFonts w:hint="eastAsia" w:ascii="黑体" w:hAnsi="黑体" w:eastAsia="黑体" w:cs="黑体"/>
          <w:b w:val="0"/>
          <w:bCs w:val="0"/>
          <w:color w:val="auto"/>
          <w:spacing w:val="0"/>
          <w:w w:val="100"/>
          <w:sz w:val="32"/>
          <w:szCs w:val="32"/>
          <w:highlight w:val="none"/>
          <w:lang w:eastAsia="en-US"/>
        </w:rPr>
        <w:t>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z w:val="32"/>
          <w:szCs w:val="32"/>
        </w:rPr>
        <w:t>项目单位</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代建（</w:t>
      </w:r>
      <w:r>
        <w:rPr>
          <w:rFonts w:hint="eastAsia" w:ascii="仿宋_GB2312" w:hAnsi="仿宋_GB2312" w:eastAsia="仿宋_GB2312" w:cs="仿宋_GB2312"/>
          <w:color w:val="auto"/>
          <w:sz w:val="32"/>
          <w:szCs w:val="32"/>
        </w:rPr>
        <w:t>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合同对项目实施过程进行监督。项目单位的主要职责包括：</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（一）负责提出项目建设的规模、功能要求，</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rPr>
        <w:t>项目概念性方案设计，编制项目建议书</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可行性研究报告，</w:t>
      </w:r>
      <w:r>
        <w:rPr>
          <w:rFonts w:hint="eastAsia" w:ascii="仿宋_GB2312" w:hAnsi="仿宋_GB2312" w:eastAsia="仿宋_GB2312" w:cs="仿宋_GB2312"/>
          <w:color w:val="auto"/>
          <w:sz w:val="32"/>
          <w:szCs w:val="32"/>
          <w:lang w:eastAsia="zh-CN"/>
        </w:rPr>
        <w:t>报区长专题会进行项目审查，</w:t>
      </w:r>
      <w:r>
        <w:rPr>
          <w:rFonts w:hint="eastAsia" w:ascii="仿宋_GB2312" w:hAnsi="仿宋_GB2312" w:eastAsia="仿宋_GB2312" w:cs="仿宋_GB2312"/>
          <w:color w:val="auto"/>
          <w:sz w:val="32"/>
          <w:szCs w:val="32"/>
        </w:rPr>
        <w:t>并办理</w:t>
      </w:r>
      <w:r>
        <w:rPr>
          <w:rFonts w:hint="eastAsia" w:ascii="仿宋_GB2312" w:hAnsi="仿宋_GB2312" w:eastAsia="仿宋_GB2312" w:cs="仿宋_GB2312"/>
          <w:color w:val="auto"/>
          <w:sz w:val="32"/>
          <w:szCs w:val="32"/>
          <w:lang w:eastAsia="zh-CN"/>
        </w:rPr>
        <w:t>立项</w:t>
      </w:r>
      <w:r>
        <w:rPr>
          <w:rFonts w:hint="eastAsia" w:ascii="仿宋_GB2312" w:hAnsi="仿宋_GB2312" w:eastAsia="仿宋_GB2312" w:cs="仿宋_GB2312"/>
          <w:color w:val="auto"/>
          <w:sz w:val="32"/>
          <w:szCs w:val="32"/>
        </w:rPr>
        <w:t>报批</w:t>
      </w:r>
      <w:r>
        <w:rPr>
          <w:rFonts w:hint="eastAsia" w:ascii="仿宋_GB2312" w:hAnsi="仿宋_GB2312" w:eastAsia="仿宋_GB2312" w:cs="仿宋_GB2312"/>
          <w:color w:val="auto"/>
          <w:sz w:val="32"/>
          <w:szCs w:val="32"/>
          <w:lang w:eastAsia="zh-CN"/>
        </w:rPr>
        <w:t>或储备入库</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tabs>
          <w:tab w:val="left" w:pos="2420"/>
        </w:tabs>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（二）负责配合</w:t>
      </w:r>
      <w:r>
        <w:rPr>
          <w:rFonts w:hint="eastAsia" w:ascii="仿宋_GB2312" w:hAnsi="仿宋_GB2312" w:eastAsia="仿宋_GB2312" w:cs="仿宋_GB2312"/>
          <w:color w:val="auto"/>
          <w:sz w:val="32"/>
          <w:szCs w:val="32"/>
        </w:rPr>
        <w:t>完成征地拆迁、三电及管线迁改工作，确保项目建设用地在提交</w:t>
      </w:r>
      <w:r>
        <w:rPr>
          <w:rFonts w:hint="eastAsia" w:ascii="仿宋_GB2312" w:hAnsi="仿宋_GB2312" w:eastAsia="仿宋_GB2312" w:cs="仿宋_GB2312"/>
          <w:color w:val="auto"/>
          <w:sz w:val="32"/>
          <w:szCs w:val="32"/>
          <w:lang w:eastAsia="zh-CN"/>
        </w:rPr>
        <w:t>代建（</w:t>
      </w:r>
      <w:r>
        <w:rPr>
          <w:rFonts w:hint="eastAsia" w:ascii="仿宋_GB2312" w:hAnsi="仿宋_GB2312" w:eastAsia="仿宋_GB2312" w:cs="仿宋_GB2312"/>
          <w:color w:val="auto"/>
          <w:sz w:val="32"/>
          <w:szCs w:val="32"/>
        </w:rPr>
        <w:t>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前为合法合规且无争议的干净用地；</w:t>
      </w:r>
    </w:p>
    <w:p>
      <w:pPr>
        <w:keepNext w:val="0"/>
        <w:keepLines w:val="0"/>
        <w:pageBreakBefore w:val="0"/>
        <w:tabs>
          <w:tab w:val="left" w:pos="2420"/>
        </w:tabs>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（三）依法</w:t>
      </w:r>
      <w:r>
        <w:rPr>
          <w:rFonts w:hint="eastAsia" w:ascii="仿宋_GB2312" w:hAnsi="仿宋_GB2312" w:eastAsia="仿宋_GB2312" w:cs="仿宋_GB2312"/>
          <w:color w:val="auto"/>
          <w:sz w:val="32"/>
          <w:szCs w:val="32"/>
          <w:lang w:eastAsia="zh-CN"/>
        </w:rPr>
        <w:t>委托监理单位或</w:t>
      </w:r>
      <w:r>
        <w:rPr>
          <w:rFonts w:hint="eastAsia" w:ascii="仿宋_GB2312" w:hAnsi="仿宋_GB2312" w:eastAsia="仿宋_GB2312" w:cs="仿宋_GB2312"/>
          <w:color w:val="auto"/>
          <w:sz w:val="32"/>
          <w:szCs w:val="32"/>
        </w:rPr>
        <w:t>全过程造价咨询单位对建设项目的工程质量、进度、安全和投资等进行监督管理</w:t>
      </w:r>
      <w:r>
        <w:rPr>
          <w:rFonts w:hint="eastAsia" w:ascii="仿宋_GB2312" w:hAnsi="仿宋_GB2312" w:eastAsia="仿宋_GB2312" w:cs="仿宋_GB2312"/>
          <w:color w:val="auto"/>
          <w:sz w:val="32"/>
          <w:szCs w:val="32"/>
          <w:lang w:eastAsia="zh-CN"/>
        </w:rPr>
        <w:t>或造价咨询。</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rPr>
        <w:t>单位共同按有关规定依法依规选择工程监理单位</w:t>
      </w:r>
      <w:r>
        <w:rPr>
          <w:rFonts w:hint="eastAsia" w:ascii="仿宋_GB2312" w:hAnsi="仿宋_GB2312" w:eastAsia="仿宋_GB2312" w:cs="仿宋_GB2312"/>
          <w:color w:val="auto"/>
          <w:sz w:val="32"/>
          <w:szCs w:val="32"/>
          <w:lang w:eastAsia="zh-CN"/>
        </w:rPr>
        <w:t>或全过程造价咨询单位并</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双方或</w:t>
      </w:r>
      <w:r>
        <w:rPr>
          <w:rFonts w:hint="eastAsia" w:ascii="仿宋_GB2312" w:hAnsi="仿宋_GB2312" w:eastAsia="仿宋_GB2312" w:cs="仿宋_GB2312"/>
          <w:b w:val="0"/>
          <w:bCs w:val="0"/>
          <w:color w:val="auto"/>
          <w:sz w:val="32"/>
          <w:szCs w:val="32"/>
        </w:rPr>
        <w:t>三方</w:t>
      </w:r>
      <w:r>
        <w:rPr>
          <w:rFonts w:hint="eastAsia" w:ascii="仿宋_GB2312" w:hAnsi="仿宋_GB2312" w:eastAsia="仿宋_GB2312" w:cs="仿宋_GB2312"/>
          <w:color w:val="auto"/>
          <w:sz w:val="32"/>
          <w:szCs w:val="32"/>
        </w:rPr>
        <w:t>合同；</w:t>
      </w:r>
    </w:p>
    <w:p>
      <w:pPr>
        <w:keepNext w:val="0"/>
        <w:keepLines w:val="0"/>
        <w:pageBreakBefore w:val="0"/>
        <w:kinsoku/>
        <w:wordWrap/>
        <w:overflowPunct/>
        <w:topLinePunct w:val="0"/>
        <w:autoSpaceDE/>
        <w:autoSpaceDN/>
        <w:bidi w:val="0"/>
        <w:adjustRightInd/>
        <w:snapToGrid/>
        <w:spacing w:before="39" w:line="558" w:lineRule="exact"/>
        <w:ind w:right="152"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bCs w:val="0"/>
          <w:color w:val="auto"/>
          <w:spacing w:val="0"/>
          <w:w w:val="100"/>
          <w:sz w:val="32"/>
          <w:szCs w:val="32"/>
          <w:highlight w:val="none"/>
          <w:shd w:val="clear" w:color="auto" w:fill="auto"/>
        </w:rPr>
        <w:t>(四)</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按照</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）合同约定，</w:t>
      </w:r>
      <w:r>
        <w:rPr>
          <w:rFonts w:hint="eastAsia" w:ascii="仿宋_GB2312" w:hAnsi="仿宋_GB2312" w:eastAsia="仿宋_GB2312" w:cs="仿宋_GB2312"/>
          <w:b w:val="0"/>
          <w:bCs w:val="0"/>
          <w:color w:val="auto"/>
          <w:spacing w:val="0"/>
          <w:w w:val="100"/>
          <w:sz w:val="32"/>
          <w:szCs w:val="32"/>
          <w:highlight w:val="none"/>
          <w:shd w:val="clear" w:color="auto" w:fill="auto"/>
        </w:rPr>
        <w:t>委托</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单位在公共资源交易平台发布招标信息，依法进行项目工程以及与工程建设有关的服务、货物的招投标活动</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，并</w:t>
      </w:r>
      <w:r>
        <w:rPr>
          <w:rFonts w:hint="eastAsia" w:ascii="仿宋_GB2312" w:hAnsi="仿宋_GB2312" w:eastAsia="仿宋_GB2312" w:cs="仿宋_GB2312"/>
          <w:b w:val="0"/>
          <w:bCs w:val="0"/>
          <w:color w:val="auto"/>
          <w:spacing w:val="0"/>
          <w:w w:val="100"/>
          <w:sz w:val="32"/>
          <w:szCs w:val="32"/>
          <w:highlight w:val="none"/>
          <w:shd w:val="clear" w:color="auto" w:fill="auto"/>
        </w:rPr>
        <w:t>监督建设项目全过程的招标采购工作;</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五</w:t>
      </w:r>
      <w:r>
        <w:rPr>
          <w:rFonts w:hint="eastAsia" w:ascii="仿宋_GB2312" w:hAnsi="仿宋_GB2312" w:eastAsia="仿宋_GB2312" w:cs="仿宋_GB2312"/>
          <w:color w:val="auto"/>
          <w:sz w:val="32"/>
          <w:szCs w:val="32"/>
          <w:shd w:val="clear" w:color="auto" w:fill="auto"/>
        </w:rPr>
        <w:t>）审定</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单位各阶段工作方案、项目管理目标和主要工作计划，定期组织检查与考核，重点检查考核代管单位履约及合同执行情况；</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六</w:t>
      </w:r>
      <w:r>
        <w:rPr>
          <w:rFonts w:hint="eastAsia" w:ascii="仿宋_GB2312" w:hAnsi="仿宋_GB2312" w:eastAsia="仿宋_GB2312" w:cs="仿宋_GB2312"/>
          <w:color w:val="auto"/>
          <w:sz w:val="32"/>
          <w:szCs w:val="32"/>
          <w:shd w:val="clear" w:color="auto" w:fill="auto"/>
        </w:rPr>
        <w:t>）筹措和落实项目建设资金，及时按</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单位审核的款项及提出的用款申请</w:t>
      </w:r>
      <w:r>
        <w:rPr>
          <w:rFonts w:hint="eastAsia" w:ascii="仿宋_GB2312" w:hAnsi="仿宋_GB2312" w:eastAsia="仿宋_GB2312" w:cs="仿宋_GB2312"/>
          <w:color w:val="auto"/>
          <w:sz w:val="32"/>
          <w:szCs w:val="32"/>
          <w:shd w:val="clear" w:color="auto" w:fill="auto"/>
          <w:lang w:eastAsia="zh-CN"/>
        </w:rPr>
        <w:t>审核</w:t>
      </w:r>
      <w:r>
        <w:rPr>
          <w:rFonts w:hint="eastAsia" w:ascii="仿宋_GB2312" w:hAnsi="仿宋_GB2312" w:eastAsia="仿宋_GB2312" w:cs="仿宋_GB2312"/>
          <w:color w:val="auto"/>
          <w:sz w:val="32"/>
          <w:szCs w:val="32"/>
          <w:shd w:val="clear" w:color="auto" w:fill="auto"/>
        </w:rPr>
        <w:t>拨付工程建设各项费用款项</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（七）支持并配合代建（代管）单位完善各项前期手续；</w:t>
      </w:r>
      <w:r>
        <w:rPr>
          <w:rFonts w:hint="eastAsia" w:ascii="仿宋_GB2312" w:hAnsi="仿宋_GB2312" w:eastAsia="仿宋_GB2312" w:cs="仿宋_GB2312"/>
          <w:color w:val="auto"/>
          <w:sz w:val="32"/>
          <w:szCs w:val="32"/>
          <w:shd w:val="clear" w:color="auto" w:fill="auto"/>
        </w:rPr>
        <w:t>参与项目验收，配合竣工结算等</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负责项目财务决算工作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做好项目核销、权证办理和资料归档等作</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before="39" w:line="558" w:lineRule="exact"/>
        <w:ind w:right="152"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lang w:eastAsia="zh-CN"/>
        </w:rPr>
      </w:pPr>
      <w:r>
        <w:rPr>
          <w:rFonts w:hint="eastAsia" w:ascii="仿宋_GB2312" w:hAnsi="仿宋_GB2312" w:eastAsia="仿宋_GB2312" w:cs="仿宋_GB2312"/>
          <w:b w:val="0"/>
          <w:bCs w:val="0"/>
          <w:color w:val="auto"/>
          <w:spacing w:val="0"/>
          <w:w w:val="100"/>
          <w:sz w:val="32"/>
          <w:szCs w:val="32"/>
          <w:highlight w:val="none"/>
          <w:shd w:val="clear" w:color="auto" w:fill="auto"/>
        </w:rPr>
        <w:t>(</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八</w:t>
      </w:r>
      <w:r>
        <w:rPr>
          <w:rFonts w:hint="eastAsia" w:ascii="仿宋_GB2312" w:hAnsi="仿宋_GB2312" w:eastAsia="仿宋_GB2312" w:cs="仿宋_GB2312"/>
          <w:b w:val="0"/>
          <w:bCs w:val="0"/>
          <w:color w:val="auto"/>
          <w:spacing w:val="0"/>
          <w:w w:val="100"/>
          <w:sz w:val="32"/>
          <w:szCs w:val="32"/>
          <w:highlight w:val="none"/>
          <w:shd w:val="clear" w:color="auto" w:fill="auto"/>
        </w:rPr>
        <w:t>)</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负责</w:t>
      </w:r>
      <w:r>
        <w:rPr>
          <w:rFonts w:hint="eastAsia" w:ascii="仿宋_GB2312" w:hAnsi="仿宋_GB2312" w:eastAsia="仿宋_GB2312" w:cs="仿宋_GB2312"/>
          <w:b w:val="0"/>
          <w:bCs w:val="0"/>
          <w:color w:val="auto"/>
          <w:spacing w:val="0"/>
          <w:w w:val="100"/>
          <w:sz w:val="32"/>
          <w:szCs w:val="32"/>
          <w:highlight w:val="none"/>
          <w:shd w:val="clear" w:color="auto" w:fill="auto"/>
        </w:rPr>
        <w:t>监督</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项目的工程质量安全和施工进度，监督</w:t>
      </w:r>
      <w:r>
        <w:rPr>
          <w:rFonts w:hint="eastAsia" w:ascii="仿宋_GB2312" w:hAnsi="仿宋_GB2312" w:eastAsia="仿宋_GB2312" w:cs="仿宋_GB2312"/>
          <w:color w:val="auto"/>
          <w:sz w:val="32"/>
          <w:szCs w:val="32"/>
          <w:shd w:val="clear" w:color="auto" w:fill="auto"/>
          <w:lang w:eastAsia="zh-CN"/>
        </w:rPr>
        <w:t>代建（</w:t>
      </w:r>
      <w:r>
        <w:rPr>
          <w:rFonts w:hint="eastAsia" w:ascii="仿宋_GB2312" w:hAnsi="仿宋_GB2312" w:eastAsia="仿宋_GB2312" w:cs="仿宋_GB2312"/>
          <w:color w:val="auto"/>
          <w:sz w:val="32"/>
          <w:szCs w:val="32"/>
          <w:shd w:val="clear" w:color="auto" w:fill="auto"/>
        </w:rPr>
        <w:t>代管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单位对政府投资项目资金的使用情况</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（九）</w:t>
      </w:r>
      <w:r>
        <w:rPr>
          <w:rFonts w:hint="eastAsia" w:ascii="仿宋_GB2312" w:hAnsi="仿宋_GB2312" w:eastAsia="仿宋_GB2312" w:cs="仿宋_GB2312"/>
          <w:color w:val="auto"/>
          <w:sz w:val="32"/>
          <w:szCs w:val="32"/>
          <w:shd w:val="clear" w:color="auto" w:fill="auto"/>
        </w:rPr>
        <w:t>负责督促代管单位做好廉政风险防控工作</w:t>
      </w:r>
      <w:r>
        <w:rPr>
          <w:rFonts w:hint="eastAsia" w:ascii="仿宋_GB2312" w:hAnsi="仿宋_GB2312" w:eastAsia="仿宋_GB2312" w:cs="仿宋_GB2312"/>
          <w:color w:val="auto"/>
          <w:sz w:val="32"/>
          <w:szCs w:val="32"/>
          <w:shd w:val="clear" w:color="auto" w:fill="auto"/>
          <w:lang w:eastAsia="zh-CN"/>
        </w:rPr>
        <w:t>及</w:t>
      </w:r>
      <w:r>
        <w:rPr>
          <w:rFonts w:hint="eastAsia" w:ascii="仿宋_GB2312" w:hAnsi="仿宋_GB2312" w:eastAsia="仿宋_GB2312" w:cs="仿宋_GB2312"/>
          <w:color w:val="auto"/>
          <w:sz w:val="32"/>
          <w:szCs w:val="32"/>
          <w:shd w:val="clear" w:color="auto" w:fill="auto"/>
        </w:rPr>
        <w:t>其他法定职责。</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代建（</w:t>
      </w:r>
      <w:r>
        <w:rPr>
          <w:rFonts w:hint="eastAsia" w:ascii="仿宋_GB2312" w:hAnsi="仿宋_GB2312" w:eastAsia="仿宋_GB2312" w:cs="仿宋_GB2312"/>
          <w:color w:val="auto"/>
          <w:sz w:val="32"/>
          <w:szCs w:val="32"/>
        </w:rPr>
        <w:t>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color w:val="auto"/>
          <w:sz w:val="32"/>
          <w:szCs w:val="32"/>
        </w:rPr>
        <w:t>依据有关规定和合同约定开展建设项目管理工作。</w:t>
      </w:r>
      <w:r>
        <w:rPr>
          <w:rFonts w:hint="eastAsia" w:ascii="仿宋_GB2312" w:hAnsi="仿宋_GB2312" w:eastAsia="仿宋_GB2312" w:cs="仿宋_GB2312"/>
          <w:b w:val="0"/>
          <w:bCs w:val="0"/>
          <w:color w:val="auto"/>
          <w:spacing w:val="0"/>
          <w:w w:val="100"/>
          <w:sz w:val="32"/>
          <w:szCs w:val="32"/>
          <w:highlight w:val="none"/>
        </w:rPr>
        <w:t>必须严格执行国家规定的建设程序，遵守国家和本省有关投资项目管理的各项规定，严格按照合同约定及批准的内容实施。依照合同约定对代建项目的工期、投资控制、工程质量、安全生产等内容负责，履行以下相应职责：</w:t>
      </w:r>
    </w:p>
    <w:p>
      <w:pPr>
        <w:keepNext w:val="0"/>
        <w:keepLines w:val="0"/>
        <w:pageBreakBefore w:val="0"/>
        <w:kinsoku/>
        <w:wordWrap/>
        <w:overflowPunct/>
        <w:topLinePunct w:val="0"/>
        <w:autoSpaceDE/>
        <w:autoSpaceDN/>
        <w:bidi w:val="0"/>
        <w:adjustRightInd/>
        <w:snapToGrid/>
        <w:spacing w:before="39" w:line="558" w:lineRule="exact"/>
        <w:ind w:right="152" w:firstLine="320" w:firstLineChars="100"/>
        <w:jc w:val="both"/>
        <w:textAlignment w:val="auto"/>
        <w:rPr>
          <w:rFonts w:hint="eastAsia" w:ascii="仿宋_GB2312" w:hAnsi="仿宋_GB2312" w:eastAsia="仿宋_GB2312" w:cs="仿宋_GB2312"/>
          <w:color w:val="auto"/>
          <w:sz w:val="28"/>
          <w:szCs w:val="28"/>
          <w:shd w:val="clear" w:color="FFFFFF" w:fill="D9D9D9"/>
          <w:lang w:eastAsia="zh-CN"/>
        </w:rPr>
      </w:pPr>
      <w:r>
        <w:rPr>
          <w:rFonts w:hint="eastAsia" w:ascii="仿宋_GB2312" w:hAnsi="仿宋_GB2312" w:eastAsia="仿宋_GB2312" w:cs="仿宋_GB2312"/>
          <w:color w:val="auto"/>
          <w:sz w:val="32"/>
          <w:szCs w:val="32"/>
        </w:rPr>
        <w:t>（一）根据</w:t>
      </w:r>
      <w:r>
        <w:rPr>
          <w:rFonts w:hint="eastAsia" w:ascii="仿宋_GB2312" w:hAnsi="仿宋_GB2312" w:eastAsia="仿宋_GB2312" w:cs="仿宋_GB2312"/>
          <w:color w:val="auto"/>
          <w:sz w:val="32"/>
          <w:szCs w:val="32"/>
          <w:lang w:eastAsia="zh-CN"/>
        </w:rPr>
        <w:t>代建（</w:t>
      </w:r>
      <w:r>
        <w:rPr>
          <w:rFonts w:hint="eastAsia" w:ascii="仿宋_GB2312" w:hAnsi="仿宋_GB2312" w:eastAsia="仿宋_GB2312" w:cs="仿宋_GB2312"/>
          <w:color w:val="auto"/>
          <w:sz w:val="32"/>
          <w:szCs w:val="32"/>
        </w:rPr>
        <w:t>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合同约定，以项目单位</w:t>
      </w:r>
      <w:r>
        <w:rPr>
          <w:rFonts w:hint="eastAsia" w:ascii="仿宋_GB2312" w:hAnsi="仿宋_GB2312" w:eastAsia="仿宋_GB2312"/>
          <w:color w:val="auto"/>
          <w:sz w:val="32"/>
          <w:szCs w:val="32"/>
        </w:rPr>
        <w:t>名义</w:t>
      </w:r>
      <w:r>
        <w:rPr>
          <w:rFonts w:hint="eastAsia" w:ascii="仿宋_GB2312" w:hAnsi="仿宋_GB2312" w:eastAsia="仿宋_GB2312"/>
          <w:color w:val="auto"/>
          <w:sz w:val="32"/>
          <w:szCs w:val="32"/>
          <w:lang w:eastAsia="zh-CN"/>
        </w:rPr>
        <w:t>，负责</w:t>
      </w:r>
      <w:r>
        <w:rPr>
          <w:rFonts w:hint="eastAsia" w:ascii="仿宋_GB2312" w:hAnsi="仿宋_GB2312" w:eastAsia="仿宋_GB2312" w:cs="仿宋_GB2312"/>
          <w:color w:val="auto"/>
          <w:sz w:val="32"/>
          <w:szCs w:val="32"/>
        </w:rPr>
        <w:t>办理项目可行性研究报告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初步设计及概算</w:t>
      </w:r>
      <w:r>
        <w:rPr>
          <w:rFonts w:hint="eastAsia" w:ascii="仿宋_GB2312" w:hAnsi="仿宋_GB2312" w:eastAsia="仿宋_GB2312" w:cs="仿宋_GB2312"/>
          <w:color w:val="auto"/>
          <w:sz w:val="32"/>
          <w:szCs w:val="32"/>
          <w:lang w:eastAsia="zh-CN"/>
        </w:rPr>
        <w:t>、施工图、预算、环评、施工许可等</w:t>
      </w:r>
      <w:r>
        <w:rPr>
          <w:rFonts w:hint="eastAsia" w:ascii="仿宋_GB2312" w:hAnsi="仿宋_GB2312" w:eastAsia="仿宋_GB2312" w:cs="仿宋_GB2312"/>
          <w:color w:val="auto"/>
          <w:sz w:val="32"/>
          <w:szCs w:val="32"/>
        </w:rPr>
        <w:t>审批手续</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b w:val="0"/>
          <w:bCs w:val="0"/>
          <w:color w:val="auto"/>
          <w:spacing w:val="0"/>
          <w:w w:val="100"/>
          <w:sz w:val="32"/>
          <w:szCs w:val="32"/>
          <w:highlight w:val="none"/>
        </w:rPr>
        <w:t>核实施工设计内容和规模及预算是否超过批准建设的内容和规模及概算。</w:t>
      </w:r>
      <w:r>
        <w:rPr>
          <w:rFonts w:hint="eastAsia" w:ascii="仿宋_GB2312" w:hAnsi="仿宋_GB2312" w:eastAsia="仿宋_GB2312" w:cs="仿宋_GB2312"/>
          <w:color w:val="auto"/>
          <w:sz w:val="32"/>
          <w:szCs w:val="32"/>
        </w:rPr>
        <w:t>负责根据项目建设有关规定依法依规选择各项目参建单位</w:t>
      </w:r>
      <w:r>
        <w:rPr>
          <w:rFonts w:hint="eastAsia" w:ascii="仿宋_GB2312" w:hAnsi="仿宋_GB2312" w:eastAsia="仿宋_GB2312" w:cs="仿宋_GB2312"/>
          <w:color w:val="auto"/>
          <w:sz w:val="32"/>
          <w:szCs w:val="32"/>
          <w:lang w:eastAsia="zh-CN"/>
        </w:rPr>
        <w:t>（监理单位、全过程造价咨询单位除外）并在</w:t>
      </w:r>
      <w:r>
        <w:rPr>
          <w:rFonts w:hint="eastAsia" w:ascii="仿宋_GB2312" w:hAnsi="仿宋_GB2312" w:eastAsia="仿宋_GB2312" w:cs="仿宋_GB2312"/>
          <w:color w:val="auto"/>
          <w:sz w:val="32"/>
          <w:szCs w:val="32"/>
        </w:rPr>
        <w:t>签订合同</w:t>
      </w:r>
      <w:r>
        <w:rPr>
          <w:rFonts w:hint="eastAsia" w:ascii="仿宋_GB2312" w:hAnsi="仿宋_GB2312" w:eastAsia="仿宋_GB2312" w:cs="仿宋_GB2312"/>
          <w:color w:val="auto"/>
          <w:sz w:val="32"/>
          <w:szCs w:val="32"/>
          <w:lang w:eastAsia="zh-CN"/>
        </w:rPr>
        <w:t>后报项目单位备案。</w:t>
      </w:r>
    </w:p>
    <w:p>
      <w:pPr>
        <w:keepNext w:val="0"/>
        <w:keepLines w:val="0"/>
        <w:pageBreakBefore w:val="0"/>
        <w:kinsoku/>
        <w:wordWrap/>
        <w:overflowPunct/>
        <w:topLinePunct w:val="0"/>
        <w:autoSpaceDE/>
        <w:autoSpaceDN/>
        <w:bidi w:val="0"/>
        <w:adjustRightInd/>
        <w:snapToGrid/>
        <w:spacing w:before="39" w:line="558" w:lineRule="exact"/>
        <w:ind w:right="152"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）依法承担法律、法规和合同</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rPr>
        <w:t>的工程质量、进度、环保、安全和投资等管理责任。</w:t>
      </w:r>
      <w:r>
        <w:rPr>
          <w:rFonts w:hint="eastAsia" w:ascii="仿宋_GB2312" w:hAnsi="仿宋_GB2312" w:eastAsia="仿宋_GB2312" w:cs="仿宋_GB2312"/>
          <w:b w:val="0"/>
          <w:bCs w:val="0"/>
          <w:color w:val="auto"/>
          <w:spacing w:val="0"/>
          <w:w w:val="100"/>
          <w:sz w:val="32"/>
          <w:szCs w:val="32"/>
          <w:highlight w:val="none"/>
        </w:rPr>
        <w:t>协助做好安全文明生产工作</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color w:val="auto"/>
          <w:sz w:val="32"/>
          <w:szCs w:val="32"/>
        </w:rPr>
        <w:t>配合有关部门依法组织的检查、考核等，负责落实整改；</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三</w:t>
      </w:r>
      <w:r>
        <w:rPr>
          <w:rFonts w:hint="eastAsia" w:ascii="仿宋_GB2312" w:hAnsi="仿宋_GB2312" w:eastAsia="仿宋_GB2312"/>
          <w:color w:val="auto"/>
          <w:sz w:val="32"/>
          <w:szCs w:val="32"/>
        </w:rPr>
        <w:t>）</w:t>
      </w:r>
      <w:r>
        <w:rPr>
          <w:rFonts w:hint="eastAsia" w:ascii="仿宋_GB2312" w:hAnsi="仿宋_GB2312" w:eastAsia="仿宋_GB2312" w:cs="仿宋_GB2312"/>
          <w:color w:val="auto"/>
          <w:sz w:val="32"/>
          <w:szCs w:val="32"/>
        </w:rPr>
        <w:t>拟定项目</w:t>
      </w:r>
      <w:r>
        <w:rPr>
          <w:rFonts w:hint="eastAsia" w:ascii="仿宋_GB2312" w:hAnsi="仿宋_GB2312" w:eastAsia="仿宋_GB2312" w:cs="仿宋_GB2312"/>
          <w:color w:val="auto"/>
          <w:sz w:val="32"/>
          <w:szCs w:val="32"/>
          <w:lang w:eastAsia="zh-CN"/>
        </w:rPr>
        <w:t>代建（代管）方案，内容包括项目代建（代管）人员配备、</w:t>
      </w:r>
      <w:r>
        <w:rPr>
          <w:rFonts w:hint="eastAsia" w:ascii="仿宋_GB2312" w:hAnsi="仿宋_GB2312" w:eastAsia="仿宋_GB2312"/>
          <w:color w:val="auto"/>
          <w:sz w:val="32"/>
          <w:szCs w:val="32"/>
          <w:lang w:eastAsia="zh-CN"/>
        </w:rPr>
        <w:t>建设</w:t>
      </w:r>
      <w:r>
        <w:rPr>
          <w:rFonts w:hint="eastAsia" w:ascii="仿宋_GB2312" w:hAnsi="仿宋_GB2312" w:eastAsia="仿宋_GB2312"/>
          <w:color w:val="auto"/>
          <w:sz w:val="32"/>
          <w:szCs w:val="32"/>
        </w:rPr>
        <w:t>进度计划、资金使用计划、工程质量和安全保障措施等，并报经项目单位同意</w:t>
      </w:r>
      <w:r>
        <w:rPr>
          <w:rFonts w:hint="eastAsia" w:ascii="仿宋_GB2312" w:hAnsi="仿宋_GB2312" w:eastAsia="仿宋_GB2312"/>
          <w:color w:val="auto"/>
          <w:sz w:val="32"/>
          <w:szCs w:val="32"/>
          <w:lang w:eastAsia="zh-CN"/>
        </w:rPr>
        <w:t>后</w:t>
      </w:r>
      <w:r>
        <w:rPr>
          <w:rFonts w:hint="eastAsia" w:ascii="仿宋_GB2312" w:hAnsi="仿宋_GB2312" w:eastAsia="仿宋_GB2312" w:cs="仿宋_GB2312"/>
          <w:color w:val="auto"/>
          <w:sz w:val="32"/>
          <w:szCs w:val="32"/>
          <w:lang w:eastAsia="zh-CN"/>
        </w:rPr>
        <w:t>，可作为代建（代管）工作考核依据</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四</w:t>
      </w:r>
      <w:r>
        <w:rPr>
          <w:rFonts w:hint="eastAsia" w:ascii="仿宋_GB2312" w:hAnsi="仿宋_GB2312" w:eastAsia="仿宋_GB2312"/>
          <w:color w:val="auto"/>
          <w:sz w:val="32"/>
          <w:szCs w:val="32"/>
        </w:rPr>
        <w:t>）</w:t>
      </w:r>
      <w:r>
        <w:rPr>
          <w:rFonts w:hint="eastAsia" w:ascii="仿宋_GB2312" w:hAnsi="仿宋_GB2312" w:eastAsia="仿宋_GB2312" w:cs="仿宋_GB2312"/>
          <w:b w:val="0"/>
          <w:bCs w:val="0"/>
          <w:color w:val="auto"/>
          <w:spacing w:val="0"/>
          <w:w w:val="100"/>
          <w:sz w:val="32"/>
          <w:szCs w:val="32"/>
          <w:highlight w:val="none"/>
          <w:lang w:eastAsia="zh-CN"/>
        </w:rPr>
        <w:t>负责向项目单位</w:t>
      </w:r>
      <w:r>
        <w:rPr>
          <w:rFonts w:hint="eastAsia" w:ascii="仿宋_GB2312" w:hAnsi="仿宋_GB2312" w:eastAsia="仿宋_GB2312" w:cs="仿宋_GB2312"/>
          <w:b w:val="0"/>
          <w:bCs w:val="0"/>
          <w:color w:val="auto"/>
          <w:spacing w:val="0"/>
          <w:w w:val="100"/>
          <w:sz w:val="32"/>
          <w:szCs w:val="32"/>
          <w:highlight w:val="none"/>
        </w:rPr>
        <w:t>提出项目用款拨付申请</w:t>
      </w:r>
      <w:r>
        <w:rPr>
          <w:rFonts w:hint="eastAsia" w:ascii="仿宋_GB2312" w:hAnsi="仿宋_GB2312" w:eastAsia="仿宋_GB2312" w:cs="仿宋_GB2312"/>
          <w:b w:val="0"/>
          <w:bCs w:val="0"/>
          <w:color w:val="auto"/>
          <w:spacing w:val="0"/>
          <w:w w:val="100"/>
          <w:sz w:val="32"/>
          <w:szCs w:val="32"/>
          <w:highlight w:val="none"/>
          <w:lang w:eastAsia="zh-CN"/>
        </w:rPr>
        <w:t>，并</w:t>
      </w:r>
      <w:r>
        <w:rPr>
          <w:rFonts w:hint="eastAsia" w:ascii="仿宋_GB2312" w:hAnsi="仿宋_GB2312" w:eastAsia="仿宋_GB2312" w:cs="仿宋_GB2312"/>
          <w:b w:val="0"/>
          <w:bCs w:val="0"/>
          <w:color w:val="auto"/>
          <w:spacing w:val="0"/>
          <w:w w:val="100"/>
          <w:sz w:val="32"/>
          <w:szCs w:val="32"/>
          <w:highlight w:val="none"/>
        </w:rPr>
        <w:t>根据有关合同办理相关款项的支付工作</w:t>
      </w:r>
      <w:r>
        <w:rPr>
          <w:rFonts w:hint="eastAsia" w:ascii="仿宋_GB2312" w:hAnsi="仿宋_GB2312" w:eastAsia="仿宋_GB2312" w:cs="仿宋_GB2312"/>
          <w:b w:val="0"/>
          <w:bCs w:val="0"/>
          <w:color w:val="auto"/>
          <w:spacing w:val="0"/>
          <w:w w:val="100"/>
          <w:sz w:val="32"/>
          <w:szCs w:val="32"/>
          <w:highlight w:val="none"/>
          <w:lang w:eastAsia="zh-CN"/>
        </w:rPr>
        <w:t>；负责</w:t>
      </w:r>
      <w:r>
        <w:rPr>
          <w:rFonts w:hint="eastAsia" w:ascii="仿宋_GB2312" w:hAnsi="仿宋_GB2312" w:eastAsia="仿宋_GB2312"/>
          <w:color w:val="auto"/>
          <w:sz w:val="32"/>
          <w:szCs w:val="32"/>
        </w:rPr>
        <w:t>按照相关规定向项目单位提出项目建设中出现的重大变更及概算调整建议，</w:t>
      </w:r>
      <w:r>
        <w:rPr>
          <w:rFonts w:hint="eastAsia" w:ascii="仿宋_GB2312" w:hAnsi="仿宋_GB2312" w:eastAsia="仿宋_GB2312"/>
          <w:color w:val="auto"/>
          <w:sz w:val="32"/>
          <w:szCs w:val="32"/>
          <w:shd w:val="clear" w:color="auto" w:fill="auto"/>
          <w:lang w:eastAsia="zh-CN"/>
        </w:rPr>
        <w:t>协助</w:t>
      </w:r>
      <w:r>
        <w:rPr>
          <w:rFonts w:hint="eastAsia" w:ascii="仿宋_GB2312" w:hAnsi="仿宋_GB2312" w:eastAsia="仿宋_GB2312"/>
          <w:color w:val="auto"/>
          <w:sz w:val="32"/>
          <w:szCs w:val="32"/>
        </w:rPr>
        <w:t>项目单位按照相关审批调整程序履行报批手续；</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五</w:t>
      </w:r>
      <w:r>
        <w:rPr>
          <w:rFonts w:hint="eastAsia" w:ascii="仿宋_GB2312" w:hAnsi="仿宋_GB2312" w:eastAsia="仿宋_GB2312"/>
          <w:color w:val="auto"/>
          <w:sz w:val="32"/>
          <w:szCs w:val="32"/>
        </w:rPr>
        <w:t>）落实企业责任。</w:t>
      </w:r>
      <w:r>
        <w:rPr>
          <w:rFonts w:hint="eastAsia" w:ascii="仿宋_GB2312" w:hAnsi="仿宋_GB2312" w:eastAsia="仿宋_GB2312" w:cstheme="minorBidi"/>
          <w:color w:val="auto"/>
          <w:kern w:val="0"/>
          <w:sz w:val="32"/>
          <w:szCs w:val="32"/>
          <w:lang w:val="en-US" w:eastAsia="en-US" w:bidi="ar-SA"/>
        </w:rPr>
        <w:t>不得擅自调整建设内容、建设规模、建设标准及代建</w:t>
      </w:r>
      <w:r>
        <w:rPr>
          <w:rFonts w:hint="eastAsia" w:ascii="仿宋_GB2312" w:hAnsi="仿宋_GB2312" w:eastAsia="仿宋_GB2312" w:cstheme="minorBidi"/>
          <w:color w:val="auto"/>
          <w:kern w:val="0"/>
          <w:sz w:val="32"/>
          <w:szCs w:val="32"/>
          <w:lang w:val="en-US" w:eastAsia="zh-CN" w:bidi="ar-SA"/>
        </w:rPr>
        <w:t>（代管）</w:t>
      </w:r>
      <w:r>
        <w:rPr>
          <w:rFonts w:hint="eastAsia" w:ascii="仿宋_GB2312" w:hAnsi="仿宋_GB2312" w:eastAsia="仿宋_GB2312" w:cstheme="minorBidi"/>
          <w:color w:val="auto"/>
          <w:kern w:val="0"/>
          <w:sz w:val="32"/>
          <w:szCs w:val="32"/>
          <w:lang w:val="en-US" w:eastAsia="en-US" w:bidi="ar-SA"/>
        </w:rPr>
        <w:t>管理目标;</w:t>
      </w:r>
      <w:r>
        <w:rPr>
          <w:rFonts w:hint="eastAsia" w:ascii="仿宋_GB2312" w:hAnsi="仿宋_GB2312" w:eastAsia="仿宋_GB2312"/>
          <w:color w:val="auto"/>
          <w:sz w:val="32"/>
          <w:szCs w:val="32"/>
        </w:rPr>
        <w:t>依法依规开展招投标活动，不得设置不合理条件限制或排斥投标人或潜在投标人；对在招标活动中存在违法行为的直接责任人应严肃处理，涉及监察对象的违法行为应向纪委监委移交，涉及招标人与投标人串通损害国家利益的问题应主动向公安机关报案；加强合同管理，同时配合住建部门落实人员实名制信息化管理，确保施工、监理单位人员按合同约定到岗履职。</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s="仿宋_GB2312"/>
          <w:b w:val="0"/>
          <w:bCs w:val="0"/>
          <w:color w:val="auto"/>
          <w:spacing w:val="0"/>
          <w:w w:val="100"/>
          <w:sz w:val="32"/>
          <w:szCs w:val="32"/>
          <w:highlight w:val="none"/>
          <w:lang w:eastAsia="zh-CN"/>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六</w:t>
      </w:r>
      <w:r>
        <w:rPr>
          <w:rFonts w:hint="eastAsia" w:ascii="仿宋_GB2312" w:hAnsi="仿宋_GB2312" w:eastAsia="仿宋_GB2312"/>
          <w:color w:val="auto"/>
          <w:sz w:val="32"/>
          <w:szCs w:val="32"/>
        </w:rPr>
        <w:t>）</w:t>
      </w:r>
      <w:r>
        <w:rPr>
          <w:rFonts w:hint="eastAsia" w:ascii="仿宋_GB2312" w:hAnsi="仿宋_GB2312" w:eastAsia="仿宋_GB2312" w:cs="仿宋_GB2312"/>
          <w:b w:val="0"/>
          <w:bCs w:val="0"/>
          <w:color w:val="auto"/>
          <w:spacing w:val="0"/>
          <w:w w:val="100"/>
          <w:sz w:val="32"/>
          <w:szCs w:val="32"/>
          <w:highlight w:val="none"/>
          <w:lang w:eastAsia="zh-CN"/>
        </w:rPr>
        <w:t>负责</w:t>
      </w:r>
      <w:r>
        <w:rPr>
          <w:rFonts w:hint="eastAsia" w:ascii="仿宋_GB2312" w:hAnsi="仿宋_GB2312" w:eastAsia="仿宋_GB2312"/>
          <w:color w:val="auto"/>
          <w:sz w:val="32"/>
          <w:szCs w:val="32"/>
        </w:rPr>
        <w:t>组织工程验收，负责竣工结算，协助编制项目财务决算，应当在合同约定时间内及时办理竣工备案。</w:t>
      </w:r>
      <w:r>
        <w:rPr>
          <w:rFonts w:hint="eastAsia" w:ascii="仿宋_GB2312" w:hAnsi="仿宋_GB2312" w:eastAsia="仿宋_GB2312" w:cs="仿宋_GB2312"/>
          <w:b w:val="0"/>
          <w:bCs w:val="0"/>
          <w:color w:val="auto"/>
          <w:spacing w:val="0"/>
          <w:w w:val="100"/>
          <w:sz w:val="32"/>
          <w:szCs w:val="32"/>
          <w:highlight w:val="none"/>
        </w:rPr>
        <w:t>组织项目移交手续</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olor w:val="auto"/>
          <w:sz w:val="32"/>
          <w:szCs w:val="32"/>
        </w:rPr>
        <w:t>承担项目档案及有关技术资料的收集、整理、归档等工作，组织有关单位编制竣工文件；</w:t>
      </w:r>
      <w:r>
        <w:rPr>
          <w:rFonts w:hint="eastAsia" w:ascii="仿宋_GB2312" w:hAnsi="仿宋_GB2312" w:eastAsia="仿宋_GB2312" w:cs="仿宋_GB2312"/>
          <w:b w:val="0"/>
          <w:bCs w:val="0"/>
          <w:color w:val="auto"/>
          <w:spacing w:val="0"/>
          <w:w w:val="100"/>
          <w:sz w:val="32"/>
          <w:szCs w:val="32"/>
          <w:highlight w:val="none"/>
        </w:rPr>
        <w:t>做好项目核销、资产入账、权证办理和资料归档等工作</w:t>
      </w:r>
      <w:r>
        <w:rPr>
          <w:rFonts w:hint="eastAsia" w:ascii="仿宋_GB2312" w:hAnsi="仿宋_GB2312" w:eastAsia="仿宋_GB2312" w:cs="仿宋_GB2312"/>
          <w:b w:val="0"/>
          <w:bCs w:val="0"/>
          <w:color w:val="auto"/>
          <w:spacing w:val="0"/>
          <w:w w:val="1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七</w:t>
      </w:r>
      <w:r>
        <w:rPr>
          <w:rFonts w:hint="eastAsia" w:ascii="仿宋_GB2312" w:hAnsi="仿宋_GB2312" w:eastAsia="仿宋_GB2312"/>
          <w:color w:val="auto"/>
          <w:sz w:val="32"/>
          <w:szCs w:val="32"/>
        </w:rPr>
        <w:t>）负责工程质量问题的处理，依法承担相应职责；负责项目缺陷责任期及保修期内维修保养的各项管理事务，其中缺陷责任期内的费用由施工单位负责，缺陷责任期外的费用由责任方（使用单位或施工单位）负责；与建设、施工等参建单位共同承担工程质量终身责任；</w:t>
      </w:r>
    </w:p>
    <w:p>
      <w:pPr>
        <w:keepNext w:val="0"/>
        <w:keepLines w:val="0"/>
        <w:pageBreakBefore w:val="0"/>
        <w:kinsoku/>
        <w:wordWrap/>
        <w:overflowPunct/>
        <w:topLinePunct w:val="0"/>
        <w:autoSpaceDE/>
        <w:autoSpaceDN/>
        <w:bidi w:val="0"/>
        <w:adjustRightInd/>
        <w:snapToGrid/>
        <w:spacing w:beforeLines="0" w:afterLines="0" w:line="558"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八</w:t>
      </w:r>
      <w:r>
        <w:rPr>
          <w:rFonts w:hint="eastAsia" w:ascii="仿宋_GB2312" w:hAnsi="仿宋_GB2312" w:eastAsia="仿宋_GB2312"/>
          <w:color w:val="auto"/>
          <w:sz w:val="32"/>
          <w:szCs w:val="32"/>
        </w:rPr>
        <w:t>）在履行合同期间，应当配合政府建设项目推进行动以及相关活动，</w:t>
      </w:r>
      <w:r>
        <w:rPr>
          <w:rFonts w:hint="eastAsia" w:ascii="仿宋_GB2312" w:hAnsi="仿宋_GB2312" w:eastAsia="仿宋_GB2312" w:cs="仿宋_GB2312"/>
          <w:b w:val="0"/>
          <w:bCs w:val="0"/>
          <w:color w:val="auto"/>
          <w:spacing w:val="0"/>
          <w:w w:val="100"/>
          <w:sz w:val="32"/>
          <w:szCs w:val="32"/>
          <w:highlight w:val="none"/>
        </w:rPr>
        <w:t>定期向项目单位报送项目工程进度、资金使用和投资控制情况</w:t>
      </w:r>
      <w:r>
        <w:rPr>
          <w:rFonts w:hint="eastAsia" w:ascii="仿宋_GB2312" w:hAnsi="仿宋_GB2312" w:eastAsia="仿宋_GB2312"/>
          <w:color w:val="auto"/>
          <w:sz w:val="32"/>
          <w:szCs w:val="32"/>
        </w:rPr>
        <w:t>。建立健全廉政工作机制，</w:t>
      </w:r>
      <w:r>
        <w:rPr>
          <w:rFonts w:hint="eastAsia" w:ascii="仿宋_GB2312" w:hAnsi="仿宋_GB2312" w:eastAsia="仿宋_GB2312"/>
          <w:color w:val="auto"/>
          <w:sz w:val="32"/>
          <w:szCs w:val="32"/>
          <w:lang w:eastAsia="zh-CN"/>
        </w:rPr>
        <w:t>并履行</w:t>
      </w:r>
      <w:r>
        <w:rPr>
          <w:rFonts w:hint="eastAsia" w:ascii="仿宋_GB2312" w:hAnsi="仿宋_GB2312" w:eastAsia="仿宋_GB2312"/>
          <w:color w:val="auto"/>
          <w:sz w:val="32"/>
          <w:szCs w:val="32"/>
        </w:rPr>
        <w:t>合同约定的其他职责。</w:t>
      </w:r>
    </w:p>
    <w:p>
      <w:pPr>
        <w:pStyle w:val="15"/>
        <w:keepNext w:val="0"/>
        <w:keepLines w:val="0"/>
        <w:pageBreakBefore w:val="0"/>
        <w:numPr>
          <w:ilvl w:val="-1"/>
          <w:numId w:val="0"/>
        </w:numPr>
        <w:kinsoku/>
        <w:wordWrap/>
        <w:overflowPunct/>
        <w:topLinePunct w:val="0"/>
        <w:autoSpaceDE/>
        <w:autoSpaceDN/>
        <w:bidi w:val="0"/>
        <w:adjustRightInd/>
        <w:snapToGrid/>
        <w:spacing w:line="558" w:lineRule="exact"/>
        <w:ind w:left="0" w:leftChars="0" w:firstLine="640" w:firstLineChars="0"/>
        <w:textAlignment w:val="auto"/>
        <w:rPr>
          <w:rFonts w:hint="default" w:ascii="Times New Roman" w:hAnsi="Times New Roman" w:eastAsia="仿宋_GB2312"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第二十七条</w:t>
      </w:r>
      <w:r>
        <w:rPr>
          <w:rFonts w:hint="default" w:ascii="Times New Roman" w:hAnsi="Times New Roman" w:eastAsia="仿宋"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建安工程概算投资额在</w:t>
      </w: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val="en-US" w:eastAsia="zh-CN"/>
        </w:rPr>
        <w:t>00</w:t>
      </w:r>
      <w:r>
        <w:rPr>
          <w:rFonts w:hint="default" w:ascii="Times New Roman" w:hAnsi="Times New Roman" w:eastAsia="仿宋_GB2312" w:cs="Times New Roman"/>
          <w:color w:val="auto"/>
          <w:sz w:val="32"/>
          <w:szCs w:val="32"/>
          <w:highlight w:val="none"/>
          <w:shd w:val="clear" w:color="auto" w:fill="FFFFFF"/>
        </w:rPr>
        <w:t>万元以上（含）的政府投资项目</w:t>
      </w:r>
      <w:r>
        <w:rPr>
          <w:rFonts w:hint="eastAsia" w:ascii="Times New Roman" w:hAnsi="Times New Roman" w:eastAsia="仿宋_GB2312" w:cs="Times New Roman"/>
          <w:color w:val="auto"/>
          <w:sz w:val="32"/>
          <w:szCs w:val="32"/>
          <w:highlight w:val="none"/>
          <w:shd w:val="clear" w:color="auto" w:fill="FFFFFF"/>
          <w:lang w:eastAsia="zh-CN"/>
        </w:rPr>
        <w:t>原则上都应</w:t>
      </w:r>
      <w:r>
        <w:rPr>
          <w:rFonts w:hint="default" w:ascii="Times New Roman" w:hAnsi="Times New Roman" w:eastAsia="仿宋_GB2312" w:cs="Times New Roman"/>
          <w:color w:val="auto"/>
          <w:sz w:val="32"/>
          <w:szCs w:val="32"/>
          <w:highlight w:val="none"/>
          <w:shd w:val="clear" w:color="auto" w:fill="FFFFFF"/>
        </w:rPr>
        <w:t>实行</w:t>
      </w:r>
      <w:r>
        <w:rPr>
          <w:rFonts w:hint="eastAsia" w:ascii="仿宋_GB2312" w:hAnsi="仿宋_GB2312" w:eastAsia="仿宋_GB2312" w:cs="仿宋_GB2312"/>
          <w:b w:val="0"/>
          <w:bCs w:val="0"/>
          <w:color w:val="auto"/>
          <w:spacing w:val="0"/>
          <w:w w:val="100"/>
          <w:sz w:val="32"/>
          <w:szCs w:val="32"/>
          <w:highlight w:val="none"/>
          <w:lang w:val="en-US" w:eastAsia="zh-CN"/>
        </w:rPr>
        <w:t>代建（代管）</w:t>
      </w:r>
      <w:r>
        <w:rPr>
          <w:rFonts w:hint="default" w:ascii="Times New Roman" w:hAnsi="Times New Roman" w:eastAsia="仿宋_GB2312" w:cs="Times New Roman"/>
          <w:color w:val="auto"/>
          <w:sz w:val="32"/>
          <w:szCs w:val="32"/>
          <w:highlight w:val="none"/>
          <w:shd w:val="clear" w:color="auto" w:fill="FFFFFF"/>
        </w:rPr>
        <w:t>制，</w:t>
      </w:r>
      <w:r>
        <w:rPr>
          <w:rFonts w:hint="eastAsia" w:ascii="Times New Roman" w:hAnsi="Times New Roman" w:eastAsia="仿宋_GB2312" w:cs="Times New Roman"/>
          <w:color w:val="auto"/>
          <w:sz w:val="32"/>
          <w:szCs w:val="32"/>
          <w:highlight w:val="none"/>
          <w:shd w:val="clear" w:color="auto" w:fill="FFFFFF"/>
          <w:lang w:eastAsia="zh-CN"/>
        </w:rPr>
        <w:t>但</w:t>
      </w:r>
      <w:r>
        <w:rPr>
          <w:rFonts w:hint="default" w:ascii="Times New Roman" w:hAnsi="Times New Roman" w:eastAsia="仿宋_GB2312" w:cs="Times New Roman"/>
          <w:color w:val="auto"/>
          <w:sz w:val="32"/>
          <w:szCs w:val="32"/>
          <w:highlight w:val="none"/>
          <w:shd w:val="clear" w:color="auto" w:fill="FFFFFF"/>
        </w:rPr>
        <w:t>有下列情形之一的可不实行</w:t>
      </w:r>
      <w:r>
        <w:rPr>
          <w:rFonts w:hint="eastAsia" w:ascii="仿宋_GB2312" w:hAnsi="仿宋_GB2312" w:eastAsia="仿宋_GB2312" w:cs="仿宋_GB2312"/>
          <w:b w:val="0"/>
          <w:bCs w:val="0"/>
          <w:color w:val="auto"/>
          <w:spacing w:val="0"/>
          <w:w w:val="100"/>
          <w:sz w:val="32"/>
          <w:szCs w:val="32"/>
          <w:highlight w:val="none"/>
          <w:lang w:val="en-US" w:eastAsia="zh-CN"/>
        </w:rPr>
        <w:t>代建（代管）</w:t>
      </w:r>
      <w:r>
        <w:rPr>
          <w:rFonts w:hint="default" w:ascii="Times New Roman" w:hAnsi="Times New Roman" w:eastAsia="仿宋_GB2312" w:cs="Times New Roman"/>
          <w:color w:val="auto"/>
          <w:sz w:val="32"/>
          <w:szCs w:val="32"/>
          <w:highlight w:val="none"/>
          <w:shd w:val="clear" w:color="auto" w:fill="FFFFFF"/>
        </w:rPr>
        <w:t>制：</w:t>
      </w:r>
    </w:p>
    <w:p>
      <w:pPr>
        <w:keepNext w:val="0"/>
        <w:keepLines w:val="0"/>
        <w:pageBreakBefore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（一）区</w:t>
      </w:r>
      <w:r>
        <w:rPr>
          <w:rFonts w:hint="default" w:ascii="Times New Roman" w:hAnsi="Times New Roman" w:eastAsia="仿宋_GB2312" w:cs="Times New Roman"/>
          <w:color w:val="auto"/>
          <w:sz w:val="32"/>
          <w:szCs w:val="32"/>
          <w:highlight w:val="none"/>
          <w:shd w:val="clear" w:color="auto" w:fill="FFFFFF"/>
        </w:rPr>
        <w:t>住房</w:t>
      </w:r>
      <w:r>
        <w:rPr>
          <w:rFonts w:hint="eastAsia" w:ascii="Times New Roman" w:hAnsi="Times New Roman" w:eastAsia="仿宋_GB2312" w:cs="Times New Roman"/>
          <w:color w:val="auto"/>
          <w:sz w:val="32"/>
          <w:szCs w:val="32"/>
          <w:highlight w:val="none"/>
          <w:shd w:val="clear" w:color="auto" w:fill="FFFFFF"/>
          <w:lang w:eastAsia="zh-CN"/>
        </w:rPr>
        <w:t>和</w:t>
      </w:r>
      <w:r>
        <w:rPr>
          <w:rFonts w:hint="default" w:ascii="Times New Roman" w:hAnsi="Times New Roman" w:eastAsia="仿宋_GB2312" w:cs="Times New Roman"/>
          <w:color w:val="auto"/>
          <w:sz w:val="32"/>
          <w:szCs w:val="32"/>
          <w:highlight w:val="none"/>
          <w:shd w:val="clear" w:color="auto" w:fill="FFFFFF"/>
        </w:rPr>
        <w:t>城乡建设局、</w:t>
      </w:r>
      <w:r>
        <w:rPr>
          <w:rFonts w:hint="eastAsia" w:ascii="Times New Roman" w:hAnsi="Times New Roman" w:eastAsia="仿宋_GB2312" w:cs="Times New Roman"/>
          <w:color w:val="auto"/>
          <w:sz w:val="32"/>
          <w:szCs w:val="32"/>
          <w:highlight w:val="none"/>
          <w:shd w:val="clear" w:color="auto" w:fill="FFFFFF"/>
          <w:lang w:eastAsia="zh-CN"/>
        </w:rPr>
        <w:t>区农业农村</w:t>
      </w:r>
      <w:r>
        <w:rPr>
          <w:rFonts w:hint="default" w:ascii="Times New Roman" w:hAnsi="Times New Roman" w:eastAsia="仿宋_GB2312" w:cs="Times New Roman"/>
          <w:color w:val="auto"/>
          <w:sz w:val="32"/>
          <w:szCs w:val="32"/>
          <w:highlight w:val="none"/>
          <w:shd w:val="clear" w:color="auto" w:fill="FFFFFF"/>
        </w:rPr>
        <w:t>局等具有工程建设项目管理能力</w:t>
      </w:r>
      <w:r>
        <w:rPr>
          <w:rFonts w:hint="default" w:ascii="Times New Roman" w:hAnsi="Times New Roman" w:eastAsia="仿宋_GB2312" w:cs="Times New Roman"/>
          <w:color w:val="auto"/>
          <w:sz w:val="32"/>
          <w:szCs w:val="32"/>
          <w:highlight w:val="none"/>
          <w:shd w:val="clear" w:color="auto" w:fill="FFFFFF"/>
          <w:lang w:eastAsia="zh-CN"/>
        </w:rPr>
        <w:t>的</w:t>
      </w:r>
      <w:r>
        <w:rPr>
          <w:rFonts w:hint="default" w:ascii="Times New Roman" w:hAnsi="Times New Roman" w:eastAsia="仿宋_GB2312" w:cs="Times New Roman"/>
          <w:color w:val="auto"/>
          <w:sz w:val="32"/>
          <w:szCs w:val="32"/>
          <w:highlight w:val="none"/>
          <w:shd w:val="clear" w:color="auto" w:fill="FFFFFF"/>
        </w:rPr>
        <w:t>单位建设的概算</w:t>
      </w:r>
      <w:r>
        <w:rPr>
          <w:rFonts w:hint="eastAsia" w:ascii="Times New Roman" w:hAnsi="Times New Roman" w:eastAsia="仿宋_GB2312" w:cs="Times New Roman"/>
          <w:color w:val="auto"/>
          <w:sz w:val="32"/>
          <w:szCs w:val="32"/>
          <w:highlight w:val="none"/>
          <w:shd w:val="clear" w:color="auto" w:fill="FFFFFF"/>
          <w:lang w:eastAsia="zh-CN"/>
        </w:rPr>
        <w:t>建安</w:t>
      </w:r>
      <w:r>
        <w:rPr>
          <w:rFonts w:hint="default" w:ascii="Times New Roman" w:hAnsi="Times New Roman" w:eastAsia="仿宋_GB2312" w:cs="Times New Roman"/>
          <w:color w:val="auto"/>
          <w:sz w:val="32"/>
          <w:szCs w:val="32"/>
          <w:highlight w:val="none"/>
          <w:shd w:val="clear" w:color="auto" w:fill="FFFFFF"/>
        </w:rPr>
        <w:t>投资额在</w:t>
      </w:r>
      <w:r>
        <w:rPr>
          <w:rFonts w:hint="eastAsia" w:ascii="Times New Roman" w:hAnsi="Times New Roman" w:eastAsia="仿宋_GB2312" w:cs="Times New Roman"/>
          <w:color w:val="auto"/>
          <w:sz w:val="32"/>
          <w:szCs w:val="32"/>
          <w:highlight w:val="none"/>
          <w:shd w:val="clear" w:color="auto" w:fill="FFFFFF"/>
          <w:lang w:val="en-US" w:eastAsia="zh-CN"/>
        </w:rPr>
        <w:t>1000万</w:t>
      </w:r>
      <w:r>
        <w:rPr>
          <w:rFonts w:hint="default" w:ascii="Times New Roman" w:hAnsi="Times New Roman" w:eastAsia="仿宋_GB2312" w:cs="Times New Roman"/>
          <w:color w:val="auto"/>
          <w:sz w:val="32"/>
          <w:szCs w:val="32"/>
          <w:highlight w:val="none"/>
          <w:shd w:val="clear" w:color="auto" w:fill="FFFFFF"/>
        </w:rPr>
        <w:t>元</w:t>
      </w:r>
      <w:r>
        <w:rPr>
          <w:rFonts w:hint="eastAsia" w:ascii="Times New Roman" w:hAnsi="Times New Roman" w:eastAsia="仿宋_GB2312" w:cs="Times New Roman"/>
          <w:color w:val="auto"/>
          <w:sz w:val="32"/>
          <w:szCs w:val="32"/>
          <w:highlight w:val="none"/>
          <w:shd w:val="clear" w:color="auto" w:fill="FFFFFF"/>
          <w:lang w:eastAsia="zh-CN"/>
        </w:rPr>
        <w:t>以下（市为建安费</w:t>
      </w:r>
      <w:r>
        <w:rPr>
          <w:rFonts w:hint="eastAsia" w:ascii="Times New Roman" w:hAnsi="Times New Roman" w:eastAsia="仿宋_GB2312" w:cs="Times New Roman"/>
          <w:color w:val="auto"/>
          <w:sz w:val="32"/>
          <w:szCs w:val="32"/>
          <w:highlight w:val="none"/>
          <w:shd w:val="clear" w:color="auto" w:fill="FFFFFF"/>
          <w:lang w:val="en-US" w:eastAsia="zh-CN"/>
        </w:rPr>
        <w:t>5亿元</w:t>
      </w:r>
      <w:r>
        <w:rPr>
          <w:rFonts w:hint="default" w:ascii="Times New Roman" w:hAnsi="Times New Roman" w:eastAsia="仿宋_GB2312" w:cs="Times New Roman"/>
          <w:color w:val="auto"/>
          <w:sz w:val="32"/>
          <w:szCs w:val="32"/>
          <w:highlight w:val="none"/>
          <w:shd w:val="clear" w:color="auto" w:fill="FFFFFF"/>
        </w:rPr>
        <w:t>以下</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的项目</w:t>
      </w:r>
      <w:r>
        <w:rPr>
          <w:rFonts w:hint="eastAsia" w:ascii="Times New Roman" w:hAnsi="Times New Roman" w:eastAsia="仿宋_GB2312" w:cs="Times New Roman"/>
          <w:color w:val="auto"/>
          <w:sz w:val="32"/>
          <w:szCs w:val="32"/>
          <w:highlight w:val="none"/>
          <w:shd w:val="clear" w:color="auto" w:fill="FFFFFF"/>
          <w:lang w:eastAsia="zh-CN"/>
        </w:rPr>
        <w:t>，或由三亚市崖州区城市投资建设有限公司等具备工程管理能力的区属国有企业作为业主实施的项目</w:t>
      </w:r>
      <w:r>
        <w:rPr>
          <w:rFonts w:hint="default" w:ascii="Times New Roman" w:hAnsi="Times New Roman" w:eastAsia="仿宋_GB2312" w:cs="Times New Roman"/>
          <w:color w:val="auto"/>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58" w:lineRule="exact"/>
        <w:ind w:firstLine="640" w:firstLineChars="200"/>
        <w:jc w:val="left"/>
        <w:textAlignment w:val="auto"/>
        <w:rPr>
          <w:rStyle w:val="12"/>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）经</w:t>
      </w:r>
      <w:r>
        <w:rPr>
          <w:rFonts w:hint="eastAsia" w:ascii="Times New Roman" w:hAnsi="Times New Roman" w:eastAsia="仿宋_GB2312" w:cs="Times New Roman"/>
          <w:color w:val="auto"/>
          <w:sz w:val="32"/>
          <w:szCs w:val="32"/>
          <w:highlight w:val="none"/>
          <w:shd w:val="clear" w:color="auto" w:fill="FFFFFF"/>
          <w:lang w:eastAsia="zh-CN"/>
        </w:rPr>
        <w:t>区</w:t>
      </w:r>
      <w:r>
        <w:rPr>
          <w:rFonts w:hint="default" w:ascii="Times New Roman" w:hAnsi="Times New Roman" w:eastAsia="仿宋_GB2312" w:cs="Times New Roman"/>
          <w:color w:val="auto"/>
          <w:kern w:val="2"/>
          <w:sz w:val="32"/>
          <w:szCs w:val="32"/>
          <w:highlight w:val="none"/>
          <w:shd w:val="clear" w:color="auto" w:fill="FFFFFF"/>
          <w:lang w:val="en-US" w:eastAsia="zh-CN" w:bidi="ar"/>
        </w:rPr>
        <w:t>政府</w:t>
      </w:r>
      <w:r>
        <w:rPr>
          <w:rFonts w:hint="eastAsia" w:ascii="Times New Roman" w:hAnsi="Times New Roman" w:eastAsia="仿宋_GB2312" w:cs="Times New Roman"/>
          <w:color w:val="auto"/>
          <w:kern w:val="2"/>
          <w:sz w:val="32"/>
          <w:szCs w:val="32"/>
          <w:highlight w:val="none"/>
          <w:shd w:val="clear" w:color="auto" w:fill="FFFFFF"/>
          <w:lang w:val="en-US" w:eastAsia="zh-CN" w:bidi="ar"/>
        </w:rPr>
        <w:t>区</w:t>
      </w:r>
      <w:r>
        <w:rPr>
          <w:rFonts w:hint="default" w:ascii="Times New Roman" w:hAnsi="Times New Roman" w:eastAsia="仿宋_GB2312" w:cs="Times New Roman"/>
          <w:color w:val="auto"/>
          <w:kern w:val="2"/>
          <w:sz w:val="32"/>
          <w:szCs w:val="32"/>
          <w:highlight w:val="none"/>
          <w:shd w:val="clear" w:color="auto" w:fill="FFFFFF"/>
          <w:lang w:val="en-US" w:eastAsia="zh-CN" w:bidi="ar"/>
        </w:rPr>
        <w:t>长</w:t>
      </w:r>
      <w:r>
        <w:rPr>
          <w:rFonts w:hint="default" w:ascii="Times New Roman" w:hAnsi="Times New Roman" w:eastAsia="仿宋_GB2312" w:cs="Times New Roman"/>
          <w:color w:val="auto"/>
          <w:sz w:val="32"/>
          <w:szCs w:val="32"/>
          <w:highlight w:val="none"/>
          <w:shd w:val="clear" w:color="auto" w:fill="FFFFFF"/>
          <w:lang w:eastAsia="zh-CN"/>
        </w:rPr>
        <w:t>专题会议</w:t>
      </w:r>
      <w:r>
        <w:rPr>
          <w:rFonts w:hint="default" w:ascii="Times New Roman" w:hAnsi="Times New Roman" w:eastAsia="仿宋_GB2312" w:cs="Times New Roman"/>
          <w:color w:val="auto"/>
          <w:sz w:val="32"/>
          <w:szCs w:val="32"/>
          <w:highlight w:val="none"/>
          <w:shd w:val="clear" w:color="auto" w:fill="FFFFFF"/>
        </w:rPr>
        <w:t>批准特殊情况需自行组织建设的项目</w:t>
      </w:r>
      <w:r>
        <w:rPr>
          <w:rFonts w:hint="default" w:ascii="Times New Roman" w:hAnsi="Times New Roman" w:eastAsia="仿宋_GB2312" w:cs="Times New Roman"/>
          <w:color w:val="auto"/>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highlight w:val="none"/>
          <w:shd w:val="clear" w:color="auto" w:fill="FFFFFF"/>
          <w:lang w:eastAsia="zh-CN"/>
        </w:rPr>
      </w:pPr>
      <w:r>
        <w:rPr>
          <w:rStyle w:val="12"/>
          <w:rFonts w:hint="default" w:ascii="Times New Roman" w:hAnsi="Times New Roman" w:eastAsia="仿宋_GB2312" w:cs="Times New Roman"/>
          <w:color w:val="auto"/>
          <w:sz w:val="32"/>
          <w:szCs w:val="32"/>
          <w:highlight w:val="none"/>
          <w:shd w:val="clear" w:color="auto" w:fill="FFFFFF"/>
          <w:lang w:eastAsia="zh-CN" w:bidi="ar"/>
        </w:rPr>
        <w:t>（</w:t>
      </w:r>
      <w:r>
        <w:rPr>
          <w:rStyle w:val="12"/>
          <w:rFonts w:hint="eastAsia" w:ascii="Times New Roman" w:hAnsi="Times New Roman" w:eastAsia="仿宋_GB2312" w:cs="Times New Roman"/>
          <w:color w:val="auto"/>
          <w:sz w:val="32"/>
          <w:szCs w:val="32"/>
          <w:highlight w:val="none"/>
          <w:shd w:val="clear" w:color="auto" w:fill="FFFFFF"/>
          <w:lang w:eastAsia="zh-CN" w:bidi="ar"/>
        </w:rPr>
        <w:t>三</w:t>
      </w:r>
      <w:r>
        <w:rPr>
          <w:rStyle w:val="12"/>
          <w:rFonts w:hint="default" w:ascii="Times New Roman" w:hAnsi="Times New Roman" w:eastAsia="仿宋_GB2312" w:cs="Times New Roman"/>
          <w:color w:val="auto"/>
          <w:sz w:val="32"/>
          <w:szCs w:val="32"/>
          <w:highlight w:val="none"/>
          <w:shd w:val="clear" w:color="auto" w:fill="FFFFFF"/>
          <w:lang w:eastAsia="zh-CN" w:bidi="ar"/>
        </w:rPr>
        <w:t>）</w:t>
      </w:r>
      <w:r>
        <w:rPr>
          <w:rFonts w:hint="default" w:ascii="Times New Roman" w:hAnsi="Times New Roman" w:eastAsia="仿宋_GB2312" w:cs="Times New Roman"/>
          <w:color w:val="auto"/>
          <w:sz w:val="32"/>
          <w:szCs w:val="32"/>
          <w:highlight w:val="none"/>
          <w:shd w:val="clear" w:color="auto" w:fill="FFFFFF"/>
          <w:lang w:val="en-US" w:eastAsia="zh-CN" w:bidi="ar"/>
        </w:rPr>
        <w:t>其</w:t>
      </w:r>
      <w:r>
        <w:rPr>
          <w:rFonts w:hint="default" w:ascii="Times New Roman" w:hAnsi="Times New Roman" w:eastAsia="仿宋_GB2312" w:cs="Times New Roman"/>
          <w:color w:val="auto"/>
          <w:sz w:val="32"/>
          <w:szCs w:val="32"/>
          <w:highlight w:val="none"/>
          <w:shd w:val="clear" w:color="auto" w:fill="FFFFFF"/>
          <w:lang w:val="en-US" w:eastAsia="zh-CN"/>
        </w:rPr>
        <w:t>他依法依规不实行代建（代管）制的情形。</w:t>
      </w:r>
      <w:r>
        <w:rPr>
          <w:rFonts w:hint="default" w:ascii="Times New Roman" w:hAnsi="Times New Roman" w:eastAsia="仿宋_GB2312" w:cs="Times New Roman"/>
          <w:color w:val="auto"/>
          <w:sz w:val="32"/>
          <w:szCs w:val="32"/>
          <w:highlight w:val="none"/>
          <w:shd w:val="clear" w:color="auto" w:fill="FFFFFF"/>
        </w:rPr>
        <w:t>涉及国家安全、国家秘密的项目</w:t>
      </w:r>
      <w:r>
        <w:rPr>
          <w:rFonts w:hint="default" w:ascii="Times New Roman" w:hAnsi="Times New Roman" w:eastAsia="仿宋_GB2312" w:cs="Times New Roman"/>
          <w:color w:val="auto"/>
          <w:sz w:val="32"/>
          <w:szCs w:val="32"/>
          <w:highlight w:val="none"/>
          <w:shd w:val="clear" w:color="auto" w:fill="FFFFFF"/>
          <w:lang w:eastAsia="zh-CN"/>
        </w:rPr>
        <w:t>不得实行</w:t>
      </w:r>
      <w:r>
        <w:rPr>
          <w:rFonts w:hint="default" w:ascii="Times New Roman" w:hAnsi="Times New Roman" w:eastAsia="仿宋_GB2312" w:cs="Times New Roman"/>
          <w:color w:val="auto"/>
          <w:sz w:val="32"/>
          <w:szCs w:val="32"/>
          <w:highlight w:val="none"/>
          <w:shd w:val="clear" w:color="auto" w:fill="FFFFFF"/>
          <w:lang w:val="en-US" w:eastAsia="zh-CN"/>
        </w:rPr>
        <w:t>代建（代管）</w:t>
      </w:r>
      <w:r>
        <w:rPr>
          <w:rFonts w:hint="default" w:ascii="Times New Roman" w:hAnsi="Times New Roman" w:eastAsia="仿宋_GB2312" w:cs="Times New Roman"/>
          <w:color w:val="auto"/>
          <w:sz w:val="32"/>
          <w:szCs w:val="32"/>
          <w:highlight w:val="none"/>
          <w:shd w:val="clear" w:color="auto" w:fill="FFFFFF"/>
          <w:lang w:eastAsia="zh-CN"/>
        </w:rPr>
        <w:t>制。</w:t>
      </w:r>
    </w:p>
    <w:p>
      <w:pPr>
        <w:pStyle w:val="3"/>
        <w:pageBreakBefore w:val="0"/>
        <w:kinsoku/>
        <w:wordWrap/>
        <w:overflowPunct/>
        <w:topLinePunct w:val="0"/>
        <w:autoSpaceDE/>
        <w:autoSpaceDN/>
        <w:bidi w:val="0"/>
        <w:adjustRightInd/>
        <w:snapToGrid/>
        <w:spacing w:line="558" w:lineRule="exact"/>
        <w:jc w:val="center"/>
        <w:textAlignment w:val="auto"/>
        <w:rPr>
          <w:rFonts w:hint="eastAsia"/>
          <w:color w:val="auto"/>
        </w:rPr>
      </w:pPr>
      <w:bookmarkStart w:id="6" w:name="_Toc32653_WPSOffice_Level2"/>
      <w:r>
        <w:rPr>
          <w:rFonts w:hint="eastAsia"/>
          <w:b w:val="0"/>
          <w:bCs/>
          <w:color w:val="auto"/>
        </w:rPr>
        <w:t>第</w:t>
      </w:r>
      <w:r>
        <w:rPr>
          <w:rFonts w:hint="eastAsia"/>
          <w:b w:val="0"/>
          <w:bCs/>
          <w:color w:val="auto"/>
          <w:lang w:eastAsia="zh-CN"/>
        </w:rPr>
        <w:t>六</w:t>
      </w:r>
      <w:r>
        <w:rPr>
          <w:rFonts w:hint="eastAsia"/>
          <w:b w:val="0"/>
          <w:bCs/>
          <w:color w:val="auto"/>
        </w:rPr>
        <w:t>章</w:t>
      </w:r>
      <w:r>
        <w:rPr>
          <w:rFonts w:hint="eastAsia"/>
          <w:b w:val="0"/>
          <w:bCs/>
          <w:color w:val="auto"/>
          <w:lang w:val="en-US" w:eastAsia="zh-CN"/>
        </w:rPr>
        <w:t xml:space="preserve">  </w:t>
      </w:r>
      <w:r>
        <w:rPr>
          <w:rFonts w:hint="eastAsia"/>
          <w:b w:val="0"/>
          <w:bCs/>
          <w:color w:val="auto"/>
          <w:lang w:eastAsia="zh-CN"/>
        </w:rPr>
        <w:t>政府投资</w:t>
      </w:r>
      <w:r>
        <w:rPr>
          <w:rFonts w:hint="eastAsia"/>
          <w:b w:val="0"/>
          <w:bCs/>
          <w:color w:val="auto"/>
        </w:rPr>
        <w:t>项目</w:t>
      </w:r>
      <w:r>
        <w:rPr>
          <w:rFonts w:hint="eastAsia"/>
          <w:b w:val="0"/>
          <w:bCs/>
          <w:color w:val="auto"/>
          <w:lang w:eastAsia="zh-CN"/>
        </w:rPr>
        <w:t>变更</w:t>
      </w:r>
      <w:r>
        <w:rPr>
          <w:rFonts w:hint="eastAsia"/>
          <w:b w:val="0"/>
          <w:bCs/>
          <w:color w:val="auto"/>
        </w:rPr>
        <w:t>管理</w:t>
      </w:r>
      <w:bookmarkEnd w:id="6"/>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政府投资项目建设投资不得超过经审批的投资</w:t>
      </w:r>
      <w:r>
        <w:rPr>
          <w:rFonts w:hint="eastAsia" w:ascii="仿宋_GB2312" w:hAnsi="仿宋_GB2312" w:eastAsia="仿宋_GB2312" w:cs="仿宋_GB2312"/>
          <w:b w:val="0"/>
          <w:bCs w:val="0"/>
          <w:color w:val="auto"/>
          <w:spacing w:val="0"/>
          <w:w w:val="100"/>
          <w:sz w:val="32"/>
          <w:szCs w:val="32"/>
          <w:highlight w:val="none"/>
          <w:lang w:eastAsia="zh-CN"/>
        </w:rPr>
        <w:t>概算</w:t>
      </w:r>
      <w:r>
        <w:rPr>
          <w:rFonts w:hint="eastAsia" w:ascii="仿宋_GB2312" w:hAnsi="仿宋_GB2312" w:eastAsia="仿宋_GB2312" w:cs="仿宋_GB2312"/>
          <w:b w:val="0"/>
          <w:bCs w:val="0"/>
          <w:color w:val="auto"/>
          <w:spacing w:val="0"/>
          <w:w w:val="100"/>
          <w:sz w:val="32"/>
          <w:szCs w:val="32"/>
          <w:highlight w:val="none"/>
        </w:rPr>
        <w:t>。政府投资建设项目的</w:t>
      </w:r>
      <w:r>
        <w:rPr>
          <w:rFonts w:hint="eastAsia" w:ascii="仿宋_GB2312" w:hAnsi="仿宋_GB2312" w:eastAsia="仿宋_GB2312" w:cs="仿宋_GB2312"/>
          <w:b w:val="0"/>
          <w:bCs w:val="0"/>
          <w:color w:val="auto"/>
          <w:spacing w:val="0"/>
          <w:w w:val="100"/>
          <w:sz w:val="32"/>
          <w:szCs w:val="32"/>
          <w:highlight w:val="none"/>
          <w:lang w:eastAsia="zh-CN"/>
        </w:rPr>
        <w:t>概算</w:t>
      </w:r>
      <w:r>
        <w:rPr>
          <w:rFonts w:hint="eastAsia" w:ascii="仿宋_GB2312" w:hAnsi="仿宋_GB2312" w:eastAsia="仿宋_GB2312" w:cs="仿宋_GB2312"/>
          <w:b w:val="0"/>
          <w:bCs w:val="0"/>
          <w:color w:val="auto"/>
          <w:spacing w:val="0"/>
          <w:w w:val="100"/>
          <w:sz w:val="32"/>
          <w:szCs w:val="32"/>
          <w:highlight w:val="none"/>
        </w:rPr>
        <w:t>总投资一经批准，必须严格执行，不得擅自修改或调整。</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项目建设期间，确因政策调整、地质条件发生重大变化和自然灾害等不可抗力因素，导致原核定</w:t>
      </w:r>
      <w:r>
        <w:rPr>
          <w:rFonts w:hint="eastAsia" w:ascii="仿宋_GB2312" w:hAnsi="仿宋_GB2312" w:eastAsia="仿宋_GB2312" w:cs="仿宋_GB2312"/>
          <w:b w:val="0"/>
          <w:bCs w:val="0"/>
          <w:color w:val="auto"/>
          <w:spacing w:val="0"/>
          <w:w w:val="100"/>
          <w:sz w:val="32"/>
          <w:szCs w:val="32"/>
          <w:highlight w:val="none"/>
          <w:lang w:eastAsia="zh-CN"/>
        </w:rPr>
        <w:t>预算</w:t>
      </w:r>
      <w:r>
        <w:rPr>
          <w:rFonts w:hint="eastAsia" w:ascii="仿宋_GB2312" w:hAnsi="仿宋_GB2312" w:eastAsia="仿宋_GB2312" w:cs="仿宋_GB2312"/>
          <w:b w:val="0"/>
          <w:bCs w:val="0"/>
          <w:color w:val="auto"/>
          <w:spacing w:val="0"/>
          <w:w w:val="100"/>
          <w:sz w:val="32"/>
          <w:szCs w:val="32"/>
          <w:highlight w:val="none"/>
        </w:rPr>
        <w:t>不能满足工程实际需要的，项目</w:t>
      </w:r>
      <w:r>
        <w:rPr>
          <w:rFonts w:hint="eastAsia" w:ascii="仿宋_GB2312" w:hAnsi="仿宋_GB2312" w:eastAsia="仿宋_GB2312" w:cs="仿宋_GB2312"/>
          <w:b w:val="0"/>
          <w:bCs w:val="0"/>
          <w:color w:val="auto"/>
          <w:spacing w:val="0"/>
          <w:w w:val="100"/>
          <w:sz w:val="32"/>
          <w:szCs w:val="32"/>
          <w:highlight w:val="none"/>
          <w:lang w:eastAsia="zh-CN"/>
        </w:rPr>
        <w:t>业主</w:t>
      </w:r>
      <w:r>
        <w:rPr>
          <w:rFonts w:hint="eastAsia" w:ascii="仿宋_GB2312" w:hAnsi="仿宋_GB2312" w:eastAsia="仿宋_GB2312" w:cs="仿宋_GB2312"/>
          <w:b w:val="0"/>
          <w:bCs w:val="0"/>
          <w:color w:val="auto"/>
          <w:spacing w:val="0"/>
          <w:w w:val="100"/>
          <w:sz w:val="32"/>
          <w:szCs w:val="32"/>
          <w:highlight w:val="none"/>
        </w:rPr>
        <w:t>原则上应当一次性以书面形式提出调整方案及资金来源，报原</w:t>
      </w:r>
      <w:r>
        <w:rPr>
          <w:rFonts w:hint="eastAsia" w:ascii="仿宋_GB2312" w:hAnsi="仿宋_GB2312" w:eastAsia="仿宋_GB2312" w:cs="仿宋_GB2312"/>
          <w:b w:val="0"/>
          <w:bCs w:val="0"/>
          <w:color w:val="auto"/>
          <w:spacing w:val="0"/>
          <w:w w:val="100"/>
          <w:sz w:val="32"/>
          <w:szCs w:val="32"/>
          <w:highlight w:val="none"/>
          <w:lang w:eastAsia="zh-CN"/>
        </w:rPr>
        <w:t>设计方案</w:t>
      </w:r>
      <w:r>
        <w:rPr>
          <w:rFonts w:hint="eastAsia" w:ascii="仿宋_GB2312" w:hAnsi="仿宋_GB2312" w:eastAsia="仿宋_GB2312" w:cs="仿宋_GB2312"/>
          <w:b w:val="0"/>
          <w:bCs w:val="0"/>
          <w:color w:val="auto"/>
          <w:spacing w:val="0"/>
          <w:w w:val="100"/>
          <w:sz w:val="32"/>
          <w:szCs w:val="32"/>
          <w:highlight w:val="none"/>
        </w:rPr>
        <w:t>审批部门申请调整。</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二十九条</w:t>
      </w:r>
      <w:r>
        <w:rPr>
          <w:rFonts w:hint="eastAsia" w:ascii="仿宋_GB2312" w:hAnsi="仿宋_GB2312" w:eastAsia="仿宋_GB2312" w:cs="仿宋_GB2312"/>
          <w:b w:val="0"/>
          <w:bCs w:val="0"/>
          <w:color w:val="auto"/>
          <w:spacing w:val="0"/>
          <w:w w:val="100"/>
          <w:sz w:val="32"/>
          <w:szCs w:val="32"/>
          <w:highlight w:val="none"/>
          <w:lang w:val="en-US" w:eastAsia="zh-CN"/>
        </w:rPr>
        <w:t xml:space="preserve"> 项目立项后到开工前，因项目名称、建设规模、建设内容，建设地点等变更的，应报原审批部门批准同意。对项目建设规模、内容、地址等发生重大变更的，按以下规定执行：</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项目名称变更，或建设规模、建设内容等变更部分内容投资在项目总投资30%以内的（含30%）且增加投资未超出原审批金额10%的，项目主要建设内容、使用功能和用地规划条件未发生根本改变的，项目业主应报原审批部门批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eastAsia="zh-CN"/>
        </w:rPr>
        <w:t>（二）</w:t>
      </w:r>
      <w:r>
        <w:rPr>
          <w:rFonts w:hint="eastAsia" w:ascii="仿宋_GB2312" w:hAnsi="仿宋_GB2312" w:eastAsia="仿宋_GB2312" w:cs="仿宋_GB2312"/>
          <w:b w:val="0"/>
          <w:bCs w:val="0"/>
          <w:color w:val="auto"/>
          <w:spacing w:val="0"/>
          <w:w w:val="100"/>
          <w:sz w:val="32"/>
          <w:szCs w:val="32"/>
          <w:highlight w:val="none"/>
          <w:lang w:val="en-US" w:eastAsia="zh-CN"/>
        </w:rPr>
        <w:t>项目建设规模、内容调整造部分的建设内容投资超出项目总投资30%以上的或增加项目投资10%以上且增加金额在100万元以内的，但项目主要建设内容、使用功能和用地规划条件未发生根本改变的，由项目业主报区长专题会审议后报区投资主管部门备案。</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（三）项目建设规模或内容调整部分造价超出项目总投资30%以上，增加投资100万元（含）以上，500万元以下的，且项目规划选址条件不变，未发生功能性改变的，需经区政府常务会审定。</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（四）增加项目总投资500万元（含）以上的，且项目规划选址条件不变，未发生功能性改变的，需经区委常委会审定。</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五）项目主体内容发生变更、功能性改变或重新选址导致规划条件改变的，涉及用地规划调整的需在征得规划部门意见后，报区政府审定后重新立项。不涉及用地规划的项目，调整建设地点的需经区政府审定后，报区投资主管部门备案后实施。</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rPr>
        <w:t>概算调整应当在工程完成主体工作量的70%和主要设备已定货后进行，原则上在项目建设期内只予调整一次。</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申请调整概算的项目，如使用预备费可以解决或不符合上述调整概算情形的，原初步设计及概算审批部门一律不予受理调整。项目单位应严格按照变更程序进行报批,凡未经</w:t>
      </w:r>
      <w:r>
        <w:rPr>
          <w:rFonts w:hint="eastAsia" w:ascii="仿宋_GB2312" w:hAnsi="仿宋_GB2312" w:eastAsia="仿宋_GB2312" w:cs="仿宋_GB2312"/>
          <w:b w:val="0"/>
          <w:bCs w:val="0"/>
          <w:color w:val="auto"/>
          <w:spacing w:val="0"/>
          <w:w w:val="100"/>
          <w:sz w:val="32"/>
          <w:szCs w:val="32"/>
          <w:highlight w:val="none"/>
          <w:lang w:eastAsia="zh-CN"/>
        </w:rPr>
        <w:t>原审批部门</w:t>
      </w:r>
      <w:r>
        <w:rPr>
          <w:rFonts w:hint="eastAsia" w:ascii="仿宋_GB2312" w:hAnsi="仿宋_GB2312" w:eastAsia="仿宋_GB2312" w:cs="仿宋_GB2312"/>
          <w:b w:val="0"/>
          <w:bCs w:val="0"/>
          <w:color w:val="auto"/>
          <w:spacing w:val="0"/>
          <w:w w:val="100"/>
          <w:sz w:val="32"/>
          <w:szCs w:val="32"/>
          <w:highlight w:val="none"/>
        </w:rPr>
        <w:t>批准擅自调整设计内容</w:t>
      </w:r>
      <w:r>
        <w:rPr>
          <w:rFonts w:hint="eastAsia" w:ascii="仿宋_GB2312" w:hAnsi="仿宋_GB2312" w:eastAsia="仿宋_GB2312" w:cs="仿宋_GB2312"/>
          <w:b w:val="0"/>
          <w:bCs w:val="0"/>
          <w:color w:val="auto"/>
          <w:spacing w:val="0"/>
          <w:w w:val="100"/>
          <w:sz w:val="32"/>
          <w:szCs w:val="32"/>
          <w:highlight w:val="none"/>
          <w:lang w:eastAsia="zh-CN"/>
        </w:rPr>
        <w:t>的，原则上原审批部门一律不予以受理设计变更手续；</w:t>
      </w:r>
      <w:r>
        <w:rPr>
          <w:rFonts w:hint="eastAsia" w:ascii="仿宋_GB2312" w:hAnsi="仿宋_GB2312" w:eastAsia="仿宋_GB2312" w:cs="仿宋_GB2312"/>
          <w:b w:val="0"/>
          <w:bCs w:val="0"/>
          <w:color w:val="auto"/>
          <w:spacing w:val="0"/>
          <w:w w:val="100"/>
          <w:sz w:val="32"/>
          <w:szCs w:val="32"/>
          <w:highlight w:val="none"/>
        </w:rPr>
        <w:t>未经批准擅自调整</w:t>
      </w:r>
      <w:r>
        <w:rPr>
          <w:rFonts w:hint="eastAsia" w:ascii="仿宋_GB2312" w:hAnsi="仿宋_GB2312" w:eastAsia="仿宋_GB2312" w:cs="仿宋_GB2312"/>
          <w:b w:val="0"/>
          <w:bCs w:val="0"/>
          <w:color w:val="auto"/>
          <w:spacing w:val="0"/>
          <w:w w:val="100"/>
          <w:sz w:val="32"/>
          <w:szCs w:val="32"/>
          <w:highlight w:val="none"/>
          <w:lang w:eastAsia="zh-CN"/>
        </w:rPr>
        <w:t>设计内容</w:t>
      </w:r>
      <w:r>
        <w:rPr>
          <w:rFonts w:hint="eastAsia" w:ascii="仿宋_GB2312" w:hAnsi="仿宋_GB2312" w:eastAsia="仿宋_GB2312" w:cs="仿宋_GB2312"/>
          <w:b w:val="0"/>
          <w:bCs w:val="0"/>
          <w:color w:val="auto"/>
          <w:spacing w:val="0"/>
          <w:w w:val="100"/>
          <w:sz w:val="32"/>
          <w:szCs w:val="32"/>
          <w:highlight w:val="none"/>
        </w:rPr>
        <w:t>造成超概算的,一律由项目</w:t>
      </w:r>
      <w:r>
        <w:rPr>
          <w:rFonts w:hint="eastAsia" w:ascii="仿宋_GB2312" w:hAnsi="仿宋_GB2312" w:eastAsia="仿宋_GB2312" w:cs="仿宋_GB2312"/>
          <w:b w:val="0"/>
          <w:bCs w:val="0"/>
          <w:color w:val="auto"/>
          <w:spacing w:val="0"/>
          <w:w w:val="100"/>
          <w:sz w:val="32"/>
          <w:szCs w:val="32"/>
          <w:highlight w:val="none"/>
          <w:lang w:eastAsia="zh-CN"/>
        </w:rPr>
        <w:t>业主</w:t>
      </w:r>
      <w:r>
        <w:rPr>
          <w:rFonts w:hint="eastAsia" w:ascii="仿宋_GB2312" w:hAnsi="仿宋_GB2312" w:eastAsia="仿宋_GB2312" w:cs="仿宋_GB2312"/>
          <w:b w:val="0"/>
          <w:bCs w:val="0"/>
          <w:color w:val="auto"/>
          <w:spacing w:val="0"/>
          <w:w w:val="100"/>
          <w:sz w:val="32"/>
          <w:szCs w:val="32"/>
          <w:highlight w:val="none"/>
        </w:rPr>
        <w:t>单位自担后果、自筹资金、自负责任</w:t>
      </w:r>
      <w:r>
        <w:rPr>
          <w:rFonts w:hint="eastAsia" w:ascii="仿宋_GB2312" w:hAnsi="仿宋_GB2312" w:eastAsia="仿宋_GB2312" w:cs="仿宋_GB2312"/>
          <w:b w:val="0"/>
          <w:bCs w:val="0"/>
          <w:color w:val="auto"/>
          <w:spacing w:val="0"/>
          <w:w w:val="100"/>
          <w:sz w:val="32"/>
          <w:szCs w:val="32"/>
          <w:highlight w:val="none"/>
          <w:lang w:eastAsia="zh-CN"/>
        </w:rPr>
        <w:t>，并由区投资主管部门移交区审计部门进行责任审计</w:t>
      </w:r>
      <w:r>
        <w:rPr>
          <w:rFonts w:hint="eastAsia" w:ascii="仿宋_GB2312" w:hAnsi="仿宋_GB2312" w:eastAsia="仿宋_GB2312" w:cs="仿宋_GB2312"/>
          <w:b w:val="0"/>
          <w:bCs w:val="0"/>
          <w:color w:val="auto"/>
          <w:spacing w:val="0"/>
          <w:w w:val="100"/>
          <w:sz w:val="32"/>
          <w:szCs w:val="32"/>
          <w:highlight w:val="none"/>
        </w:rPr>
        <w:t>。所增加的工程费用,一律不得纳入结算造价,财政部门不予拨付。</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设计变更的前提条件及分类。政府投资建设项目在建设实施过程中出现下列情形，项目业主可以申请项目设计变更:</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（一）设计文件中存在错、漏、缺部分;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（二）勘察资料不详尽，导致设计不准确甚至存在重大质量和安全隐患;</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（三）原设计与自然条件（含地质、水文、地形等）不符，影响工程建设实施;</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 xml:space="preserve">（四）为推广应用先进实用技术，更好地保证工程质量;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（五）在不降低工程质量和使用功能的前提下，能有效减少工程数量、降低施工难度和工程成本，加快施工进度而进行的设计优化;</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（六）有利于确保工程施工安全和环境保护、节省占地和避免水土流失，改善施工条件的设计调整或修改;</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（七）涉及农田、水利、工矿、城镇规划、景区开发、生态建设以及文物、环境保护等工作，需要对原设计进行修改和完善的;</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（八）根据规划调整等实际情况及项目建设的要求，需对项目建设规模、建设标准、建设内容进行调整的;</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（九）因自然灾害等不可抗力造成项目建设条件发生重大变化的;</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pacing w:val="0"/>
          <w:w w:val="100"/>
          <w:sz w:val="32"/>
          <w:szCs w:val="32"/>
          <w:highlight w:val="none"/>
          <w:lang w:val="en-US" w:eastAsia="zh-CN"/>
        </w:rPr>
        <w:t>（十）因资源、水文地质、工程地质、考古及调查、勘察等情况有重大变化，造成投资增加或需要调整建设方案的。</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设计变更实行分级批准与备案制度</w:t>
      </w:r>
      <w:r>
        <w:rPr>
          <w:rFonts w:hint="eastAsia" w:ascii="仿宋_GB2312" w:hAnsi="仿宋_GB2312" w:eastAsia="仿宋_GB2312" w:cs="仿宋_GB2312"/>
          <w:b w:val="0"/>
          <w:bCs w:val="0"/>
          <w:color w:val="auto"/>
          <w:spacing w:val="0"/>
          <w:w w:val="1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（一）经区投资主管部门审核，</w:t>
      </w:r>
      <w:r>
        <w:rPr>
          <w:rFonts w:hint="eastAsia" w:ascii="仿宋_GB2312" w:hAnsi="仿宋_GB2312" w:eastAsia="仿宋_GB2312" w:cs="仿宋_GB2312"/>
          <w:color w:val="auto"/>
          <w:sz w:val="32"/>
          <w:szCs w:val="32"/>
          <w:highlight w:val="none"/>
        </w:rPr>
        <w:t>设计变更后增加或累计增加预算造价</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以上的，为一类设计变更，</w:t>
      </w:r>
      <w:r>
        <w:rPr>
          <w:rFonts w:hint="eastAsia" w:ascii="仿宋_GB2312" w:hAnsi="仿宋_GB2312" w:eastAsia="仿宋_GB2312" w:cs="仿宋_GB2312"/>
          <w:color w:val="auto"/>
          <w:sz w:val="32"/>
          <w:szCs w:val="32"/>
          <w:highlight w:val="none"/>
          <w:lang w:eastAsia="zh-CN"/>
        </w:rPr>
        <w:t>提交区委常委会审议批准。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32"/>
          <w:szCs w:val="32"/>
          <w:highlight w:val="none"/>
          <w:lang w:eastAsia="zh-CN"/>
        </w:rPr>
        <w:t>（二）经区投资主管部门审核，</w:t>
      </w:r>
      <w:r>
        <w:rPr>
          <w:rFonts w:hint="eastAsia" w:ascii="仿宋_GB2312" w:hAnsi="仿宋_GB2312" w:eastAsia="仿宋_GB2312" w:cs="仿宋_GB2312"/>
          <w:color w:val="auto"/>
          <w:sz w:val="32"/>
          <w:szCs w:val="32"/>
          <w:highlight w:val="none"/>
        </w:rPr>
        <w:t>设计变更后增加或累计增加预算造价</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 xml:space="preserve"> 万元</w:t>
      </w:r>
      <w:r>
        <w:rPr>
          <w:rFonts w:hint="eastAsia" w:ascii="仿宋_GB2312" w:hAnsi="仿宋_GB2312" w:eastAsia="仿宋_GB2312" w:cs="仿宋_GB2312"/>
          <w:color w:val="auto"/>
          <w:sz w:val="32"/>
          <w:szCs w:val="32"/>
          <w:highlight w:val="none"/>
          <w:lang w:eastAsia="zh-CN"/>
        </w:rPr>
        <w:t>区间的</w:t>
      </w:r>
      <w:r>
        <w:rPr>
          <w:rFonts w:hint="eastAsia" w:ascii="仿宋_GB2312" w:hAnsi="仿宋_GB2312" w:eastAsia="仿宋_GB2312" w:cs="仿宋_GB2312"/>
          <w:color w:val="auto"/>
          <w:sz w:val="32"/>
          <w:szCs w:val="32"/>
          <w:highlight w:val="none"/>
        </w:rPr>
        <w:t>，为二类设计变更，</w:t>
      </w:r>
      <w:r>
        <w:rPr>
          <w:rFonts w:hint="eastAsia" w:ascii="仿宋_GB2312" w:hAnsi="仿宋_GB2312" w:eastAsia="仿宋_GB2312" w:cs="仿宋_GB2312"/>
          <w:color w:val="auto"/>
          <w:sz w:val="32"/>
          <w:szCs w:val="32"/>
          <w:highlight w:val="none"/>
          <w:lang w:eastAsia="zh-CN"/>
        </w:rPr>
        <w:t>应提交区</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常务会</w:t>
      </w:r>
      <w:r>
        <w:rPr>
          <w:rFonts w:hint="eastAsia" w:ascii="仿宋_GB2312" w:hAnsi="仿宋_GB2312" w:eastAsia="仿宋_GB2312" w:cs="仿宋_GB2312"/>
          <w:color w:val="auto"/>
          <w:sz w:val="32"/>
          <w:szCs w:val="32"/>
          <w:highlight w:val="none"/>
        </w:rPr>
        <w:t xml:space="preserve">议审议批准;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32"/>
          <w:szCs w:val="32"/>
          <w:highlight w:val="none"/>
          <w:lang w:eastAsia="zh-CN"/>
        </w:rPr>
        <w:t>（三）经区投资主管部门审核，</w:t>
      </w:r>
      <w:r>
        <w:rPr>
          <w:rFonts w:hint="eastAsia" w:ascii="仿宋_GB2312" w:hAnsi="仿宋_GB2312" w:eastAsia="仿宋_GB2312" w:cs="仿宋_GB2312"/>
          <w:color w:val="auto"/>
          <w:sz w:val="32"/>
          <w:szCs w:val="32"/>
          <w:highlight w:val="none"/>
        </w:rPr>
        <w:t>设计变更后增加或累计增加预算造价</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10万元（含）～100万元</w:t>
      </w:r>
      <w:r>
        <w:rPr>
          <w:rFonts w:hint="eastAsia" w:ascii="仿宋_GB2312" w:hAnsi="仿宋_GB2312" w:eastAsia="仿宋_GB2312" w:cs="仿宋_GB2312"/>
          <w:color w:val="auto"/>
          <w:sz w:val="32"/>
          <w:szCs w:val="32"/>
          <w:highlight w:val="none"/>
          <w:lang w:eastAsia="zh-CN"/>
        </w:rPr>
        <w:t>区间的，</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类设计变更，</w:t>
      </w:r>
      <w:r>
        <w:rPr>
          <w:rFonts w:hint="eastAsia" w:ascii="仿宋_GB2312" w:hAnsi="仿宋_GB2312" w:eastAsia="仿宋_GB2312" w:cs="仿宋_GB2312"/>
          <w:color w:val="auto"/>
          <w:sz w:val="32"/>
          <w:szCs w:val="32"/>
          <w:highlight w:val="none"/>
          <w:lang w:eastAsia="zh-CN"/>
        </w:rPr>
        <w:t>应提交区长专题会议审议批准；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设计变更后增加或累计增加预算造价</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10万元（不含）以下的</w:t>
      </w:r>
      <w:r>
        <w:rPr>
          <w:rFonts w:hint="eastAsia" w:ascii="仿宋_GB2312" w:hAnsi="仿宋_GB2312" w:eastAsia="仿宋_GB2312" w:cs="仿宋_GB2312"/>
          <w:color w:val="auto"/>
          <w:sz w:val="32"/>
          <w:szCs w:val="32"/>
          <w:highlight w:val="none"/>
          <w:lang w:eastAsia="zh-CN"/>
        </w:rPr>
        <w:t>，或减少投资且不改变项目主要建设内容、规模、标准及质量的，</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类设计变更，由项目</w:t>
      </w:r>
      <w:r>
        <w:rPr>
          <w:rFonts w:hint="eastAsia" w:ascii="仿宋_GB2312" w:hAnsi="仿宋_GB2312" w:eastAsia="仿宋_GB2312" w:cs="仿宋_GB2312"/>
          <w:color w:val="auto"/>
          <w:sz w:val="32"/>
          <w:szCs w:val="32"/>
          <w:highlight w:val="none"/>
          <w:lang w:eastAsia="zh-CN"/>
        </w:rPr>
        <w:t>业主自行审查后</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eastAsia="zh-CN"/>
        </w:rPr>
        <w:t>原审批部门备案；</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设计变更办理流程及要求:</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（一）项目业主组织勘察、设计、施工、监理、代建或代管单位等参建单位对设计变更方案和预算造价进行内部审查后，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项目业主及时</w:t>
      </w:r>
      <w:r>
        <w:rPr>
          <w:rFonts w:hint="eastAsia" w:ascii="仿宋_GB2312" w:hAnsi="仿宋_GB2312" w:eastAsia="仿宋_GB2312" w:cs="仿宋_GB2312"/>
          <w:color w:val="auto"/>
          <w:sz w:val="32"/>
          <w:szCs w:val="32"/>
          <w:highlight w:val="none"/>
        </w:rPr>
        <w:t>组织</w:t>
      </w:r>
      <w:r>
        <w:rPr>
          <w:rFonts w:hint="eastAsia" w:ascii="仿宋_GB2312" w:eastAsia="仿宋_GB2312"/>
          <w:color w:val="auto"/>
          <w:sz w:val="32"/>
          <w:szCs w:val="32"/>
          <w:highlight w:val="none"/>
          <w:lang w:val="en-US" w:eastAsia="zh-CN"/>
        </w:rPr>
        <w:t>项目原审批部门</w:t>
      </w:r>
      <w:r>
        <w:rPr>
          <w:rFonts w:hint="eastAsia" w:ascii="仿宋_GB2312" w:hAnsi="仿宋_GB2312" w:eastAsia="仿宋_GB2312" w:cs="仿宋_GB2312"/>
          <w:color w:val="auto"/>
          <w:sz w:val="32"/>
          <w:szCs w:val="32"/>
          <w:highlight w:val="none"/>
        </w:rPr>
        <w:t>、财政部门</w:t>
      </w:r>
      <w:r>
        <w:rPr>
          <w:rFonts w:hint="eastAsia" w:ascii="仿宋_GB2312" w:hAnsi="仿宋_GB2312" w:eastAsia="仿宋_GB2312" w:cs="仿宋_GB2312"/>
          <w:color w:val="auto"/>
          <w:sz w:val="32"/>
          <w:szCs w:val="32"/>
          <w:highlight w:val="none"/>
          <w:lang w:eastAsia="zh-CN"/>
        </w:rPr>
        <w:t>及行业主管部门</w:t>
      </w:r>
      <w:r>
        <w:rPr>
          <w:rFonts w:hint="eastAsia" w:ascii="仿宋_GB2312" w:hAnsi="仿宋_GB2312" w:eastAsia="仿宋_GB2312" w:cs="仿宋_GB2312"/>
          <w:color w:val="auto"/>
          <w:sz w:val="32"/>
          <w:szCs w:val="32"/>
          <w:highlight w:val="none"/>
        </w:rPr>
        <w:t>进行现场见证。</w:t>
      </w:r>
      <w:r>
        <w:rPr>
          <w:rFonts w:hint="eastAsia" w:ascii="仿宋_GB2312" w:hAnsi="仿宋_GB2312" w:eastAsia="仿宋_GB2312" w:cs="仿宋_GB2312"/>
          <w:b w:val="0"/>
          <w:bCs w:val="0"/>
          <w:color w:val="auto"/>
          <w:spacing w:val="0"/>
          <w:w w:val="100"/>
          <w:sz w:val="32"/>
          <w:szCs w:val="32"/>
          <w:highlight w:val="none"/>
          <w:lang w:val="en-US" w:eastAsia="zh-CN"/>
        </w:rPr>
        <w:t>见证单须由项目原审批部门、财政部门</w:t>
      </w:r>
      <w:r>
        <w:rPr>
          <w:rFonts w:hint="eastAsia" w:ascii="仿宋_GB2312" w:hAnsi="仿宋_GB2312" w:eastAsia="仿宋_GB2312" w:cs="仿宋_GB2312"/>
          <w:color w:val="auto"/>
          <w:sz w:val="32"/>
          <w:szCs w:val="32"/>
          <w:highlight w:val="none"/>
          <w:lang w:eastAsia="zh-CN"/>
        </w:rPr>
        <w:t>及工程建设行业主管部门</w:t>
      </w:r>
      <w:r>
        <w:rPr>
          <w:rFonts w:hint="eastAsia" w:ascii="仿宋_GB2312" w:hAnsi="仿宋_GB2312" w:eastAsia="仿宋_GB2312" w:cs="仿宋_GB2312"/>
          <w:b w:val="0"/>
          <w:bCs w:val="0"/>
          <w:color w:val="auto"/>
          <w:spacing w:val="0"/>
          <w:w w:val="100"/>
          <w:sz w:val="32"/>
          <w:szCs w:val="32"/>
          <w:highlight w:val="none"/>
          <w:lang w:val="en-US" w:eastAsia="zh-CN"/>
        </w:rPr>
        <w:t>见证人员共同签字确认，现场见证只证实变更理由的真实性，不视为批准变更或允许实施变更；</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b w:val="0"/>
          <w:bCs w:val="0"/>
          <w:color w:val="auto"/>
          <w:spacing w:val="0"/>
          <w:w w:val="100"/>
          <w:sz w:val="32"/>
          <w:szCs w:val="32"/>
          <w:highlight w:val="none"/>
          <w:lang w:val="en-US" w:eastAsia="zh-CN"/>
        </w:rPr>
        <w:t>项目原审批部门针对设计变更的必要性</w:t>
      </w:r>
      <w:r>
        <w:rPr>
          <w:rFonts w:hint="eastAsia" w:ascii="仿宋_GB2312" w:eastAsia="仿宋_GB2312"/>
          <w:color w:val="auto"/>
          <w:sz w:val="32"/>
          <w:szCs w:val="32"/>
          <w:highlight w:val="none"/>
          <w:lang w:val="en-US" w:eastAsia="zh-CN"/>
        </w:rPr>
        <w:t>和设计变更造价</w:t>
      </w:r>
      <w:r>
        <w:rPr>
          <w:rFonts w:hint="eastAsia" w:ascii="仿宋_GB2312" w:hAnsi="仿宋_GB2312" w:eastAsia="仿宋_GB2312" w:cs="仿宋_GB2312"/>
          <w:b w:val="0"/>
          <w:bCs w:val="0"/>
          <w:color w:val="auto"/>
          <w:spacing w:val="0"/>
          <w:w w:val="100"/>
          <w:sz w:val="32"/>
          <w:szCs w:val="32"/>
          <w:highlight w:val="none"/>
          <w:lang w:val="en-US" w:eastAsia="zh-CN"/>
        </w:rPr>
        <w:t>进行审核，项目原审批部门在办理设计变更过程中，需再次进行现场见证的，可要求项目业主再次组织相关部门到现场见证；</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b w:val="0"/>
          <w:bCs w:val="0"/>
          <w:color w:val="auto"/>
          <w:spacing w:val="0"/>
          <w:w w:val="100"/>
          <w:sz w:val="32"/>
          <w:szCs w:val="32"/>
          <w:highlight w:val="none"/>
          <w:lang w:val="en-US" w:eastAsia="zh-CN"/>
        </w:rPr>
        <w:t>对于涉及到结构调整可能存在重大安全隐患的设计变更，应由项目业主报区行业主管部门组织工程技术专家审查变更方案，并出具对应的审查意见后，由项目业主根据审查意见组织设计单位结合审查意见对设计变更方案进行调整，连同其他资料按设计变更规定报项目原审批部门进行办理;涉及项目重大建设内容变更或导致项目功能发生重大改变的，项目业主应先提请区长专题会专项研究后再按程序报原审批部门办理；其他的设计变更，由项目业主按设计变更规定报项目原审批部门进行办理；凡未经批准的设计变更不得施工。</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四）设计单位出具设计变更方案，并由具有造价咨询能力的承包人或项目业主、造价咨询企业提交设计变更预算造价文件。项目原审批部门可结合项目业主申报的材料，视情况委托中介机构对设计变更方案及相关材料进行审查。</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第四类设计变更由设计单位出具变更通知单，项目业主自行审查后，一个月内报区投资主管部门备案。</w:t>
      </w:r>
    </w:p>
    <w:p>
      <w:pPr>
        <w:keepNext w:val="0"/>
        <w:keepLines w:val="0"/>
        <w:pageBreakBefore w:val="0"/>
        <w:kinsoku/>
        <w:wordWrap/>
        <w:overflowPunct/>
        <w:topLinePunct w:val="0"/>
        <w:autoSpaceDE/>
        <w:autoSpaceDN/>
        <w:bidi w:val="0"/>
        <w:adjustRightInd/>
        <w:snapToGrid/>
        <w:spacing w:line="558" w:lineRule="exact"/>
        <w:ind w:left="638" w:leftChars="290"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 xml:space="preserve">项目业主申请设计变更需提交下列所需材料: （一）设计变更书面申请;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（二）变更前、后的设计方案（图纸）或说明、预算造价及变更前后造价对比表;</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（三）参建单位内部审查意见及项目原审批部门、财政部门、工程建设行业主管部门等政府相关部门见证单;</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 xml:space="preserve">（四）设计变更责任认定说明; </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（五）根据设计变更的具体情况补充资料，如参建单位信用承诺函、变更通知单、测量资料、工程地质勘察资料、试验资料、设计变更文字说明、现场影像资料、施工合同等。</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lang w:val="en-US" w:eastAsia="zh-CN"/>
        </w:rPr>
        <w:t>项目业主必须如实提交有关材料和反映真实情况，对其所提交的申请材料实质内容的真实性负责。</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三十五条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项目建成后，项目业主应当自行组织参建单位和有关技术人员进行初步验收。初步验收完成后，应当依据国家有关规定和合同约定及时请行业主管部门牵头组织正式竣工验收。政府投资项目结余的财政资金应当按照有关规定缴回国库。</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仿宋_GB2312" w:hAnsi="仿宋_GB2312" w:eastAsia="仿宋_GB2312" w:cs="仿宋_GB2312"/>
          <w:b w:val="0"/>
          <w:bCs w:val="0"/>
          <w:color w:val="auto"/>
          <w:spacing w:val="0"/>
          <w:w w:val="100"/>
          <w:sz w:val="32"/>
          <w:szCs w:val="32"/>
          <w:highlight w:val="none"/>
        </w:rPr>
        <w:t>项目竣工验收合格后，项目业主应当严格按照有关规定选择符合资格要求的中介机构进行结算审核。项目业主应及时将结算审核工作的过程文件和成果文件汇总报送审计部门备案存档。受委托的中介机构应严格按有关规定，据实办理结算，并对出具的结算报告负责。自项目竣工验收合格之日起，代建（代管）单位应当在30个工作日内按照财政部门批准的资产向项目业主办理资产移交。项目业主根据审定的结算报告，编制竣工财务决算。</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r>
        <w:rPr>
          <w:rFonts w:hint="eastAsia" w:ascii="黑体" w:hAnsi="黑体" w:eastAsia="黑体" w:cs="黑体"/>
          <w:b w:val="0"/>
          <w:bCs w:val="0"/>
          <w:color w:val="auto"/>
          <w:spacing w:val="0"/>
          <w:w w:val="100"/>
          <w:sz w:val="32"/>
          <w:szCs w:val="32"/>
          <w:highlight w:val="none"/>
        </w:rPr>
        <w:t xml:space="preserve">第三十六条 </w:t>
      </w:r>
      <w:r>
        <w:rPr>
          <w:rFonts w:hint="eastAsia" w:ascii="仿宋_GB2312" w:hAnsi="仿宋_GB2312" w:eastAsia="仿宋_GB2312" w:cs="仿宋_GB2312"/>
          <w:b w:val="0"/>
          <w:bCs w:val="0"/>
          <w:color w:val="auto"/>
          <w:spacing w:val="0"/>
          <w:w w:val="100"/>
          <w:sz w:val="32"/>
          <w:szCs w:val="32"/>
          <w:highlight w:val="none"/>
        </w:rPr>
        <w:t>建设单位应当严格按照国家有关档案管理的规定，及时收集、整理建设项目各环节的文件资料，建立、健全建设项目档案，并在建设工程竣工验收后，及时向建设行政主管部门移交建设项目档案。</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三十七条</w:t>
      </w:r>
      <w:r>
        <w:rPr>
          <w:rFonts w:hint="eastAsia" w:ascii="仿宋_GB2312" w:hAnsi="仿宋_GB2312" w:eastAsia="仿宋_GB2312" w:cs="仿宋_GB2312"/>
          <w:b w:val="0"/>
          <w:bCs w:val="0"/>
          <w:color w:val="auto"/>
          <w:spacing w:val="0"/>
          <w:w w:val="100"/>
          <w:sz w:val="32"/>
          <w:szCs w:val="32"/>
          <w:highlight w:val="none"/>
          <w:lang w:val="en-US" w:eastAsia="zh-CN"/>
        </w:rPr>
        <w:t xml:space="preserve"> 区投资主管部门和依法对政府投资项目负有监督管理职责的行业主管部门通过在线平台实现政府投资项目信息共享，采取在线监测、现场核查等方式，加强对政府投资项目实施情况的监督检查。</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rPr>
      </w:pPr>
    </w:p>
    <w:p>
      <w:pPr>
        <w:pStyle w:val="3"/>
        <w:pageBreakBefore w:val="0"/>
        <w:numPr>
          <w:ilvl w:val="0"/>
          <w:numId w:val="0"/>
        </w:numPr>
        <w:kinsoku/>
        <w:wordWrap/>
        <w:overflowPunct/>
        <w:topLinePunct w:val="0"/>
        <w:autoSpaceDE/>
        <w:autoSpaceDN/>
        <w:bidi w:val="0"/>
        <w:adjustRightInd/>
        <w:snapToGrid/>
        <w:spacing w:line="558" w:lineRule="exact"/>
        <w:jc w:val="center"/>
        <w:textAlignment w:val="auto"/>
        <w:rPr>
          <w:rFonts w:hint="eastAsia"/>
          <w:b w:val="0"/>
          <w:bCs/>
          <w:color w:val="auto"/>
          <w:lang w:val="en-US" w:eastAsia="zh-CN"/>
        </w:rPr>
      </w:pPr>
      <w:bookmarkStart w:id="7" w:name="_Toc21110_WPSOffice_Level2"/>
      <w:r>
        <w:rPr>
          <w:rFonts w:hint="eastAsia"/>
          <w:b w:val="0"/>
          <w:bCs/>
          <w:color w:val="auto"/>
          <w:lang w:val="en-US" w:eastAsia="zh-CN"/>
        </w:rPr>
        <w:t>第七章  项目后评价管理</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xml:space="preserve"> 区投资主管部门应当组织对项目进行后评价，对竣工验收一定期限后的政府投资项目，对照可行性研究报告及审批文件的主要内容，委托具有工程咨询资质的机构对项目进行后评价，总结经验教训，为项目管理、投资决策提供依据。项目后评价报告可作为政府投资重大决策失误责任追究报告。</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第三十九条</w:t>
      </w:r>
      <w:r>
        <w:rPr>
          <w:rFonts w:hint="eastAsia" w:ascii="仿宋_GB2312" w:hAnsi="仿宋_GB2312" w:eastAsia="仿宋_GB2312" w:cs="仿宋_GB2312"/>
          <w:color w:val="auto"/>
          <w:sz w:val="32"/>
          <w:szCs w:val="32"/>
          <w:lang w:val="en-US" w:eastAsia="zh-CN"/>
        </w:rPr>
        <w:t xml:space="preserve"> 符合下列情况之一，且项目竣工验收满两年的政府投资项目，应当作为后评价备选项目。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（一）投资规模3000万以上的政府投资项目。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（二）实际结算金额超概算的项目。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（三）社会舆论普遍关注的项目。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（四）区政府认为确需开展后评价的其他项目。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xml:space="preserve"> 列入后评价的项目业主单位，应当在项目后评价计划下达3个月内，向区投资主管部门提交项目自我总结评价报告，内容包括项目概况、项目实施过程、项目效益和效果、项目环境和社会效益、项目目标和可持续性，项目主要经验教训、结论和相关建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仿宋_GB2312" w:hAnsi="仿宋_GB2312" w:eastAsia="仿宋_GB2312" w:cs="仿宋_GB2312"/>
          <w:color w:val="auto"/>
          <w:sz w:val="32"/>
          <w:szCs w:val="32"/>
          <w:lang w:val="en-US" w:eastAsia="zh-CN"/>
        </w:rPr>
      </w:pPr>
    </w:p>
    <w:p>
      <w:pPr>
        <w:pStyle w:val="3"/>
        <w:pageBreakBefore w:val="0"/>
        <w:numPr>
          <w:ilvl w:val="0"/>
          <w:numId w:val="0"/>
        </w:numPr>
        <w:kinsoku/>
        <w:wordWrap/>
        <w:overflowPunct/>
        <w:topLinePunct w:val="0"/>
        <w:autoSpaceDE/>
        <w:autoSpaceDN/>
        <w:bidi w:val="0"/>
        <w:adjustRightInd/>
        <w:snapToGrid/>
        <w:spacing w:line="558" w:lineRule="exact"/>
        <w:jc w:val="center"/>
        <w:textAlignment w:val="auto"/>
        <w:rPr>
          <w:rFonts w:hint="eastAsia"/>
          <w:color w:val="auto"/>
          <w:lang w:val="en-US" w:eastAsia="zh-CN"/>
        </w:rPr>
      </w:pPr>
      <w:r>
        <w:rPr>
          <w:rFonts w:hint="eastAsia"/>
          <w:b w:val="0"/>
          <w:bCs/>
          <w:color w:val="auto"/>
          <w:lang w:val="en-US" w:eastAsia="zh-CN"/>
        </w:rPr>
        <w:t>第八章  处罚措施及责任追究</w:t>
      </w:r>
      <w:bookmarkEnd w:id="7"/>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 w:eastAsia="仿宋_GB2312" w:cs="仿宋"/>
          <w:color w:val="auto"/>
          <w:spacing w:val="-4"/>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四十一条</w:t>
      </w:r>
      <w:r>
        <w:rPr>
          <w:rFonts w:hint="eastAsia" w:ascii="黑体" w:hAnsi="黑体" w:eastAsia="黑体" w:cs="黑体"/>
          <w:b w:val="0"/>
          <w:bCs w:val="0"/>
          <w:color w:val="auto"/>
          <w:spacing w:val="0"/>
          <w:w w:val="100"/>
          <w:sz w:val="32"/>
          <w:szCs w:val="32"/>
          <w:highlight w:val="none"/>
          <w:lang w:val="en-US" w:eastAsia="zh-CN"/>
        </w:rPr>
        <w:t xml:space="preserve"> </w:t>
      </w:r>
      <w:r>
        <w:rPr>
          <w:rFonts w:hint="eastAsia" w:ascii="仿宋_GB2312" w:hAnsi="仿宋_GB2312" w:eastAsia="仿宋_GB2312" w:cs="仿宋_GB2312"/>
          <w:b w:val="0"/>
          <w:bCs w:val="0"/>
          <w:color w:val="auto"/>
          <w:spacing w:val="0"/>
          <w:w w:val="100"/>
          <w:sz w:val="32"/>
          <w:szCs w:val="32"/>
          <w:highlight w:val="none"/>
          <w:lang w:val="en-US" w:eastAsia="zh-CN"/>
        </w:rPr>
        <w:t>因测量单位提交的测量成果与项目场地实际高程不符的，经施工单位现场复测，项目业主单位组织参建单位核实后，确属测量单位失误；勘察单位提交的勘探报告地质情况与场地实际不符；设计单位提交的设计成果质量低劣、漏项、深度不够等；监理单位随意、违规签认设计变更、工程签证；施工单位虚假上报设计变更或伪造工程签证等原因，引起设计变更导致项目增加预算评审结论建安工程费达200万元以上（含200 万元），或增加项目预算评审结论建安工程费10%以上（含10%）的。</w:t>
      </w:r>
      <w:r>
        <w:rPr>
          <w:rFonts w:hint="eastAsia" w:ascii="仿宋_GB2312" w:hAnsi="仿宋" w:eastAsia="仿宋_GB2312" w:cs="仿宋"/>
          <w:color w:val="auto"/>
          <w:spacing w:val="-4"/>
          <w:sz w:val="32"/>
          <w:szCs w:val="32"/>
          <w:highlight w:val="none"/>
          <w:lang w:val="en-US" w:eastAsia="zh-CN"/>
        </w:rPr>
        <w:t>由项目业主将相关参建单位失信行为报至区营商环境管理部门，列入区项目建设失信主体库，每半年对相关失信主体单位予以曝光，并推送到信用信息共享平台。禁止其2年内以任何形式参与本区政府投资建设项目的相关工作，相关责任人员涉嫌犯罪的，移送司法机关处理。</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四十二条</w:t>
      </w:r>
      <w:r>
        <w:rPr>
          <w:rFonts w:hint="eastAsia" w:ascii="黑体" w:hAnsi="黑体" w:eastAsia="黑体" w:cs="黑体"/>
          <w:b w:val="0"/>
          <w:bCs w:val="0"/>
          <w:color w:val="auto"/>
          <w:spacing w:val="0"/>
          <w:w w:val="100"/>
          <w:sz w:val="32"/>
          <w:szCs w:val="32"/>
          <w:highlight w:val="none"/>
          <w:lang w:val="en-US" w:eastAsia="zh-CN"/>
        </w:rPr>
        <w:t xml:space="preserve"> </w:t>
      </w:r>
      <w:r>
        <w:rPr>
          <w:rFonts w:hint="default" w:ascii="仿宋_GB2312" w:hAnsi="仿宋_GB2312" w:eastAsia="仿宋_GB2312" w:cs="仿宋_GB2312"/>
          <w:b w:val="0"/>
          <w:bCs w:val="0"/>
          <w:color w:val="auto"/>
          <w:spacing w:val="0"/>
          <w:w w:val="100"/>
          <w:sz w:val="32"/>
          <w:szCs w:val="32"/>
          <w:highlight w:val="none"/>
          <w:lang w:val="en-US" w:eastAsia="zh-CN"/>
        </w:rPr>
        <w:t>项目</w:t>
      </w:r>
      <w:r>
        <w:rPr>
          <w:rFonts w:hint="eastAsia" w:ascii="仿宋_GB2312" w:hAnsi="仿宋_GB2312" w:eastAsia="仿宋_GB2312" w:cs="仿宋_GB2312"/>
          <w:b w:val="0"/>
          <w:bCs w:val="0"/>
          <w:color w:val="auto"/>
          <w:spacing w:val="0"/>
          <w:w w:val="100"/>
          <w:sz w:val="32"/>
          <w:szCs w:val="32"/>
          <w:highlight w:val="none"/>
          <w:lang w:val="en-US" w:eastAsia="zh-CN"/>
        </w:rPr>
        <w:t>业主</w:t>
      </w:r>
      <w:r>
        <w:rPr>
          <w:rFonts w:hint="default" w:ascii="仿宋_GB2312" w:hAnsi="仿宋_GB2312" w:eastAsia="仿宋_GB2312" w:cs="仿宋_GB2312"/>
          <w:b w:val="0"/>
          <w:bCs w:val="0"/>
          <w:color w:val="auto"/>
          <w:spacing w:val="0"/>
          <w:w w:val="100"/>
          <w:sz w:val="32"/>
          <w:szCs w:val="32"/>
          <w:highlight w:val="none"/>
          <w:lang w:val="en-US" w:eastAsia="zh-CN"/>
        </w:rPr>
        <w:t>单位将设计变更拆分，化整为零规避审核或未经批准擅自变更设计并组织实施，由</w:t>
      </w:r>
      <w:r>
        <w:rPr>
          <w:rFonts w:hint="eastAsia" w:ascii="仿宋_GB2312" w:hAnsi="仿宋_GB2312" w:eastAsia="仿宋_GB2312" w:cs="仿宋_GB2312"/>
          <w:b w:val="0"/>
          <w:bCs w:val="0"/>
          <w:color w:val="auto"/>
          <w:spacing w:val="0"/>
          <w:w w:val="100"/>
          <w:sz w:val="32"/>
          <w:szCs w:val="32"/>
          <w:highlight w:val="none"/>
          <w:lang w:val="en-US" w:eastAsia="zh-CN"/>
        </w:rPr>
        <w:t>区</w:t>
      </w:r>
      <w:r>
        <w:rPr>
          <w:rFonts w:hint="default" w:ascii="仿宋_GB2312" w:hAnsi="仿宋_GB2312" w:eastAsia="仿宋_GB2312" w:cs="仿宋_GB2312"/>
          <w:b w:val="0"/>
          <w:bCs w:val="0"/>
          <w:color w:val="auto"/>
          <w:spacing w:val="0"/>
          <w:w w:val="100"/>
          <w:sz w:val="32"/>
          <w:szCs w:val="32"/>
          <w:highlight w:val="none"/>
          <w:lang w:val="en-US" w:eastAsia="zh-CN"/>
        </w:rPr>
        <w:t>投资主管部门责令限期整改</w:t>
      </w:r>
      <w:r>
        <w:rPr>
          <w:rFonts w:hint="eastAsia" w:ascii="仿宋_GB2312" w:hAnsi="仿宋_GB2312" w:eastAsia="仿宋_GB2312" w:cs="仿宋_GB2312"/>
          <w:b w:val="0"/>
          <w:bCs w:val="0"/>
          <w:color w:val="auto"/>
          <w:spacing w:val="0"/>
          <w:w w:val="100"/>
          <w:sz w:val="32"/>
          <w:szCs w:val="32"/>
          <w:highlight w:val="none"/>
          <w:lang w:val="en-US" w:eastAsia="zh-CN"/>
        </w:rPr>
        <w:t>；未</w:t>
      </w:r>
      <w:r>
        <w:rPr>
          <w:rFonts w:hint="default" w:ascii="仿宋_GB2312" w:hAnsi="仿宋_GB2312" w:eastAsia="仿宋_GB2312" w:cs="仿宋_GB2312"/>
          <w:b w:val="0"/>
          <w:bCs w:val="0"/>
          <w:color w:val="auto"/>
          <w:spacing w:val="0"/>
          <w:w w:val="100"/>
          <w:sz w:val="32"/>
          <w:szCs w:val="32"/>
          <w:highlight w:val="none"/>
          <w:lang w:val="en-US" w:eastAsia="zh-CN"/>
        </w:rPr>
        <w:t>按要求整改的，</w:t>
      </w:r>
      <w:r>
        <w:rPr>
          <w:rFonts w:hint="eastAsia" w:ascii="仿宋_GB2312" w:hAnsi="仿宋_GB2312" w:eastAsia="仿宋_GB2312" w:cs="仿宋_GB2312"/>
          <w:b w:val="0"/>
          <w:bCs w:val="0"/>
          <w:color w:val="auto"/>
          <w:spacing w:val="0"/>
          <w:w w:val="100"/>
          <w:sz w:val="32"/>
          <w:szCs w:val="32"/>
          <w:highlight w:val="none"/>
          <w:lang w:val="en-US" w:eastAsia="zh-CN"/>
        </w:rPr>
        <w:t>区</w:t>
      </w:r>
      <w:r>
        <w:rPr>
          <w:rFonts w:hint="default" w:ascii="仿宋_GB2312" w:hAnsi="仿宋_GB2312" w:eastAsia="仿宋_GB2312" w:cs="仿宋_GB2312"/>
          <w:b w:val="0"/>
          <w:bCs w:val="0"/>
          <w:color w:val="auto"/>
          <w:spacing w:val="0"/>
          <w:w w:val="100"/>
          <w:sz w:val="32"/>
          <w:szCs w:val="32"/>
          <w:highlight w:val="none"/>
          <w:lang w:val="en-US" w:eastAsia="zh-CN"/>
        </w:rPr>
        <w:t>财政部门暂停项目资金的拨付。</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四十三条</w:t>
      </w:r>
      <w:r>
        <w:rPr>
          <w:rFonts w:hint="eastAsia" w:ascii="黑体" w:hAnsi="黑体" w:eastAsia="黑体" w:cs="黑体"/>
          <w:b w:val="0"/>
          <w:bCs w:val="0"/>
          <w:color w:val="auto"/>
          <w:spacing w:val="0"/>
          <w:w w:val="100"/>
          <w:sz w:val="32"/>
          <w:szCs w:val="32"/>
          <w:highlight w:val="none"/>
          <w:lang w:val="en-US" w:eastAsia="zh-CN"/>
        </w:rPr>
        <w:t xml:space="preserve"> </w:t>
      </w:r>
      <w:r>
        <w:rPr>
          <w:rFonts w:hint="default" w:ascii="仿宋_GB2312" w:hAnsi="仿宋_GB2312" w:eastAsia="仿宋_GB2312" w:cs="仿宋_GB2312"/>
          <w:b w:val="0"/>
          <w:bCs w:val="0"/>
          <w:color w:val="auto"/>
          <w:spacing w:val="0"/>
          <w:w w:val="100"/>
          <w:sz w:val="32"/>
          <w:szCs w:val="32"/>
          <w:highlight w:val="none"/>
          <w:lang w:val="en-US" w:eastAsia="zh-CN"/>
        </w:rPr>
        <w:t>项目</w:t>
      </w:r>
      <w:r>
        <w:rPr>
          <w:rFonts w:hint="eastAsia" w:ascii="仿宋_GB2312" w:hAnsi="仿宋_GB2312" w:eastAsia="仿宋_GB2312" w:cs="仿宋_GB2312"/>
          <w:b w:val="0"/>
          <w:bCs w:val="0"/>
          <w:color w:val="auto"/>
          <w:spacing w:val="0"/>
          <w:w w:val="100"/>
          <w:sz w:val="32"/>
          <w:szCs w:val="32"/>
          <w:highlight w:val="none"/>
          <w:lang w:val="en-US" w:eastAsia="zh-CN"/>
        </w:rPr>
        <w:t>业主</w:t>
      </w:r>
      <w:r>
        <w:rPr>
          <w:rFonts w:hint="default" w:ascii="仿宋_GB2312" w:hAnsi="仿宋_GB2312" w:eastAsia="仿宋_GB2312" w:cs="仿宋_GB2312"/>
          <w:b w:val="0"/>
          <w:bCs w:val="0"/>
          <w:color w:val="auto"/>
          <w:spacing w:val="0"/>
          <w:w w:val="100"/>
          <w:sz w:val="32"/>
          <w:szCs w:val="32"/>
          <w:highlight w:val="none"/>
          <w:lang w:val="en-US" w:eastAsia="zh-CN"/>
        </w:rPr>
        <w:t>单位应严格按照</w:t>
      </w:r>
      <w:r>
        <w:rPr>
          <w:rFonts w:hint="eastAsia" w:ascii="仿宋_GB2312" w:hAnsi="仿宋_GB2312" w:eastAsia="仿宋_GB2312" w:cs="仿宋_GB2312"/>
          <w:b w:val="0"/>
          <w:bCs w:val="0"/>
          <w:color w:val="auto"/>
          <w:spacing w:val="0"/>
          <w:w w:val="100"/>
          <w:sz w:val="32"/>
          <w:szCs w:val="32"/>
          <w:highlight w:val="none"/>
          <w:lang w:val="en-US" w:eastAsia="zh-CN"/>
        </w:rPr>
        <w:t>相关</w:t>
      </w:r>
      <w:r>
        <w:rPr>
          <w:rFonts w:hint="default" w:ascii="仿宋_GB2312" w:hAnsi="仿宋_GB2312" w:eastAsia="仿宋_GB2312" w:cs="仿宋_GB2312"/>
          <w:b w:val="0"/>
          <w:bCs w:val="0"/>
          <w:color w:val="auto"/>
          <w:spacing w:val="0"/>
          <w:w w:val="100"/>
          <w:sz w:val="32"/>
          <w:szCs w:val="32"/>
          <w:highlight w:val="none"/>
          <w:lang w:val="en-US" w:eastAsia="zh-CN"/>
        </w:rPr>
        <w:t>要求和合同约定，对设计变更的主要和次要责任进行认定和划分，并将对应的结论在设计变更书面申请上进行清晰说明</w:t>
      </w:r>
      <w:r>
        <w:rPr>
          <w:rFonts w:hint="eastAsia" w:ascii="仿宋_GB2312" w:hAnsi="仿宋_GB2312" w:eastAsia="仿宋_GB2312" w:cs="仿宋_GB2312"/>
          <w:b w:val="0"/>
          <w:bCs w:val="0"/>
          <w:color w:val="auto"/>
          <w:spacing w:val="0"/>
          <w:w w:val="100"/>
          <w:sz w:val="32"/>
          <w:szCs w:val="32"/>
          <w:highlight w:val="none"/>
          <w:lang w:val="en-US" w:eastAsia="zh-CN"/>
        </w:rPr>
        <w:t>；</w:t>
      </w:r>
      <w:r>
        <w:rPr>
          <w:rFonts w:hint="default" w:ascii="仿宋_GB2312" w:hAnsi="仿宋_GB2312" w:eastAsia="仿宋_GB2312" w:cs="仿宋_GB2312"/>
          <w:b w:val="0"/>
          <w:bCs w:val="0"/>
          <w:color w:val="auto"/>
          <w:spacing w:val="0"/>
          <w:w w:val="100"/>
          <w:sz w:val="32"/>
          <w:szCs w:val="32"/>
          <w:highlight w:val="none"/>
          <w:lang w:val="en-US" w:eastAsia="zh-CN"/>
        </w:rPr>
        <w:t>项目</w:t>
      </w:r>
      <w:r>
        <w:rPr>
          <w:rFonts w:hint="eastAsia" w:ascii="仿宋_GB2312" w:hAnsi="仿宋_GB2312" w:eastAsia="仿宋_GB2312" w:cs="仿宋_GB2312"/>
          <w:b w:val="0"/>
          <w:bCs w:val="0"/>
          <w:color w:val="auto"/>
          <w:spacing w:val="0"/>
          <w:w w:val="100"/>
          <w:sz w:val="32"/>
          <w:szCs w:val="32"/>
          <w:highlight w:val="none"/>
          <w:lang w:val="en-US" w:eastAsia="zh-CN"/>
        </w:rPr>
        <w:t>业主</w:t>
      </w:r>
      <w:r>
        <w:rPr>
          <w:rFonts w:hint="default" w:ascii="仿宋_GB2312" w:hAnsi="仿宋_GB2312" w:eastAsia="仿宋_GB2312" w:cs="仿宋_GB2312"/>
          <w:b w:val="0"/>
          <w:bCs w:val="0"/>
          <w:color w:val="auto"/>
          <w:spacing w:val="0"/>
          <w:w w:val="100"/>
          <w:sz w:val="32"/>
          <w:szCs w:val="32"/>
          <w:highlight w:val="none"/>
          <w:lang w:val="en-US" w:eastAsia="zh-CN"/>
        </w:rPr>
        <w:t>单位负责根据设计变更产生的原因，编制责任认定说明，对变更原因、追偿对象、追偿事宜等进行明确，在报送设计变更申请材料时同步提交后</w:t>
      </w:r>
      <w:r>
        <w:rPr>
          <w:rFonts w:hint="eastAsia" w:ascii="仿宋_GB2312" w:hAnsi="仿宋_GB2312" w:eastAsia="仿宋_GB2312" w:cs="仿宋_GB2312"/>
          <w:b w:val="0"/>
          <w:bCs w:val="0"/>
          <w:color w:val="auto"/>
          <w:spacing w:val="0"/>
          <w:w w:val="100"/>
          <w:sz w:val="32"/>
          <w:szCs w:val="32"/>
          <w:highlight w:val="none"/>
          <w:lang w:val="en-US" w:eastAsia="zh-CN"/>
        </w:rPr>
        <w:t>，</w:t>
      </w:r>
      <w:r>
        <w:rPr>
          <w:rFonts w:hint="default" w:ascii="仿宋_GB2312" w:hAnsi="仿宋_GB2312" w:eastAsia="仿宋_GB2312" w:cs="仿宋_GB2312"/>
          <w:b w:val="0"/>
          <w:bCs w:val="0"/>
          <w:color w:val="auto"/>
          <w:spacing w:val="0"/>
          <w:w w:val="100"/>
          <w:sz w:val="32"/>
          <w:szCs w:val="32"/>
          <w:highlight w:val="none"/>
          <w:lang w:val="en-US" w:eastAsia="zh-CN"/>
        </w:rPr>
        <w:t>由项目</w:t>
      </w:r>
      <w:r>
        <w:rPr>
          <w:rFonts w:hint="eastAsia" w:ascii="仿宋_GB2312" w:hAnsi="仿宋_GB2312" w:eastAsia="仿宋_GB2312" w:cs="仿宋_GB2312"/>
          <w:b w:val="0"/>
          <w:bCs w:val="0"/>
          <w:color w:val="auto"/>
          <w:spacing w:val="0"/>
          <w:w w:val="100"/>
          <w:sz w:val="32"/>
          <w:szCs w:val="32"/>
          <w:highlight w:val="none"/>
          <w:lang w:val="en-US" w:eastAsia="zh-CN"/>
        </w:rPr>
        <w:t>业主</w:t>
      </w:r>
      <w:r>
        <w:rPr>
          <w:rFonts w:hint="default" w:ascii="仿宋_GB2312" w:hAnsi="仿宋_GB2312" w:eastAsia="仿宋_GB2312" w:cs="仿宋_GB2312"/>
          <w:b w:val="0"/>
          <w:bCs w:val="0"/>
          <w:color w:val="auto"/>
          <w:spacing w:val="0"/>
          <w:w w:val="100"/>
          <w:sz w:val="32"/>
          <w:szCs w:val="32"/>
          <w:highlight w:val="none"/>
          <w:lang w:val="en-US" w:eastAsia="zh-CN"/>
        </w:rPr>
        <w:t>单位负责组织落实。项目单位要根据法律法规和合同约定向有关单位追偿。相关责任人员涉嫌犯罪的，移送司法机关处理</w:t>
      </w:r>
      <w:r>
        <w:rPr>
          <w:rFonts w:hint="eastAsia" w:ascii="仿宋_GB2312" w:hAnsi="仿宋_GB2312" w:eastAsia="仿宋_GB2312" w:cs="仿宋_GB2312"/>
          <w:b w:val="0"/>
          <w:bCs w:val="0"/>
          <w:color w:val="auto"/>
          <w:spacing w:val="0"/>
          <w:w w:val="100"/>
          <w:sz w:val="32"/>
          <w:szCs w:val="32"/>
          <w:highlight w:val="none"/>
          <w:lang w:val="en-US" w:eastAsia="zh-CN"/>
        </w:rPr>
        <w:t>，</w:t>
      </w:r>
      <w:r>
        <w:rPr>
          <w:rFonts w:hint="default" w:ascii="仿宋_GB2312" w:hAnsi="仿宋_GB2312" w:eastAsia="仿宋_GB2312" w:cs="仿宋_GB2312"/>
          <w:b w:val="0"/>
          <w:bCs w:val="0"/>
          <w:color w:val="auto"/>
          <w:spacing w:val="0"/>
          <w:w w:val="100"/>
          <w:sz w:val="32"/>
          <w:szCs w:val="32"/>
          <w:highlight w:val="none"/>
          <w:lang w:val="en-US" w:eastAsia="zh-CN"/>
        </w:rPr>
        <w:t>具体违约处罚由合同主体单位在合同内约定。</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 w:eastAsia="仿宋_GB2312" w:cs="仿宋"/>
          <w:color w:val="auto"/>
          <w:spacing w:val="-4"/>
          <w:sz w:val="32"/>
          <w:szCs w:val="32"/>
          <w:highlight w:val="none"/>
          <w:lang w:val="en-US" w:eastAsia="zh-CN"/>
        </w:rPr>
      </w:pPr>
      <w:r>
        <w:rPr>
          <w:rFonts w:hint="eastAsia" w:ascii="黑体" w:hAnsi="黑体" w:eastAsia="黑体" w:cs="黑体"/>
          <w:b w:val="0"/>
          <w:bCs w:val="0"/>
          <w:color w:val="auto"/>
          <w:spacing w:val="0"/>
          <w:w w:val="100"/>
          <w:sz w:val="32"/>
          <w:szCs w:val="32"/>
          <w:highlight w:val="none"/>
        </w:rPr>
        <w:t>第</w:t>
      </w:r>
      <w:r>
        <w:rPr>
          <w:rFonts w:hint="eastAsia" w:ascii="黑体" w:hAnsi="黑体" w:eastAsia="黑体" w:cs="黑体"/>
          <w:b w:val="0"/>
          <w:bCs w:val="0"/>
          <w:color w:val="auto"/>
          <w:spacing w:val="0"/>
          <w:w w:val="100"/>
          <w:sz w:val="32"/>
          <w:szCs w:val="32"/>
          <w:highlight w:val="none"/>
          <w:lang w:eastAsia="zh-CN"/>
        </w:rPr>
        <w:t>四十三条</w:t>
      </w:r>
      <w:r>
        <w:rPr>
          <w:rFonts w:hint="eastAsia" w:ascii="黑体" w:hAnsi="黑体" w:eastAsia="黑体" w:cs="黑体"/>
          <w:b w:val="0"/>
          <w:bCs w:val="0"/>
          <w:color w:val="auto"/>
          <w:spacing w:val="0"/>
          <w:w w:val="100"/>
          <w:sz w:val="32"/>
          <w:szCs w:val="32"/>
          <w:highlight w:val="none"/>
          <w:lang w:val="en-US" w:eastAsia="zh-CN"/>
        </w:rPr>
        <w:t xml:space="preserve"> </w:t>
      </w:r>
      <w:r>
        <w:rPr>
          <w:rFonts w:hint="default" w:ascii="仿宋_GB2312" w:hAnsi="仿宋_GB2312" w:eastAsia="仿宋_GB2312" w:cs="仿宋_GB2312"/>
          <w:b w:val="0"/>
          <w:bCs w:val="0"/>
          <w:color w:val="auto"/>
          <w:spacing w:val="0"/>
          <w:w w:val="100"/>
          <w:sz w:val="32"/>
          <w:szCs w:val="32"/>
          <w:highlight w:val="none"/>
          <w:lang w:val="en-US" w:eastAsia="zh-CN"/>
        </w:rPr>
        <w:t xml:space="preserve">因测量单位、设计单位、勘察单位、监理单位、代建 </w:t>
      </w:r>
      <w:r>
        <w:rPr>
          <w:rFonts w:hint="eastAsia" w:ascii="仿宋_GB2312" w:hAnsi="仿宋_GB2312" w:eastAsia="仿宋_GB2312" w:cs="仿宋_GB2312"/>
          <w:b w:val="0"/>
          <w:bCs w:val="0"/>
          <w:color w:val="auto"/>
          <w:spacing w:val="0"/>
          <w:w w:val="100"/>
          <w:sz w:val="32"/>
          <w:szCs w:val="32"/>
          <w:highlight w:val="none"/>
          <w:lang w:val="en-US" w:eastAsia="zh-CN"/>
        </w:rPr>
        <w:t>（</w:t>
      </w:r>
      <w:r>
        <w:rPr>
          <w:rFonts w:hint="default" w:ascii="仿宋_GB2312" w:hAnsi="仿宋_GB2312" w:eastAsia="仿宋_GB2312" w:cs="仿宋_GB2312"/>
          <w:b w:val="0"/>
          <w:bCs w:val="0"/>
          <w:color w:val="auto"/>
          <w:spacing w:val="0"/>
          <w:w w:val="100"/>
          <w:sz w:val="32"/>
          <w:szCs w:val="32"/>
          <w:highlight w:val="none"/>
          <w:lang w:val="en-US" w:eastAsia="zh-CN"/>
        </w:rPr>
        <w:t>代管</w:t>
      </w:r>
      <w:r>
        <w:rPr>
          <w:rFonts w:hint="eastAsia" w:ascii="仿宋_GB2312" w:hAnsi="仿宋_GB2312" w:eastAsia="仿宋_GB2312" w:cs="仿宋_GB2312"/>
          <w:b w:val="0"/>
          <w:bCs w:val="0"/>
          <w:color w:val="auto"/>
          <w:spacing w:val="0"/>
          <w:w w:val="100"/>
          <w:sz w:val="32"/>
          <w:szCs w:val="32"/>
          <w:highlight w:val="none"/>
          <w:lang w:val="en-US" w:eastAsia="zh-CN"/>
        </w:rPr>
        <w:t>）</w:t>
      </w:r>
      <w:r>
        <w:rPr>
          <w:rFonts w:hint="default" w:ascii="仿宋_GB2312" w:hAnsi="仿宋_GB2312" w:eastAsia="仿宋_GB2312" w:cs="仿宋_GB2312"/>
          <w:b w:val="0"/>
          <w:bCs w:val="0"/>
          <w:color w:val="auto"/>
          <w:spacing w:val="0"/>
          <w:w w:val="100"/>
          <w:sz w:val="32"/>
          <w:szCs w:val="32"/>
          <w:highlight w:val="none"/>
          <w:lang w:val="en-US" w:eastAsia="zh-CN"/>
        </w:rPr>
        <w:t>单位、施工单位等参建单位伪造或出具虚假资料，弄虚作假造成损失的，依法承担赔偿责任，项目</w:t>
      </w:r>
      <w:r>
        <w:rPr>
          <w:rFonts w:hint="eastAsia" w:ascii="仿宋_GB2312" w:hAnsi="仿宋_GB2312" w:eastAsia="仿宋_GB2312" w:cs="仿宋_GB2312"/>
          <w:b w:val="0"/>
          <w:bCs w:val="0"/>
          <w:color w:val="auto"/>
          <w:spacing w:val="0"/>
          <w:w w:val="100"/>
          <w:sz w:val="32"/>
          <w:szCs w:val="32"/>
          <w:highlight w:val="none"/>
          <w:lang w:val="en-US" w:eastAsia="zh-CN"/>
        </w:rPr>
        <w:t>业主</w:t>
      </w:r>
      <w:r>
        <w:rPr>
          <w:rFonts w:hint="default" w:ascii="仿宋_GB2312" w:hAnsi="仿宋_GB2312" w:eastAsia="仿宋_GB2312" w:cs="仿宋_GB2312"/>
          <w:b w:val="0"/>
          <w:bCs w:val="0"/>
          <w:color w:val="auto"/>
          <w:spacing w:val="0"/>
          <w:w w:val="100"/>
          <w:sz w:val="32"/>
          <w:szCs w:val="32"/>
          <w:highlight w:val="none"/>
          <w:lang w:val="en-US" w:eastAsia="zh-CN"/>
        </w:rPr>
        <w:t>单位应根据法律法规和合同约定向有关参建单位追偿。</w:t>
      </w:r>
    </w:p>
    <w:p>
      <w:pPr>
        <w:keepNext w:val="0"/>
        <w:keepLines w:val="0"/>
        <w:pageBreakBefore w:val="0"/>
        <w:kinsoku/>
        <w:wordWrap/>
        <w:overflowPunct/>
        <w:topLinePunct w:val="0"/>
        <w:autoSpaceDE/>
        <w:autoSpaceDN/>
        <w:bidi w:val="0"/>
        <w:adjustRightInd/>
        <w:snapToGrid/>
        <w:spacing w:line="558"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0"/>
          <w:w w:val="100"/>
          <w:sz w:val="32"/>
          <w:szCs w:val="32"/>
          <w:highlight w:val="none"/>
          <w:lang w:val="en-US" w:eastAsia="zh-CN"/>
        </w:rPr>
        <w:t>第四十四条</w:t>
      </w:r>
      <w:r>
        <w:rPr>
          <w:rFonts w:hint="eastAsia" w:ascii="仿宋_GB2312" w:hAnsi="仿宋_GB2312" w:eastAsia="仿宋_GB2312" w:cs="仿宋_GB2312"/>
          <w:b w:val="0"/>
          <w:bCs w:val="0"/>
          <w:color w:val="auto"/>
          <w:spacing w:val="0"/>
          <w:w w:val="100"/>
          <w:sz w:val="32"/>
          <w:szCs w:val="32"/>
          <w:highlight w:val="none"/>
          <w:lang w:val="en-US" w:eastAsia="zh-CN"/>
        </w:rPr>
        <w:t xml:space="preserve"> 在项目前期工作中，项目业主应当对受委托的技术咨询机构出具的技术成果进行严格审核。如技术成果编制不符合现场实际或规范要求，并造成审查时间延误的，对未经公开招标确定的编制单位无条件更换，对公开招标确定的编制单位追加处罚措施，相关要求在招标文件和合同协议中明确。</w:t>
      </w:r>
    </w:p>
    <w:p>
      <w:pPr>
        <w:keepNext w:val="0"/>
        <w:keepLines w:val="0"/>
        <w:pageBreakBefore w:val="0"/>
        <w:kinsoku/>
        <w:wordWrap/>
        <w:overflowPunct/>
        <w:topLinePunct w:val="0"/>
        <w:autoSpaceDE/>
        <w:autoSpaceDN/>
        <w:bidi w:val="0"/>
        <w:adjustRightInd/>
        <w:snapToGrid/>
        <w:spacing w:line="558" w:lineRule="exact"/>
        <w:ind w:firstLine="624" w:firstLineChars="200"/>
        <w:jc w:val="both"/>
        <w:textAlignment w:val="auto"/>
        <w:rPr>
          <w:rFonts w:hint="eastAsia" w:ascii="仿宋_GB2312" w:hAnsi="仿宋" w:eastAsia="仿宋_GB2312" w:cs="仿宋"/>
          <w:b w:val="0"/>
          <w:bCs w:val="0"/>
          <w:color w:val="auto"/>
          <w:spacing w:val="-4"/>
          <w:sz w:val="32"/>
          <w:szCs w:val="32"/>
          <w:highlight w:val="none"/>
          <w:lang w:val="en-US" w:eastAsia="zh-CN"/>
        </w:rPr>
      </w:pPr>
      <w:r>
        <w:rPr>
          <w:rFonts w:hint="eastAsia" w:ascii="黑体" w:hAnsi="黑体" w:eastAsia="黑体" w:cs="黑体"/>
          <w:b w:val="0"/>
          <w:bCs w:val="0"/>
          <w:color w:val="auto"/>
          <w:spacing w:val="-4"/>
          <w:sz w:val="32"/>
          <w:szCs w:val="32"/>
          <w:highlight w:val="none"/>
          <w:lang w:val="en-US" w:eastAsia="zh-CN"/>
        </w:rPr>
        <w:t>第四十五条</w:t>
      </w:r>
      <w:r>
        <w:rPr>
          <w:rFonts w:hint="eastAsia" w:ascii="仿宋_GB2312" w:hAnsi="仿宋" w:eastAsia="仿宋_GB2312" w:cs="仿宋"/>
          <w:b w:val="0"/>
          <w:bCs w:val="0"/>
          <w:color w:val="auto"/>
          <w:spacing w:val="-4"/>
          <w:sz w:val="32"/>
          <w:szCs w:val="32"/>
          <w:highlight w:val="none"/>
          <w:lang w:val="en-US" w:eastAsia="zh-CN"/>
        </w:rPr>
        <w:t xml:space="preserve"> 在项目实施过程中，代建（代管）单位存在滥用职权、玩忽职守、串通舞弊、索贿受贿、违法转包分包等违法违规行为的，依法追究单位及其相应工作人员的责任;涉嫌犯罪的，依法移交司法机关处理。</w:t>
      </w:r>
    </w:p>
    <w:p>
      <w:pPr>
        <w:keepNext w:val="0"/>
        <w:keepLines w:val="0"/>
        <w:pageBreakBefore w:val="0"/>
        <w:kinsoku/>
        <w:wordWrap/>
        <w:overflowPunct/>
        <w:topLinePunct w:val="0"/>
        <w:autoSpaceDE/>
        <w:autoSpaceDN/>
        <w:bidi w:val="0"/>
        <w:adjustRightInd/>
        <w:snapToGrid/>
        <w:spacing w:line="558" w:lineRule="exact"/>
        <w:ind w:firstLine="624" w:firstLineChars="200"/>
        <w:jc w:val="both"/>
        <w:textAlignment w:val="auto"/>
        <w:rPr>
          <w:rFonts w:hint="default" w:ascii="仿宋_GB2312" w:hAnsi="仿宋_GB2312" w:eastAsia="仿宋_GB2312" w:cs="仿宋_GB2312"/>
          <w:b w:val="0"/>
          <w:bCs w:val="0"/>
          <w:color w:val="auto"/>
          <w:spacing w:val="0"/>
          <w:w w:val="100"/>
          <w:sz w:val="32"/>
          <w:szCs w:val="32"/>
          <w:highlight w:val="none"/>
          <w:lang w:val="en-US" w:eastAsia="zh-CN"/>
        </w:rPr>
      </w:pPr>
      <w:r>
        <w:rPr>
          <w:rFonts w:hint="eastAsia" w:ascii="黑体" w:hAnsi="黑体" w:eastAsia="黑体" w:cs="黑体"/>
          <w:b w:val="0"/>
          <w:bCs w:val="0"/>
          <w:color w:val="auto"/>
          <w:spacing w:val="-4"/>
          <w:sz w:val="32"/>
          <w:szCs w:val="32"/>
          <w:highlight w:val="none"/>
          <w:lang w:val="en-US" w:eastAsia="zh-CN"/>
        </w:rPr>
        <w:t xml:space="preserve">第四十六条 </w:t>
      </w:r>
      <w:r>
        <w:rPr>
          <w:rFonts w:hint="eastAsia" w:ascii="仿宋_GB2312" w:hAnsi="仿宋_GB2312" w:eastAsia="仿宋_GB2312" w:cs="仿宋_GB2312"/>
          <w:b w:val="0"/>
          <w:bCs w:val="0"/>
          <w:color w:val="auto"/>
          <w:spacing w:val="0"/>
          <w:w w:val="100"/>
          <w:sz w:val="32"/>
          <w:szCs w:val="32"/>
          <w:highlight w:val="none"/>
          <w:lang w:val="en-US" w:eastAsia="zh-CN"/>
        </w:rPr>
        <w:t>禁止任何人员以任何方式非法干预招投标工作。招标人不得组织潜在投标人踏勘项目现场。招标人不得将项目拆解规避招标。发现上述违法行为的，由项目招标行业监管部门移交区纪律监察部门查处。涉嫌犯罪的，依法移交司法机关处理。</w:t>
      </w:r>
    </w:p>
    <w:p>
      <w:pPr>
        <w:keepNext w:val="0"/>
        <w:keepLines w:val="0"/>
        <w:pageBreakBefore w:val="0"/>
        <w:kinsoku/>
        <w:wordWrap/>
        <w:overflowPunct/>
        <w:topLinePunct w:val="0"/>
        <w:autoSpaceDE/>
        <w:autoSpaceDN/>
        <w:bidi w:val="0"/>
        <w:adjustRightInd/>
        <w:snapToGrid/>
        <w:spacing w:line="558" w:lineRule="exact"/>
        <w:ind w:firstLine="624" w:firstLineChars="200"/>
        <w:jc w:val="both"/>
        <w:textAlignment w:val="auto"/>
        <w:rPr>
          <w:rFonts w:hint="eastAsia" w:ascii="仿宋_GB2312" w:hAnsi="仿宋" w:eastAsia="仿宋_GB2312" w:cs="仿宋"/>
          <w:b w:val="0"/>
          <w:bCs w:val="0"/>
          <w:color w:val="auto"/>
          <w:spacing w:val="-4"/>
          <w:sz w:val="32"/>
          <w:szCs w:val="32"/>
          <w:highlight w:val="none"/>
          <w:lang w:val="en-US" w:eastAsia="zh-CN"/>
        </w:rPr>
      </w:pPr>
      <w:r>
        <w:rPr>
          <w:rFonts w:hint="eastAsia" w:ascii="黑体" w:hAnsi="黑体" w:eastAsia="黑体" w:cs="黑体"/>
          <w:b w:val="0"/>
          <w:bCs w:val="0"/>
          <w:color w:val="auto"/>
          <w:spacing w:val="-4"/>
          <w:sz w:val="32"/>
          <w:szCs w:val="32"/>
          <w:highlight w:val="none"/>
          <w:lang w:val="en-US" w:eastAsia="zh-CN"/>
        </w:rPr>
        <w:t xml:space="preserve">第四十七条 </w:t>
      </w:r>
      <w:r>
        <w:rPr>
          <w:rFonts w:hint="eastAsia" w:ascii="仿宋_GB2312" w:hAnsi="仿宋" w:eastAsia="仿宋_GB2312" w:cs="仿宋"/>
          <w:b w:val="0"/>
          <w:bCs w:val="0"/>
          <w:color w:val="auto"/>
          <w:spacing w:val="-4"/>
          <w:sz w:val="32"/>
          <w:szCs w:val="32"/>
          <w:highlight w:val="none"/>
          <w:lang w:val="en-US" w:eastAsia="zh-CN"/>
        </w:rPr>
        <w:t>项目业主及代建（代管）单位应妥善保管项目相关资料，并定期向区投资主管部门报告项目推进相关情况。未按照规定将政府投资项目审批和实施过程中的有资料存档备查，或者转移、隐匿、篡改、毁弃项目有关资料的，建设行政主管部门或者其他有关部门依照法定职权责令限期改正，并根据相关规定进行处罚。</w:t>
      </w:r>
    </w:p>
    <w:p>
      <w:pPr>
        <w:keepNext w:val="0"/>
        <w:keepLines w:val="0"/>
        <w:pageBreakBefore w:val="0"/>
        <w:kinsoku/>
        <w:wordWrap/>
        <w:overflowPunct/>
        <w:topLinePunct w:val="0"/>
        <w:autoSpaceDE/>
        <w:autoSpaceDN/>
        <w:bidi w:val="0"/>
        <w:adjustRightInd/>
        <w:snapToGrid/>
        <w:spacing w:line="558" w:lineRule="exact"/>
        <w:jc w:val="left"/>
        <w:textAlignment w:val="auto"/>
        <w:rPr>
          <w:rFonts w:hint="default" w:ascii="方正小标宋_GBK" w:hAnsi="方正小标宋_GBK" w:eastAsia="方正小标宋_GBK" w:cs="方正小标宋_GBK"/>
          <w:b w:val="0"/>
          <w:bCs w:val="0"/>
          <w:color w:val="auto"/>
          <w:spacing w:val="-4"/>
          <w:sz w:val="32"/>
          <w:szCs w:val="32"/>
          <w:highlight w:val="none"/>
          <w:lang w:val="en-US" w:eastAsia="zh-CN"/>
        </w:rPr>
      </w:pPr>
    </w:p>
    <w:p>
      <w:pPr>
        <w:pStyle w:val="2"/>
        <w:pageBreakBefore w:val="0"/>
        <w:kinsoku/>
        <w:wordWrap/>
        <w:overflowPunct/>
        <w:topLinePunct w:val="0"/>
        <w:autoSpaceDE/>
        <w:autoSpaceDN/>
        <w:bidi w:val="0"/>
        <w:adjustRightInd/>
        <w:snapToGrid/>
        <w:spacing w:line="558" w:lineRule="exact"/>
        <w:jc w:val="center"/>
        <w:textAlignment w:val="auto"/>
        <w:rPr>
          <w:rFonts w:hint="eastAsia" w:ascii="黑体" w:hAnsi="黑体" w:eastAsia="黑体" w:cs="黑体"/>
          <w:color w:val="auto"/>
          <w:sz w:val="32"/>
          <w:szCs w:val="32"/>
        </w:rPr>
      </w:pPr>
      <w:bookmarkStart w:id="8" w:name="_Toc32653_WPSOffice_Level1"/>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bookmarkEnd w:id="8"/>
    </w:p>
    <w:p>
      <w:pPr>
        <w:rPr>
          <w:rFonts w:hint="eastAsia"/>
          <w:color w:val="auto"/>
        </w:rPr>
      </w:pP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bookmarkStart w:id="9" w:name="_Toc21110_WPSOffice_Level1"/>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四十八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省、市级投资的项目，按</w:t>
      </w:r>
      <w:r>
        <w:rPr>
          <w:rFonts w:hint="eastAsia" w:ascii="仿宋_GB2312" w:hAnsi="仿宋_GB2312" w:eastAsia="仿宋_GB2312" w:cs="仿宋_GB2312"/>
          <w:b w:val="0"/>
          <w:bCs w:val="0"/>
          <w:color w:val="auto"/>
          <w:sz w:val="32"/>
          <w:szCs w:val="32"/>
          <w:highlight w:val="none"/>
          <w:lang w:eastAsia="zh-CN"/>
        </w:rPr>
        <w:t>其</w:t>
      </w:r>
      <w:r>
        <w:rPr>
          <w:rFonts w:hint="eastAsia" w:ascii="仿宋_GB2312" w:hAnsi="仿宋_GB2312" w:eastAsia="仿宋_GB2312" w:cs="仿宋_GB2312"/>
          <w:b w:val="0"/>
          <w:bCs w:val="0"/>
          <w:color w:val="auto"/>
          <w:sz w:val="32"/>
          <w:szCs w:val="32"/>
          <w:highlight w:val="none"/>
        </w:rPr>
        <w:t>相关规定</w:t>
      </w:r>
      <w:r>
        <w:rPr>
          <w:rFonts w:hint="eastAsia" w:ascii="仿宋_GB2312" w:hAnsi="仿宋_GB2312" w:eastAsia="仿宋_GB2312" w:cs="仿宋_GB2312"/>
          <w:b w:val="0"/>
          <w:bCs w:val="0"/>
          <w:color w:val="auto"/>
          <w:sz w:val="32"/>
          <w:szCs w:val="32"/>
          <w:highlight w:val="none"/>
          <w:lang w:eastAsia="zh-CN"/>
        </w:rPr>
        <w:t>执行</w:t>
      </w:r>
      <w:r>
        <w:rPr>
          <w:rFonts w:hint="eastAsia" w:ascii="仿宋_GB2312" w:hAnsi="仿宋_GB2312" w:eastAsia="仿宋_GB2312" w:cs="仿宋_GB2312"/>
          <w:b w:val="0"/>
          <w:bCs w:val="0"/>
          <w:color w:val="auto"/>
          <w:sz w:val="32"/>
          <w:szCs w:val="32"/>
          <w:highlight w:val="none"/>
        </w:rPr>
        <w:t>。</w:t>
      </w:r>
      <w:bookmarkEnd w:id="9"/>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第四十九</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本办法未规定的其他事项，按照</w:t>
      </w:r>
      <w:r>
        <w:rPr>
          <w:rFonts w:hint="eastAsia" w:ascii="仿宋_GB2312" w:eastAsia="仿宋_GB2312"/>
          <w:b w:val="0"/>
          <w:bCs w:val="0"/>
          <w:color w:val="auto"/>
          <w:sz w:val="32"/>
          <w:szCs w:val="32"/>
          <w:highlight w:val="none"/>
          <w:lang w:eastAsia="zh-CN"/>
        </w:rPr>
        <w:t>法律法规规章和上级</w:t>
      </w:r>
      <w:r>
        <w:rPr>
          <w:rFonts w:hint="eastAsia" w:ascii="仿宋_GB2312" w:eastAsia="仿宋_GB2312"/>
          <w:b w:val="0"/>
          <w:bCs w:val="0"/>
          <w:color w:val="auto"/>
          <w:sz w:val="32"/>
          <w:szCs w:val="32"/>
          <w:highlight w:val="none"/>
        </w:rPr>
        <w:t>相关文件执行。</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五十</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本办法</w:t>
      </w:r>
      <w:r>
        <w:rPr>
          <w:rFonts w:hint="eastAsia" w:ascii="仿宋_GB2312" w:eastAsia="仿宋_GB2312"/>
          <w:b w:val="0"/>
          <w:bCs w:val="0"/>
          <w:color w:val="auto"/>
          <w:sz w:val="32"/>
          <w:szCs w:val="32"/>
          <w:highlight w:val="none"/>
          <w:lang w:eastAsia="zh-CN"/>
        </w:rPr>
        <w:t>的具体应用问题</w:t>
      </w:r>
      <w:r>
        <w:rPr>
          <w:rFonts w:hint="eastAsia" w:ascii="仿宋_GB2312" w:eastAsia="仿宋_GB2312"/>
          <w:b w:val="0"/>
          <w:bCs w:val="0"/>
          <w:color w:val="auto"/>
          <w:sz w:val="32"/>
          <w:szCs w:val="32"/>
          <w:highlight w:val="none"/>
        </w:rPr>
        <w:t>由</w:t>
      </w:r>
      <w:r>
        <w:rPr>
          <w:rFonts w:hint="eastAsia" w:ascii="仿宋_GB2312" w:eastAsia="仿宋_GB2312"/>
          <w:b w:val="0"/>
          <w:bCs w:val="0"/>
          <w:color w:val="auto"/>
          <w:sz w:val="32"/>
          <w:szCs w:val="32"/>
          <w:highlight w:val="none"/>
          <w:lang w:eastAsia="zh-CN"/>
        </w:rPr>
        <w:t>三亚市崖州</w:t>
      </w:r>
      <w:r>
        <w:rPr>
          <w:rFonts w:hint="eastAsia" w:ascii="仿宋_GB2312" w:eastAsia="仿宋_GB2312"/>
          <w:b w:val="0"/>
          <w:bCs w:val="0"/>
          <w:color w:val="auto"/>
          <w:sz w:val="32"/>
          <w:szCs w:val="32"/>
          <w:highlight w:val="none"/>
        </w:rPr>
        <w:t>区发展</w:t>
      </w:r>
      <w:r>
        <w:rPr>
          <w:rFonts w:hint="eastAsia" w:ascii="仿宋_GB2312" w:eastAsia="仿宋_GB2312"/>
          <w:b w:val="0"/>
          <w:bCs w:val="0"/>
          <w:color w:val="auto"/>
          <w:sz w:val="32"/>
          <w:szCs w:val="32"/>
          <w:highlight w:val="none"/>
          <w:lang w:eastAsia="zh-CN"/>
        </w:rPr>
        <w:t>和</w:t>
      </w:r>
      <w:r>
        <w:rPr>
          <w:rFonts w:hint="eastAsia" w:ascii="仿宋_GB2312" w:eastAsia="仿宋_GB2312"/>
          <w:b w:val="0"/>
          <w:bCs w:val="0"/>
          <w:color w:val="auto"/>
          <w:sz w:val="32"/>
          <w:szCs w:val="32"/>
          <w:highlight w:val="none"/>
        </w:rPr>
        <w:t>改革</w:t>
      </w:r>
      <w:r>
        <w:rPr>
          <w:rFonts w:hint="eastAsia" w:ascii="仿宋_GB2312" w:eastAsia="仿宋_GB2312"/>
          <w:b w:val="0"/>
          <w:bCs w:val="0"/>
          <w:color w:val="auto"/>
          <w:sz w:val="32"/>
          <w:szCs w:val="32"/>
          <w:highlight w:val="none"/>
          <w:lang w:eastAsia="zh-CN"/>
        </w:rPr>
        <w:t>委员会</w:t>
      </w:r>
      <w:r>
        <w:rPr>
          <w:rFonts w:hint="eastAsia" w:ascii="仿宋_GB2312" w:eastAsia="仿宋_GB2312"/>
          <w:b w:val="0"/>
          <w:bCs w:val="0"/>
          <w:color w:val="auto"/>
          <w:sz w:val="32"/>
          <w:szCs w:val="32"/>
          <w:highlight w:val="none"/>
        </w:rPr>
        <w:t>负责解释。</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eastAsia="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五十一</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w:t>
      </w:r>
      <w:r>
        <w:rPr>
          <w:rFonts w:hint="default" w:ascii="Times New Roman" w:hAnsi="Times New Roman" w:eastAsia="仿宋_GB2312" w:cs="Times New Roman"/>
          <w:i w:val="0"/>
          <w:iCs w:val="0"/>
          <w:caps w:val="0"/>
          <w:color w:val="auto"/>
          <w:spacing w:val="0"/>
          <w:sz w:val="32"/>
          <w:szCs w:val="32"/>
          <w:shd w:val="clear" w:fill="FFFFFF"/>
        </w:rPr>
        <w:t>本办法</w:t>
      </w:r>
      <w:r>
        <w:rPr>
          <w:rFonts w:hint="default" w:ascii="Times New Roman" w:hAnsi="Times New Roman" w:eastAsia="仿宋_GB2312" w:cs="Times New Roman"/>
          <w:i w:val="0"/>
          <w:iCs w:val="0"/>
          <w:caps w:val="0"/>
          <w:color w:val="auto"/>
          <w:spacing w:val="0"/>
          <w:sz w:val="32"/>
          <w:szCs w:val="32"/>
          <w:shd w:val="clear" w:color="auto" w:fill="FFFFFF"/>
        </w:rPr>
        <w:t>自</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202</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年</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月</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25</w:t>
      </w:r>
      <w:r>
        <w:rPr>
          <w:rFonts w:hint="default" w:ascii="Times New Roman" w:hAnsi="Times New Roman" w:eastAsia="仿宋_GB2312" w:cs="Times New Roman"/>
          <w:i w:val="0"/>
          <w:iCs w:val="0"/>
          <w:caps w:val="0"/>
          <w:color w:val="auto"/>
          <w:spacing w:val="0"/>
          <w:sz w:val="32"/>
          <w:szCs w:val="32"/>
          <w:shd w:val="clear" w:color="auto" w:fill="FFFFFF"/>
        </w:rPr>
        <w:t>日起施行</w:t>
      </w:r>
      <w:r>
        <w:rPr>
          <w:rFonts w:hint="default" w:ascii="Times New Roman" w:hAnsi="Times New Roman" w:eastAsia="仿宋_GB2312" w:cs="Times New Roman"/>
          <w:i w:val="0"/>
          <w:iCs w:val="0"/>
          <w:caps w:val="0"/>
          <w:color w:val="auto"/>
          <w:spacing w:val="0"/>
          <w:sz w:val="32"/>
          <w:szCs w:val="32"/>
          <w:shd w:val="clear" w:color="auto" w:fill="FFFFFF"/>
          <w:lang w:eastAsia="zh-CN"/>
        </w:rPr>
        <w:t>，有效期至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20</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27</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年4月</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24</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日</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i w:val="0"/>
          <w:iCs w:val="0"/>
          <w:caps w:val="0"/>
          <w:color w:val="auto"/>
          <w:spacing w:val="0"/>
          <w:sz w:val="32"/>
          <w:szCs w:val="32"/>
          <w:shd w:val="clear" w:color="auto" w:fill="FFFFFF"/>
          <w:lang w:eastAsia="zh-CN"/>
        </w:rPr>
        <w:t>原</w:t>
      </w:r>
      <w:r>
        <w:rPr>
          <w:rFonts w:hint="default" w:ascii="Times New Roman" w:hAnsi="Times New Roman" w:eastAsia="仿宋_GB2312" w:cs="Times New Roman"/>
          <w:i w:val="0"/>
          <w:iCs w:val="0"/>
          <w:caps w:val="0"/>
          <w:color w:val="auto"/>
          <w:spacing w:val="0"/>
          <w:sz w:val="32"/>
          <w:szCs w:val="32"/>
          <w:shd w:val="clear" w:fill="FFFFFF"/>
          <w:lang w:val="en-US" w:eastAsia="zh-CN"/>
        </w:rPr>
        <w:t>《三亚市崖州区</w:t>
      </w:r>
      <w:r>
        <w:rPr>
          <w:rFonts w:hint="eastAsia" w:ascii="Times New Roman" w:hAnsi="Times New Roman" w:eastAsia="仿宋_GB2312" w:cs="Times New Roman"/>
          <w:i w:val="0"/>
          <w:iCs w:val="0"/>
          <w:caps w:val="0"/>
          <w:color w:val="auto"/>
          <w:spacing w:val="0"/>
          <w:sz w:val="32"/>
          <w:szCs w:val="32"/>
          <w:shd w:val="clear" w:fill="FFFFFF"/>
          <w:lang w:val="en-US" w:eastAsia="zh-CN"/>
        </w:rPr>
        <w:t>关于规范政府投资项目管理的</w:t>
      </w:r>
      <w:r>
        <w:rPr>
          <w:rFonts w:hint="default" w:ascii="Times New Roman" w:hAnsi="Times New Roman" w:eastAsia="仿宋_GB2312" w:cs="Times New Roman"/>
          <w:i w:val="0"/>
          <w:iCs w:val="0"/>
          <w:caps w:val="0"/>
          <w:color w:val="auto"/>
          <w:spacing w:val="0"/>
          <w:sz w:val="32"/>
          <w:szCs w:val="32"/>
          <w:shd w:val="clear" w:fill="FFFFFF"/>
          <w:lang w:val="en-US" w:eastAsia="zh-CN"/>
        </w:rPr>
        <w:t>办法》</w:t>
      </w:r>
      <w:r>
        <w:rPr>
          <w:rFonts w:hint="eastAsia" w:ascii="Times New Roman" w:hAnsi="Times New Roman" w:eastAsia="仿宋_GB2312" w:cs="Times New Roman"/>
          <w:i w:val="0"/>
          <w:iCs w:val="0"/>
          <w:caps w:val="0"/>
          <w:color w:val="auto"/>
          <w:spacing w:val="0"/>
          <w:sz w:val="32"/>
          <w:szCs w:val="32"/>
          <w:shd w:val="clear" w:fill="FFFFFF"/>
          <w:lang w:val="en-US" w:eastAsia="zh-CN"/>
        </w:rPr>
        <w:t>（崖州办发〔2016〕12号）</w:t>
      </w:r>
      <w:r>
        <w:rPr>
          <w:rFonts w:hint="default" w:ascii="Times New Roman" w:hAnsi="Times New Roman" w:eastAsia="仿宋_GB2312" w:cs="Times New Roman"/>
          <w:i w:val="0"/>
          <w:iCs w:val="0"/>
          <w:caps w:val="0"/>
          <w:color w:val="auto"/>
          <w:spacing w:val="0"/>
          <w:sz w:val="32"/>
          <w:szCs w:val="32"/>
          <w:shd w:val="clear" w:fill="FFFFFF"/>
          <w:lang w:eastAsia="zh-CN"/>
        </w:rPr>
        <w:t>同时废止。</w:t>
      </w:r>
    </w:p>
    <w:sectPr>
      <w:footerReference r:id="rId5" w:type="default"/>
      <w:pgSz w:w="11900" w:h="16840"/>
      <w:pgMar w:top="1580" w:right="1680" w:bottom="1720" w:left="1680" w:header="0" w:footer="153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9667875</wp:posOffset>
              </wp:positionV>
              <wp:extent cx="759460" cy="16383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759460" cy="163830"/>
                      </a:xfrm>
                      <a:prstGeom prst="rect">
                        <a:avLst/>
                      </a:prstGeom>
                      <a:noFill/>
                      <a:ln w="9525">
                        <a:noFill/>
                      </a:ln>
                    </wps:spPr>
                    <wps:txbx>
                      <w:txbxContent>
                        <w:p>
                          <w:pPr>
                            <w:spacing w:line="317" w:lineRule="exact"/>
                            <w:ind w:left="20" w:right="0" w:firstLine="0"/>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 </w:t>
                          </w:r>
                          <w:r>
                            <w:rPr>
                              <w:rFonts w:hint="eastAsia" w:ascii="黑体" w:hAnsi="黑体" w:eastAsia="黑体" w:cs="黑体"/>
                              <w:sz w:val="24"/>
                              <w:szCs w:val="24"/>
                              <w:lang w:eastAsia="zh-CN"/>
                            </w:rPr>
                            <w:fldChar w:fldCharType="begin"/>
                          </w:r>
                          <w:r>
                            <w:rPr>
                              <w:rFonts w:hint="eastAsia" w:ascii="黑体" w:hAnsi="黑体" w:eastAsia="黑体" w:cs="黑体"/>
                              <w:sz w:val="24"/>
                              <w:szCs w:val="24"/>
                              <w:lang w:eastAsia="zh-CN"/>
                            </w:rPr>
                            <w:instrText xml:space="preserve"> PAGE  \* MERGEFORMAT </w:instrText>
                          </w:r>
                          <w:r>
                            <w:rPr>
                              <w:rFonts w:hint="eastAsia" w:ascii="黑体" w:hAnsi="黑体" w:eastAsia="黑体" w:cs="黑体"/>
                              <w:sz w:val="24"/>
                              <w:szCs w:val="24"/>
                              <w:lang w:eastAsia="zh-CN"/>
                            </w:rPr>
                            <w:fldChar w:fldCharType="separate"/>
                          </w:r>
                          <w:r>
                            <w:rPr>
                              <w:rFonts w:hint="eastAsia" w:ascii="黑体" w:hAnsi="黑体" w:eastAsia="黑体" w:cs="黑体"/>
                              <w:sz w:val="24"/>
                              <w:szCs w:val="24"/>
                              <w:lang w:eastAsia="zh-CN"/>
                            </w:rPr>
                            <w:t>2</w:t>
                          </w:r>
                          <w:r>
                            <w:rPr>
                              <w:rFonts w:hint="eastAsia" w:ascii="黑体" w:hAnsi="黑体" w:eastAsia="黑体" w:cs="黑体"/>
                              <w:sz w:val="24"/>
                              <w:szCs w:val="24"/>
                              <w:lang w:eastAsia="zh-CN"/>
                            </w:rPr>
                            <w:fldChar w:fldCharType="end"/>
                          </w:r>
                          <w:r>
                            <w:rPr>
                              <w:rFonts w:hint="eastAsia" w:ascii="黑体" w:hAnsi="黑体" w:eastAsia="黑体" w:cs="黑体"/>
                              <w:sz w:val="24"/>
                              <w:szCs w:val="24"/>
                              <w:lang w:eastAsia="zh-CN"/>
                            </w:rPr>
                            <w:t xml:space="preserve"> —</w:t>
                          </w:r>
                        </w:p>
                      </w:txbxContent>
                    </wps:txbx>
                    <wps:bodyPr lIns="0" tIns="0" rIns="0" bIns="0" upright="true"/>
                  </wps:wsp>
                </a:graphicData>
              </a:graphic>
            </wp:anchor>
          </w:drawing>
        </mc:Choice>
        <mc:Fallback>
          <w:pict>
            <v:shape id="文本框 1025" o:spid="_x0000_s1026" o:spt="202" type="#_x0000_t202" style="position:absolute;left:0pt;margin-left:0pt;margin-top:761.25pt;height:12.9pt;width:59.8pt;mso-position-horizontal-relative:margin;mso-position-vertical-relative:page;z-index:251659264;mso-width-relative:page;mso-height-relative:page;" filled="f" stroked="f" coordsize="21600,21600" o:gfxdata="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IShnuvYAAAACgEAAA8AAAAAAAAAAQAgAAAAOAAAAGRycy9kb3ducmV2Lnht&#10;bFBLAQIUABQAAAAIAIdO4kBcpWFBqgEAADUDAAAOAAAAAAAAAAEAIAAAAD0BAABkcnMvZTJvRG9j&#10;LnhtbFBLBQYAAAAABgAGAFkBAABZBQAAAAA=&#10;">
              <v:fill on="f" focussize="0,0"/>
              <v:stroke on="f"/>
              <v:imagedata o:title=""/>
              <o:lock v:ext="edit" aspectratio="f"/>
              <v:textbox inset="0mm,0mm,0mm,0mm">
                <w:txbxContent>
                  <w:p>
                    <w:pPr>
                      <w:spacing w:line="317" w:lineRule="exact"/>
                      <w:ind w:left="20" w:right="0" w:firstLine="0"/>
                      <w:jc w:val="left"/>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 </w:t>
                    </w:r>
                    <w:r>
                      <w:rPr>
                        <w:rFonts w:hint="eastAsia" w:ascii="黑体" w:hAnsi="黑体" w:eastAsia="黑体" w:cs="黑体"/>
                        <w:sz w:val="24"/>
                        <w:szCs w:val="24"/>
                        <w:lang w:eastAsia="zh-CN"/>
                      </w:rPr>
                      <w:fldChar w:fldCharType="begin"/>
                    </w:r>
                    <w:r>
                      <w:rPr>
                        <w:rFonts w:hint="eastAsia" w:ascii="黑体" w:hAnsi="黑体" w:eastAsia="黑体" w:cs="黑体"/>
                        <w:sz w:val="24"/>
                        <w:szCs w:val="24"/>
                        <w:lang w:eastAsia="zh-CN"/>
                      </w:rPr>
                      <w:instrText xml:space="preserve"> PAGE  \* MERGEFORMAT </w:instrText>
                    </w:r>
                    <w:r>
                      <w:rPr>
                        <w:rFonts w:hint="eastAsia" w:ascii="黑体" w:hAnsi="黑体" w:eastAsia="黑体" w:cs="黑体"/>
                        <w:sz w:val="24"/>
                        <w:szCs w:val="24"/>
                        <w:lang w:eastAsia="zh-CN"/>
                      </w:rPr>
                      <w:fldChar w:fldCharType="separate"/>
                    </w:r>
                    <w:r>
                      <w:rPr>
                        <w:rFonts w:hint="eastAsia" w:ascii="黑体" w:hAnsi="黑体" w:eastAsia="黑体" w:cs="黑体"/>
                        <w:sz w:val="24"/>
                        <w:szCs w:val="24"/>
                        <w:lang w:eastAsia="zh-CN"/>
                      </w:rPr>
                      <w:t>2</w:t>
                    </w:r>
                    <w:r>
                      <w:rPr>
                        <w:rFonts w:hint="eastAsia" w:ascii="黑体" w:hAnsi="黑体" w:eastAsia="黑体" w:cs="黑体"/>
                        <w:sz w:val="24"/>
                        <w:szCs w:val="24"/>
                        <w:lang w:eastAsia="zh-CN"/>
                      </w:rPr>
                      <w:fldChar w:fldCharType="end"/>
                    </w:r>
                    <w:r>
                      <w:rPr>
                        <w:rFonts w:hint="eastAsia" w:ascii="黑体" w:hAnsi="黑体" w:eastAsia="黑体" w:cs="黑体"/>
                        <w:sz w:val="24"/>
                        <w:szCs w:val="24"/>
                        <w:lang w:eastAsia="zh-CN"/>
                      </w:rPr>
                      <w:t xml:space="preserve"> —</w:t>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5CF"/>
    <w:rsid w:val="001A6BC4"/>
    <w:rsid w:val="001E7D9C"/>
    <w:rsid w:val="002F2753"/>
    <w:rsid w:val="005A2B4B"/>
    <w:rsid w:val="006C1ED1"/>
    <w:rsid w:val="007C502F"/>
    <w:rsid w:val="00844F27"/>
    <w:rsid w:val="0098690C"/>
    <w:rsid w:val="009C4A94"/>
    <w:rsid w:val="009E197B"/>
    <w:rsid w:val="00A348AD"/>
    <w:rsid w:val="00B63485"/>
    <w:rsid w:val="00BA0AE6"/>
    <w:rsid w:val="00C12EEC"/>
    <w:rsid w:val="00C30BFF"/>
    <w:rsid w:val="00CB6532"/>
    <w:rsid w:val="00E85066"/>
    <w:rsid w:val="00F12528"/>
    <w:rsid w:val="00FF5778"/>
    <w:rsid w:val="01031A3E"/>
    <w:rsid w:val="010C357B"/>
    <w:rsid w:val="0113083D"/>
    <w:rsid w:val="01494098"/>
    <w:rsid w:val="014B1043"/>
    <w:rsid w:val="015356BA"/>
    <w:rsid w:val="01793FA3"/>
    <w:rsid w:val="017B36C9"/>
    <w:rsid w:val="017C371A"/>
    <w:rsid w:val="018114C2"/>
    <w:rsid w:val="01814099"/>
    <w:rsid w:val="01936F79"/>
    <w:rsid w:val="01A0788A"/>
    <w:rsid w:val="01BB0662"/>
    <w:rsid w:val="01BB685A"/>
    <w:rsid w:val="01E4159B"/>
    <w:rsid w:val="01E81B23"/>
    <w:rsid w:val="01F0141D"/>
    <w:rsid w:val="01FE7127"/>
    <w:rsid w:val="0202669E"/>
    <w:rsid w:val="021228F0"/>
    <w:rsid w:val="02150418"/>
    <w:rsid w:val="02212372"/>
    <w:rsid w:val="02244834"/>
    <w:rsid w:val="02306A58"/>
    <w:rsid w:val="023108FB"/>
    <w:rsid w:val="024773A7"/>
    <w:rsid w:val="025173DA"/>
    <w:rsid w:val="02527E6B"/>
    <w:rsid w:val="025A2D1E"/>
    <w:rsid w:val="0285676D"/>
    <w:rsid w:val="0286041C"/>
    <w:rsid w:val="028B0DFB"/>
    <w:rsid w:val="028E523B"/>
    <w:rsid w:val="02912099"/>
    <w:rsid w:val="029E20C0"/>
    <w:rsid w:val="02AE1B30"/>
    <w:rsid w:val="02BB4A73"/>
    <w:rsid w:val="02D60259"/>
    <w:rsid w:val="02F14A0B"/>
    <w:rsid w:val="0311352B"/>
    <w:rsid w:val="03116D57"/>
    <w:rsid w:val="031C5DDD"/>
    <w:rsid w:val="0345198E"/>
    <w:rsid w:val="03614028"/>
    <w:rsid w:val="03693642"/>
    <w:rsid w:val="036A2B4F"/>
    <w:rsid w:val="038137F9"/>
    <w:rsid w:val="03856E6C"/>
    <w:rsid w:val="038F550D"/>
    <w:rsid w:val="03A827CD"/>
    <w:rsid w:val="03AA7464"/>
    <w:rsid w:val="03AC5E74"/>
    <w:rsid w:val="03B50189"/>
    <w:rsid w:val="03CE32A5"/>
    <w:rsid w:val="03D312F0"/>
    <w:rsid w:val="03D62F3A"/>
    <w:rsid w:val="03F56BC3"/>
    <w:rsid w:val="04015A06"/>
    <w:rsid w:val="040270EB"/>
    <w:rsid w:val="04164B33"/>
    <w:rsid w:val="04313D07"/>
    <w:rsid w:val="044F1B57"/>
    <w:rsid w:val="04503B0D"/>
    <w:rsid w:val="046142F3"/>
    <w:rsid w:val="046726A3"/>
    <w:rsid w:val="046943B2"/>
    <w:rsid w:val="048D43AE"/>
    <w:rsid w:val="04937763"/>
    <w:rsid w:val="0495753B"/>
    <w:rsid w:val="04A36064"/>
    <w:rsid w:val="04BD51A9"/>
    <w:rsid w:val="04D35513"/>
    <w:rsid w:val="04DE3626"/>
    <w:rsid w:val="04DF469A"/>
    <w:rsid w:val="04DF68BE"/>
    <w:rsid w:val="04E6408A"/>
    <w:rsid w:val="04FE38A3"/>
    <w:rsid w:val="050848B8"/>
    <w:rsid w:val="0517460C"/>
    <w:rsid w:val="05353E64"/>
    <w:rsid w:val="054652D0"/>
    <w:rsid w:val="05532627"/>
    <w:rsid w:val="055865CC"/>
    <w:rsid w:val="056F4BE4"/>
    <w:rsid w:val="057D0946"/>
    <w:rsid w:val="05812AD2"/>
    <w:rsid w:val="05905417"/>
    <w:rsid w:val="05A92B6B"/>
    <w:rsid w:val="05AA1D42"/>
    <w:rsid w:val="05AD31C0"/>
    <w:rsid w:val="05AE6A25"/>
    <w:rsid w:val="05B04613"/>
    <w:rsid w:val="05C159F8"/>
    <w:rsid w:val="05C97C25"/>
    <w:rsid w:val="05CA7961"/>
    <w:rsid w:val="05F202AE"/>
    <w:rsid w:val="06042C2A"/>
    <w:rsid w:val="06116F25"/>
    <w:rsid w:val="06154980"/>
    <w:rsid w:val="06177DF3"/>
    <w:rsid w:val="06186512"/>
    <w:rsid w:val="061E556A"/>
    <w:rsid w:val="063A4CFE"/>
    <w:rsid w:val="06432431"/>
    <w:rsid w:val="064A6FD7"/>
    <w:rsid w:val="064E4228"/>
    <w:rsid w:val="06536A47"/>
    <w:rsid w:val="065D6453"/>
    <w:rsid w:val="065F73CF"/>
    <w:rsid w:val="06673448"/>
    <w:rsid w:val="06880A42"/>
    <w:rsid w:val="068E64F4"/>
    <w:rsid w:val="069158D8"/>
    <w:rsid w:val="06A70005"/>
    <w:rsid w:val="06E07747"/>
    <w:rsid w:val="06E712AA"/>
    <w:rsid w:val="070861CE"/>
    <w:rsid w:val="07170D79"/>
    <w:rsid w:val="072D6B05"/>
    <w:rsid w:val="07361C43"/>
    <w:rsid w:val="07477086"/>
    <w:rsid w:val="07605C42"/>
    <w:rsid w:val="0776203D"/>
    <w:rsid w:val="07855EF9"/>
    <w:rsid w:val="07B72D90"/>
    <w:rsid w:val="07BE34DD"/>
    <w:rsid w:val="07CF5BD9"/>
    <w:rsid w:val="07D32947"/>
    <w:rsid w:val="07DD08BF"/>
    <w:rsid w:val="07E241C1"/>
    <w:rsid w:val="07EA1E67"/>
    <w:rsid w:val="08197765"/>
    <w:rsid w:val="083A50BC"/>
    <w:rsid w:val="083D5D96"/>
    <w:rsid w:val="084648FE"/>
    <w:rsid w:val="08472E2F"/>
    <w:rsid w:val="084B277E"/>
    <w:rsid w:val="08650830"/>
    <w:rsid w:val="089E51EA"/>
    <w:rsid w:val="08AE579C"/>
    <w:rsid w:val="08BE7C1C"/>
    <w:rsid w:val="08CB13F2"/>
    <w:rsid w:val="08DD2FDA"/>
    <w:rsid w:val="08F320D9"/>
    <w:rsid w:val="08F87B9C"/>
    <w:rsid w:val="08FF4D5D"/>
    <w:rsid w:val="091716E5"/>
    <w:rsid w:val="09182026"/>
    <w:rsid w:val="09245300"/>
    <w:rsid w:val="092A3840"/>
    <w:rsid w:val="0938025E"/>
    <w:rsid w:val="0955459B"/>
    <w:rsid w:val="098A6C02"/>
    <w:rsid w:val="0997620B"/>
    <w:rsid w:val="0998289A"/>
    <w:rsid w:val="099B266C"/>
    <w:rsid w:val="099F3079"/>
    <w:rsid w:val="099F7282"/>
    <w:rsid w:val="09A208D9"/>
    <w:rsid w:val="09A52DF3"/>
    <w:rsid w:val="09E022DF"/>
    <w:rsid w:val="09E607EC"/>
    <w:rsid w:val="09EA7B64"/>
    <w:rsid w:val="0A03639D"/>
    <w:rsid w:val="0A0672B9"/>
    <w:rsid w:val="0A0C60A5"/>
    <w:rsid w:val="0A151620"/>
    <w:rsid w:val="0A362BCB"/>
    <w:rsid w:val="0A4721CE"/>
    <w:rsid w:val="0A4E1771"/>
    <w:rsid w:val="0A984037"/>
    <w:rsid w:val="0ABA70D9"/>
    <w:rsid w:val="0ACD0C1B"/>
    <w:rsid w:val="0ADD1238"/>
    <w:rsid w:val="0AE66EB8"/>
    <w:rsid w:val="0AF06BD6"/>
    <w:rsid w:val="0AFD4133"/>
    <w:rsid w:val="0B084F46"/>
    <w:rsid w:val="0B14101D"/>
    <w:rsid w:val="0B1667CF"/>
    <w:rsid w:val="0B267052"/>
    <w:rsid w:val="0B277660"/>
    <w:rsid w:val="0B5B7092"/>
    <w:rsid w:val="0B622BA6"/>
    <w:rsid w:val="0B6945DB"/>
    <w:rsid w:val="0B805EA9"/>
    <w:rsid w:val="0B9B6FE3"/>
    <w:rsid w:val="0BB847DE"/>
    <w:rsid w:val="0BCD470E"/>
    <w:rsid w:val="0BD725C0"/>
    <w:rsid w:val="0BDD39A9"/>
    <w:rsid w:val="0BFC234E"/>
    <w:rsid w:val="0C0704CD"/>
    <w:rsid w:val="0C085457"/>
    <w:rsid w:val="0C0B7E62"/>
    <w:rsid w:val="0C171E39"/>
    <w:rsid w:val="0C177EBE"/>
    <w:rsid w:val="0C30085E"/>
    <w:rsid w:val="0C3618EA"/>
    <w:rsid w:val="0C584845"/>
    <w:rsid w:val="0C597E49"/>
    <w:rsid w:val="0C640F78"/>
    <w:rsid w:val="0C795960"/>
    <w:rsid w:val="0CA321C3"/>
    <w:rsid w:val="0CBA02EB"/>
    <w:rsid w:val="0CBB5F29"/>
    <w:rsid w:val="0CC86743"/>
    <w:rsid w:val="0CE43EB5"/>
    <w:rsid w:val="0CEE2868"/>
    <w:rsid w:val="0CF959FF"/>
    <w:rsid w:val="0CFD67CB"/>
    <w:rsid w:val="0D061359"/>
    <w:rsid w:val="0D074963"/>
    <w:rsid w:val="0D12695B"/>
    <w:rsid w:val="0D161240"/>
    <w:rsid w:val="0D2D35E9"/>
    <w:rsid w:val="0D352224"/>
    <w:rsid w:val="0D444C09"/>
    <w:rsid w:val="0D465FF2"/>
    <w:rsid w:val="0D7E7CBB"/>
    <w:rsid w:val="0D842256"/>
    <w:rsid w:val="0D981E80"/>
    <w:rsid w:val="0D98598B"/>
    <w:rsid w:val="0DA437FD"/>
    <w:rsid w:val="0DC629A8"/>
    <w:rsid w:val="0DCF34BA"/>
    <w:rsid w:val="0DDB1BE6"/>
    <w:rsid w:val="0DE47298"/>
    <w:rsid w:val="0DF970F3"/>
    <w:rsid w:val="0DFE148A"/>
    <w:rsid w:val="0E064C2D"/>
    <w:rsid w:val="0E2134A9"/>
    <w:rsid w:val="0E4F408F"/>
    <w:rsid w:val="0E8F1EF1"/>
    <w:rsid w:val="0E957921"/>
    <w:rsid w:val="0EA65816"/>
    <w:rsid w:val="0EA71A20"/>
    <w:rsid w:val="0EBC41DF"/>
    <w:rsid w:val="0EF04ABA"/>
    <w:rsid w:val="0F1D5F42"/>
    <w:rsid w:val="0F2B140C"/>
    <w:rsid w:val="0F2F2F18"/>
    <w:rsid w:val="0F311342"/>
    <w:rsid w:val="0F3720F1"/>
    <w:rsid w:val="0F3B6296"/>
    <w:rsid w:val="0F435607"/>
    <w:rsid w:val="0F4F3F45"/>
    <w:rsid w:val="0F561148"/>
    <w:rsid w:val="0F5B3B7D"/>
    <w:rsid w:val="0F68645E"/>
    <w:rsid w:val="0F6C47A6"/>
    <w:rsid w:val="0F814367"/>
    <w:rsid w:val="0F8A3CB0"/>
    <w:rsid w:val="0F925C22"/>
    <w:rsid w:val="0FAF14E0"/>
    <w:rsid w:val="0FC14BB1"/>
    <w:rsid w:val="0FC92BC8"/>
    <w:rsid w:val="0FD60D4B"/>
    <w:rsid w:val="0FE50FD9"/>
    <w:rsid w:val="10010C03"/>
    <w:rsid w:val="10031FDB"/>
    <w:rsid w:val="10060594"/>
    <w:rsid w:val="100675C9"/>
    <w:rsid w:val="101573DC"/>
    <w:rsid w:val="101A67C3"/>
    <w:rsid w:val="101E0E53"/>
    <w:rsid w:val="10363092"/>
    <w:rsid w:val="103908C0"/>
    <w:rsid w:val="103A719D"/>
    <w:rsid w:val="103C6FB0"/>
    <w:rsid w:val="10410527"/>
    <w:rsid w:val="104136A3"/>
    <w:rsid w:val="105A3436"/>
    <w:rsid w:val="10655B76"/>
    <w:rsid w:val="106B7C96"/>
    <w:rsid w:val="10870C26"/>
    <w:rsid w:val="108937B9"/>
    <w:rsid w:val="1095537B"/>
    <w:rsid w:val="10D76521"/>
    <w:rsid w:val="10EB7DD3"/>
    <w:rsid w:val="10FB3CD6"/>
    <w:rsid w:val="11272653"/>
    <w:rsid w:val="11353B58"/>
    <w:rsid w:val="11353B92"/>
    <w:rsid w:val="113F7F8A"/>
    <w:rsid w:val="114205DE"/>
    <w:rsid w:val="11425376"/>
    <w:rsid w:val="114544E0"/>
    <w:rsid w:val="114767F2"/>
    <w:rsid w:val="11532950"/>
    <w:rsid w:val="1153512A"/>
    <w:rsid w:val="115376E2"/>
    <w:rsid w:val="11570E84"/>
    <w:rsid w:val="11691230"/>
    <w:rsid w:val="117D140E"/>
    <w:rsid w:val="11877F17"/>
    <w:rsid w:val="11A042EF"/>
    <w:rsid w:val="11F46A19"/>
    <w:rsid w:val="11FB47DA"/>
    <w:rsid w:val="12411901"/>
    <w:rsid w:val="12691846"/>
    <w:rsid w:val="126F1B95"/>
    <w:rsid w:val="1279207F"/>
    <w:rsid w:val="1288042C"/>
    <w:rsid w:val="128B72DA"/>
    <w:rsid w:val="12994F59"/>
    <w:rsid w:val="129A7CBB"/>
    <w:rsid w:val="12A94807"/>
    <w:rsid w:val="12AC64B7"/>
    <w:rsid w:val="12B23596"/>
    <w:rsid w:val="12C1049F"/>
    <w:rsid w:val="12C31BFD"/>
    <w:rsid w:val="12C44F46"/>
    <w:rsid w:val="12D63F35"/>
    <w:rsid w:val="12DE3AB0"/>
    <w:rsid w:val="12EF2F50"/>
    <w:rsid w:val="12EF4707"/>
    <w:rsid w:val="12F22198"/>
    <w:rsid w:val="12FE7995"/>
    <w:rsid w:val="131616A1"/>
    <w:rsid w:val="132D40DA"/>
    <w:rsid w:val="133D734E"/>
    <w:rsid w:val="134B688A"/>
    <w:rsid w:val="134D63A1"/>
    <w:rsid w:val="134E6BF2"/>
    <w:rsid w:val="1370223B"/>
    <w:rsid w:val="137D6E8F"/>
    <w:rsid w:val="13801BB4"/>
    <w:rsid w:val="13A25260"/>
    <w:rsid w:val="13B84E85"/>
    <w:rsid w:val="13C0617E"/>
    <w:rsid w:val="13C272B8"/>
    <w:rsid w:val="13C64E0E"/>
    <w:rsid w:val="13CC2707"/>
    <w:rsid w:val="13D61B2A"/>
    <w:rsid w:val="13DB6FEA"/>
    <w:rsid w:val="13ED4D30"/>
    <w:rsid w:val="13FB47C6"/>
    <w:rsid w:val="14052F4E"/>
    <w:rsid w:val="141D7A62"/>
    <w:rsid w:val="143711EF"/>
    <w:rsid w:val="14651D2B"/>
    <w:rsid w:val="14A4665B"/>
    <w:rsid w:val="14B0738A"/>
    <w:rsid w:val="14C7706E"/>
    <w:rsid w:val="14CB3A6C"/>
    <w:rsid w:val="14D92565"/>
    <w:rsid w:val="14F62204"/>
    <w:rsid w:val="15097E45"/>
    <w:rsid w:val="15147791"/>
    <w:rsid w:val="15234A62"/>
    <w:rsid w:val="15496125"/>
    <w:rsid w:val="1555029A"/>
    <w:rsid w:val="15682B87"/>
    <w:rsid w:val="156E27D8"/>
    <w:rsid w:val="15832607"/>
    <w:rsid w:val="158B1582"/>
    <w:rsid w:val="158B31DC"/>
    <w:rsid w:val="15903D89"/>
    <w:rsid w:val="159152B1"/>
    <w:rsid w:val="159D3634"/>
    <w:rsid w:val="15A8260A"/>
    <w:rsid w:val="15AE7618"/>
    <w:rsid w:val="15B37C75"/>
    <w:rsid w:val="15CC11B5"/>
    <w:rsid w:val="15D77692"/>
    <w:rsid w:val="15DA1720"/>
    <w:rsid w:val="15EA6856"/>
    <w:rsid w:val="15FD4CD7"/>
    <w:rsid w:val="16001641"/>
    <w:rsid w:val="16155A94"/>
    <w:rsid w:val="16185339"/>
    <w:rsid w:val="161A6C1B"/>
    <w:rsid w:val="161E2E4B"/>
    <w:rsid w:val="161E7CAC"/>
    <w:rsid w:val="162D5B50"/>
    <w:rsid w:val="165F3220"/>
    <w:rsid w:val="16671872"/>
    <w:rsid w:val="166F7FD3"/>
    <w:rsid w:val="168A5E27"/>
    <w:rsid w:val="16EA2FA4"/>
    <w:rsid w:val="16F56A72"/>
    <w:rsid w:val="16F85B14"/>
    <w:rsid w:val="170F1AF7"/>
    <w:rsid w:val="172166EC"/>
    <w:rsid w:val="1723511A"/>
    <w:rsid w:val="172400B1"/>
    <w:rsid w:val="17246257"/>
    <w:rsid w:val="172F757F"/>
    <w:rsid w:val="17314783"/>
    <w:rsid w:val="173B007C"/>
    <w:rsid w:val="1750011F"/>
    <w:rsid w:val="17651E4B"/>
    <w:rsid w:val="17760E48"/>
    <w:rsid w:val="1781731F"/>
    <w:rsid w:val="178574D9"/>
    <w:rsid w:val="179541A6"/>
    <w:rsid w:val="179E3CE2"/>
    <w:rsid w:val="17B15B33"/>
    <w:rsid w:val="17BC09DD"/>
    <w:rsid w:val="17BD6841"/>
    <w:rsid w:val="17C8218C"/>
    <w:rsid w:val="17CC15AB"/>
    <w:rsid w:val="17CD506F"/>
    <w:rsid w:val="17D51379"/>
    <w:rsid w:val="17D96252"/>
    <w:rsid w:val="17FB4EB1"/>
    <w:rsid w:val="18261F9C"/>
    <w:rsid w:val="183F7EC8"/>
    <w:rsid w:val="18481F32"/>
    <w:rsid w:val="184A55B4"/>
    <w:rsid w:val="18594A6C"/>
    <w:rsid w:val="18761054"/>
    <w:rsid w:val="18795F02"/>
    <w:rsid w:val="188009B5"/>
    <w:rsid w:val="18A20CCC"/>
    <w:rsid w:val="18A66584"/>
    <w:rsid w:val="18B17CB8"/>
    <w:rsid w:val="18BC0A2A"/>
    <w:rsid w:val="18C224CE"/>
    <w:rsid w:val="18E31FB0"/>
    <w:rsid w:val="18F543E3"/>
    <w:rsid w:val="19080DAC"/>
    <w:rsid w:val="19116454"/>
    <w:rsid w:val="192E6F0B"/>
    <w:rsid w:val="19405515"/>
    <w:rsid w:val="19553BC4"/>
    <w:rsid w:val="195574FA"/>
    <w:rsid w:val="196F5266"/>
    <w:rsid w:val="19840C91"/>
    <w:rsid w:val="1986616D"/>
    <w:rsid w:val="198B43EA"/>
    <w:rsid w:val="19C4420E"/>
    <w:rsid w:val="19CE1417"/>
    <w:rsid w:val="19D66707"/>
    <w:rsid w:val="19DC63BA"/>
    <w:rsid w:val="19DF090B"/>
    <w:rsid w:val="1A014A65"/>
    <w:rsid w:val="1A026FAC"/>
    <w:rsid w:val="1A0B6096"/>
    <w:rsid w:val="1A22594E"/>
    <w:rsid w:val="1A324EBB"/>
    <w:rsid w:val="1A4C6E9E"/>
    <w:rsid w:val="1A4D2248"/>
    <w:rsid w:val="1A4F68BF"/>
    <w:rsid w:val="1A611B2A"/>
    <w:rsid w:val="1A6E4123"/>
    <w:rsid w:val="1A7D351E"/>
    <w:rsid w:val="1A94797E"/>
    <w:rsid w:val="1AA5282F"/>
    <w:rsid w:val="1AB07195"/>
    <w:rsid w:val="1AB26F76"/>
    <w:rsid w:val="1ACD4E56"/>
    <w:rsid w:val="1AD60523"/>
    <w:rsid w:val="1AF24ED9"/>
    <w:rsid w:val="1AF86429"/>
    <w:rsid w:val="1B035F10"/>
    <w:rsid w:val="1B0435DB"/>
    <w:rsid w:val="1B2C7B04"/>
    <w:rsid w:val="1B2D09FD"/>
    <w:rsid w:val="1B452574"/>
    <w:rsid w:val="1B5B59ED"/>
    <w:rsid w:val="1B5C06E0"/>
    <w:rsid w:val="1B730E2A"/>
    <w:rsid w:val="1BAC028C"/>
    <w:rsid w:val="1BB215FC"/>
    <w:rsid w:val="1BB61E57"/>
    <w:rsid w:val="1BC10CA1"/>
    <w:rsid w:val="1BD551D9"/>
    <w:rsid w:val="1BE25AC5"/>
    <w:rsid w:val="1BF91859"/>
    <w:rsid w:val="1C063734"/>
    <w:rsid w:val="1C2E2C1A"/>
    <w:rsid w:val="1C3B37F1"/>
    <w:rsid w:val="1C402D13"/>
    <w:rsid w:val="1C462387"/>
    <w:rsid w:val="1C476E1B"/>
    <w:rsid w:val="1C521A84"/>
    <w:rsid w:val="1C610C86"/>
    <w:rsid w:val="1C6520F1"/>
    <w:rsid w:val="1C8269D0"/>
    <w:rsid w:val="1C891C20"/>
    <w:rsid w:val="1C8A5315"/>
    <w:rsid w:val="1C940A86"/>
    <w:rsid w:val="1CAD1F41"/>
    <w:rsid w:val="1CB10B53"/>
    <w:rsid w:val="1CC125F5"/>
    <w:rsid w:val="1CCD5953"/>
    <w:rsid w:val="1CCF1EC9"/>
    <w:rsid w:val="1CD2047E"/>
    <w:rsid w:val="1CD872F4"/>
    <w:rsid w:val="1CE0005B"/>
    <w:rsid w:val="1CE7664D"/>
    <w:rsid w:val="1CF513E4"/>
    <w:rsid w:val="1CF7776F"/>
    <w:rsid w:val="1D074B33"/>
    <w:rsid w:val="1D0A4F74"/>
    <w:rsid w:val="1D120383"/>
    <w:rsid w:val="1D131FD5"/>
    <w:rsid w:val="1D1A07C8"/>
    <w:rsid w:val="1D241502"/>
    <w:rsid w:val="1D2B5C73"/>
    <w:rsid w:val="1D2C2BE0"/>
    <w:rsid w:val="1D4207DB"/>
    <w:rsid w:val="1D4720A7"/>
    <w:rsid w:val="1D476448"/>
    <w:rsid w:val="1D4D5237"/>
    <w:rsid w:val="1D612C38"/>
    <w:rsid w:val="1D72771F"/>
    <w:rsid w:val="1D9D31D5"/>
    <w:rsid w:val="1DB2256D"/>
    <w:rsid w:val="1DB41139"/>
    <w:rsid w:val="1DB801A8"/>
    <w:rsid w:val="1DBB1229"/>
    <w:rsid w:val="1DD3678C"/>
    <w:rsid w:val="1DE008BB"/>
    <w:rsid w:val="1DE74385"/>
    <w:rsid w:val="1DF138E1"/>
    <w:rsid w:val="1DF300CF"/>
    <w:rsid w:val="1DF60BB6"/>
    <w:rsid w:val="1E104E93"/>
    <w:rsid w:val="1E312480"/>
    <w:rsid w:val="1E361103"/>
    <w:rsid w:val="1E3D6CED"/>
    <w:rsid w:val="1E3E594F"/>
    <w:rsid w:val="1E5C5589"/>
    <w:rsid w:val="1E6E5DE2"/>
    <w:rsid w:val="1E7820BA"/>
    <w:rsid w:val="1E7B560E"/>
    <w:rsid w:val="1EA56DAC"/>
    <w:rsid w:val="1EAA69DB"/>
    <w:rsid w:val="1EB85053"/>
    <w:rsid w:val="1EC818DF"/>
    <w:rsid w:val="1EDD5292"/>
    <w:rsid w:val="1EEA07CD"/>
    <w:rsid w:val="1EF94CE4"/>
    <w:rsid w:val="1EFD1774"/>
    <w:rsid w:val="1F075EE3"/>
    <w:rsid w:val="1F1936D7"/>
    <w:rsid w:val="1F1E2CEA"/>
    <w:rsid w:val="1F275E48"/>
    <w:rsid w:val="1F321E32"/>
    <w:rsid w:val="1F470B20"/>
    <w:rsid w:val="1F840D70"/>
    <w:rsid w:val="1F87517C"/>
    <w:rsid w:val="1F8C5B2C"/>
    <w:rsid w:val="1F8E6987"/>
    <w:rsid w:val="1F985490"/>
    <w:rsid w:val="1FBB3F88"/>
    <w:rsid w:val="1FBD010A"/>
    <w:rsid w:val="1FDB0466"/>
    <w:rsid w:val="1FF01972"/>
    <w:rsid w:val="20056C39"/>
    <w:rsid w:val="200D54B5"/>
    <w:rsid w:val="200F26E6"/>
    <w:rsid w:val="20100475"/>
    <w:rsid w:val="201D7D09"/>
    <w:rsid w:val="205E5B44"/>
    <w:rsid w:val="207833C0"/>
    <w:rsid w:val="20855DB5"/>
    <w:rsid w:val="20890F51"/>
    <w:rsid w:val="209D0719"/>
    <w:rsid w:val="20A236CD"/>
    <w:rsid w:val="20A36ECD"/>
    <w:rsid w:val="20AD6433"/>
    <w:rsid w:val="20C05EE4"/>
    <w:rsid w:val="20D261EF"/>
    <w:rsid w:val="20D31154"/>
    <w:rsid w:val="20F452B7"/>
    <w:rsid w:val="21093DEA"/>
    <w:rsid w:val="210B4EA5"/>
    <w:rsid w:val="21110137"/>
    <w:rsid w:val="211864CE"/>
    <w:rsid w:val="212444D8"/>
    <w:rsid w:val="21515512"/>
    <w:rsid w:val="216D3FBC"/>
    <w:rsid w:val="21790BE2"/>
    <w:rsid w:val="21904997"/>
    <w:rsid w:val="219F5E3C"/>
    <w:rsid w:val="21AE1A8B"/>
    <w:rsid w:val="21B207E2"/>
    <w:rsid w:val="21DE43E1"/>
    <w:rsid w:val="21E40072"/>
    <w:rsid w:val="21ED45F3"/>
    <w:rsid w:val="21FF3A44"/>
    <w:rsid w:val="22010D4E"/>
    <w:rsid w:val="22236A93"/>
    <w:rsid w:val="224938B8"/>
    <w:rsid w:val="22501550"/>
    <w:rsid w:val="225D5CE3"/>
    <w:rsid w:val="226D3ACA"/>
    <w:rsid w:val="226E7F99"/>
    <w:rsid w:val="22781D4B"/>
    <w:rsid w:val="227A29CF"/>
    <w:rsid w:val="229029B3"/>
    <w:rsid w:val="22947C2D"/>
    <w:rsid w:val="229B16A5"/>
    <w:rsid w:val="22D55666"/>
    <w:rsid w:val="22E94605"/>
    <w:rsid w:val="22F6354A"/>
    <w:rsid w:val="22FB31AA"/>
    <w:rsid w:val="23043F0A"/>
    <w:rsid w:val="230B1D75"/>
    <w:rsid w:val="230E3E5D"/>
    <w:rsid w:val="232118D1"/>
    <w:rsid w:val="232539A2"/>
    <w:rsid w:val="23451E48"/>
    <w:rsid w:val="234932F8"/>
    <w:rsid w:val="23772533"/>
    <w:rsid w:val="238E192F"/>
    <w:rsid w:val="23A76153"/>
    <w:rsid w:val="23D668B1"/>
    <w:rsid w:val="23E463F6"/>
    <w:rsid w:val="23EA7DC9"/>
    <w:rsid w:val="23F23E47"/>
    <w:rsid w:val="23FD7E91"/>
    <w:rsid w:val="24041FF1"/>
    <w:rsid w:val="240E56DB"/>
    <w:rsid w:val="2416305F"/>
    <w:rsid w:val="241F40B7"/>
    <w:rsid w:val="24240BDD"/>
    <w:rsid w:val="2438213C"/>
    <w:rsid w:val="2448549D"/>
    <w:rsid w:val="24535460"/>
    <w:rsid w:val="24584E5E"/>
    <w:rsid w:val="246E7859"/>
    <w:rsid w:val="24782E83"/>
    <w:rsid w:val="24916E38"/>
    <w:rsid w:val="24AE18CE"/>
    <w:rsid w:val="24CE376E"/>
    <w:rsid w:val="24E56E0D"/>
    <w:rsid w:val="24E77BB0"/>
    <w:rsid w:val="2523791E"/>
    <w:rsid w:val="25331074"/>
    <w:rsid w:val="25985006"/>
    <w:rsid w:val="25A73C1D"/>
    <w:rsid w:val="25AB6948"/>
    <w:rsid w:val="25C84FBA"/>
    <w:rsid w:val="26075B21"/>
    <w:rsid w:val="261278E6"/>
    <w:rsid w:val="261511E8"/>
    <w:rsid w:val="262D51B4"/>
    <w:rsid w:val="264D7E21"/>
    <w:rsid w:val="266F2D37"/>
    <w:rsid w:val="268A0132"/>
    <w:rsid w:val="26A77A8F"/>
    <w:rsid w:val="26B66D03"/>
    <w:rsid w:val="26C61413"/>
    <w:rsid w:val="26C63903"/>
    <w:rsid w:val="26C6463F"/>
    <w:rsid w:val="26CD0B43"/>
    <w:rsid w:val="26DA5657"/>
    <w:rsid w:val="26DE061A"/>
    <w:rsid w:val="26F0450D"/>
    <w:rsid w:val="26F06D24"/>
    <w:rsid w:val="26F1149F"/>
    <w:rsid w:val="26FB5054"/>
    <w:rsid w:val="2705174F"/>
    <w:rsid w:val="27096899"/>
    <w:rsid w:val="271A64C3"/>
    <w:rsid w:val="27222935"/>
    <w:rsid w:val="2724051D"/>
    <w:rsid w:val="2727732D"/>
    <w:rsid w:val="27421748"/>
    <w:rsid w:val="27567DF6"/>
    <w:rsid w:val="277270F6"/>
    <w:rsid w:val="27741D7B"/>
    <w:rsid w:val="277E7748"/>
    <w:rsid w:val="27A12A46"/>
    <w:rsid w:val="27AE733B"/>
    <w:rsid w:val="27B24F7C"/>
    <w:rsid w:val="27BA2E7C"/>
    <w:rsid w:val="27C8638B"/>
    <w:rsid w:val="27CE7BF7"/>
    <w:rsid w:val="27D15EB1"/>
    <w:rsid w:val="27E86FB7"/>
    <w:rsid w:val="27F10D23"/>
    <w:rsid w:val="2809659C"/>
    <w:rsid w:val="28187B51"/>
    <w:rsid w:val="28326F2D"/>
    <w:rsid w:val="28343BAD"/>
    <w:rsid w:val="284044CB"/>
    <w:rsid w:val="28405A14"/>
    <w:rsid w:val="2851014E"/>
    <w:rsid w:val="28641F65"/>
    <w:rsid w:val="28742A93"/>
    <w:rsid w:val="288404D5"/>
    <w:rsid w:val="28931A2B"/>
    <w:rsid w:val="28BE4058"/>
    <w:rsid w:val="28BF32D4"/>
    <w:rsid w:val="28D35ECD"/>
    <w:rsid w:val="28E60BE5"/>
    <w:rsid w:val="28E80F14"/>
    <w:rsid w:val="28E93046"/>
    <w:rsid w:val="28EE3810"/>
    <w:rsid w:val="29031402"/>
    <w:rsid w:val="291001A4"/>
    <w:rsid w:val="291255DC"/>
    <w:rsid w:val="29383443"/>
    <w:rsid w:val="293D609E"/>
    <w:rsid w:val="29591D34"/>
    <w:rsid w:val="29720482"/>
    <w:rsid w:val="2980198D"/>
    <w:rsid w:val="2981043D"/>
    <w:rsid w:val="29883822"/>
    <w:rsid w:val="29981F05"/>
    <w:rsid w:val="29A02576"/>
    <w:rsid w:val="29A1059B"/>
    <w:rsid w:val="29A645EF"/>
    <w:rsid w:val="29C55906"/>
    <w:rsid w:val="29DB446E"/>
    <w:rsid w:val="29DF28D7"/>
    <w:rsid w:val="2A024B70"/>
    <w:rsid w:val="2A027185"/>
    <w:rsid w:val="2A0B4C1B"/>
    <w:rsid w:val="2A1934D5"/>
    <w:rsid w:val="2A225178"/>
    <w:rsid w:val="2A287A54"/>
    <w:rsid w:val="2A461C43"/>
    <w:rsid w:val="2A503755"/>
    <w:rsid w:val="2A6507B5"/>
    <w:rsid w:val="2A8C13F7"/>
    <w:rsid w:val="2A8D40D9"/>
    <w:rsid w:val="2A8F15C7"/>
    <w:rsid w:val="2A9E5FCC"/>
    <w:rsid w:val="2AA32DFA"/>
    <w:rsid w:val="2AA94DB7"/>
    <w:rsid w:val="2AAA13A4"/>
    <w:rsid w:val="2AAC4AB0"/>
    <w:rsid w:val="2AB326A2"/>
    <w:rsid w:val="2AB832FC"/>
    <w:rsid w:val="2AC42207"/>
    <w:rsid w:val="2ACC0793"/>
    <w:rsid w:val="2ADA0D17"/>
    <w:rsid w:val="2AF23223"/>
    <w:rsid w:val="2AF7428D"/>
    <w:rsid w:val="2B0658FB"/>
    <w:rsid w:val="2B1E094E"/>
    <w:rsid w:val="2B212A10"/>
    <w:rsid w:val="2B2B2511"/>
    <w:rsid w:val="2B2C1738"/>
    <w:rsid w:val="2B346C35"/>
    <w:rsid w:val="2B432734"/>
    <w:rsid w:val="2B4B009F"/>
    <w:rsid w:val="2B6176B1"/>
    <w:rsid w:val="2B6C4E8A"/>
    <w:rsid w:val="2B7926A8"/>
    <w:rsid w:val="2B7A2DA0"/>
    <w:rsid w:val="2B7E6443"/>
    <w:rsid w:val="2B821052"/>
    <w:rsid w:val="2B91541C"/>
    <w:rsid w:val="2B94013C"/>
    <w:rsid w:val="2B984E97"/>
    <w:rsid w:val="2BBD785E"/>
    <w:rsid w:val="2BCD5819"/>
    <w:rsid w:val="2BCF7141"/>
    <w:rsid w:val="2BDB7B93"/>
    <w:rsid w:val="2BDD2D1E"/>
    <w:rsid w:val="2BDE4D7D"/>
    <w:rsid w:val="2BEB7973"/>
    <w:rsid w:val="2BF71818"/>
    <w:rsid w:val="2C11389D"/>
    <w:rsid w:val="2C3D6F12"/>
    <w:rsid w:val="2C41736F"/>
    <w:rsid w:val="2C430584"/>
    <w:rsid w:val="2C4E0CFB"/>
    <w:rsid w:val="2C681C97"/>
    <w:rsid w:val="2C8A773A"/>
    <w:rsid w:val="2C95282A"/>
    <w:rsid w:val="2CA9399E"/>
    <w:rsid w:val="2CC56200"/>
    <w:rsid w:val="2CC71A60"/>
    <w:rsid w:val="2CD617EE"/>
    <w:rsid w:val="2CD747C3"/>
    <w:rsid w:val="2CD93C6C"/>
    <w:rsid w:val="2CFB5038"/>
    <w:rsid w:val="2D1407A5"/>
    <w:rsid w:val="2D1C4DE7"/>
    <w:rsid w:val="2D291AD6"/>
    <w:rsid w:val="2D2E5469"/>
    <w:rsid w:val="2D2E6464"/>
    <w:rsid w:val="2D315759"/>
    <w:rsid w:val="2D397587"/>
    <w:rsid w:val="2D3A7ADD"/>
    <w:rsid w:val="2D494E96"/>
    <w:rsid w:val="2D640B1E"/>
    <w:rsid w:val="2D660B9C"/>
    <w:rsid w:val="2D7937E3"/>
    <w:rsid w:val="2D9E1AFE"/>
    <w:rsid w:val="2DAD1F01"/>
    <w:rsid w:val="2DB067F6"/>
    <w:rsid w:val="2DB86990"/>
    <w:rsid w:val="2DC424E5"/>
    <w:rsid w:val="2DC51B46"/>
    <w:rsid w:val="2DD26E4B"/>
    <w:rsid w:val="2DDC5A68"/>
    <w:rsid w:val="2DE43243"/>
    <w:rsid w:val="2DFE0E45"/>
    <w:rsid w:val="2E021B0B"/>
    <w:rsid w:val="2E0A4C69"/>
    <w:rsid w:val="2E0C7BC2"/>
    <w:rsid w:val="2E1A58D1"/>
    <w:rsid w:val="2E1A7E06"/>
    <w:rsid w:val="2E1D7504"/>
    <w:rsid w:val="2E300C32"/>
    <w:rsid w:val="2E311F93"/>
    <w:rsid w:val="2E392503"/>
    <w:rsid w:val="2E3D679C"/>
    <w:rsid w:val="2E430055"/>
    <w:rsid w:val="2E5C2150"/>
    <w:rsid w:val="2E6E28AD"/>
    <w:rsid w:val="2E790544"/>
    <w:rsid w:val="2E7C2F9C"/>
    <w:rsid w:val="2E8A59BB"/>
    <w:rsid w:val="2EA659B7"/>
    <w:rsid w:val="2EAE492F"/>
    <w:rsid w:val="2EC3286C"/>
    <w:rsid w:val="2EC83DE2"/>
    <w:rsid w:val="2ED55F0E"/>
    <w:rsid w:val="2EF12419"/>
    <w:rsid w:val="2F0C0B66"/>
    <w:rsid w:val="2F2B655B"/>
    <w:rsid w:val="2F3C6CE7"/>
    <w:rsid w:val="2F4D0852"/>
    <w:rsid w:val="2F516BCB"/>
    <w:rsid w:val="2F5C4E6F"/>
    <w:rsid w:val="2F60362D"/>
    <w:rsid w:val="2F694B29"/>
    <w:rsid w:val="2F7DE5CE"/>
    <w:rsid w:val="2F800BE1"/>
    <w:rsid w:val="2F8B6444"/>
    <w:rsid w:val="2FA95B5D"/>
    <w:rsid w:val="2FC64CA1"/>
    <w:rsid w:val="2FDF56A1"/>
    <w:rsid w:val="2FE93E63"/>
    <w:rsid w:val="2FEF1B20"/>
    <w:rsid w:val="2FF06039"/>
    <w:rsid w:val="3007303A"/>
    <w:rsid w:val="30101C47"/>
    <w:rsid w:val="304270D9"/>
    <w:rsid w:val="304A6C50"/>
    <w:rsid w:val="30564EAA"/>
    <w:rsid w:val="305844F5"/>
    <w:rsid w:val="30590AF7"/>
    <w:rsid w:val="30716FBD"/>
    <w:rsid w:val="3075146A"/>
    <w:rsid w:val="30891EFA"/>
    <w:rsid w:val="309C494F"/>
    <w:rsid w:val="309C71A0"/>
    <w:rsid w:val="30AA1092"/>
    <w:rsid w:val="30AB7FEB"/>
    <w:rsid w:val="30B6689C"/>
    <w:rsid w:val="30BC127E"/>
    <w:rsid w:val="30C04052"/>
    <w:rsid w:val="30C629F9"/>
    <w:rsid w:val="30D66549"/>
    <w:rsid w:val="30EB0E69"/>
    <w:rsid w:val="30EF67C3"/>
    <w:rsid w:val="310C2108"/>
    <w:rsid w:val="311D2820"/>
    <w:rsid w:val="312E6C42"/>
    <w:rsid w:val="313B10CE"/>
    <w:rsid w:val="31406467"/>
    <w:rsid w:val="3152177F"/>
    <w:rsid w:val="315F751D"/>
    <w:rsid w:val="31600DC3"/>
    <w:rsid w:val="31617E06"/>
    <w:rsid w:val="317C2E60"/>
    <w:rsid w:val="317C54F1"/>
    <w:rsid w:val="31824D1E"/>
    <w:rsid w:val="31A51C71"/>
    <w:rsid w:val="31BB5D9E"/>
    <w:rsid w:val="31D51714"/>
    <w:rsid w:val="31DA0EB4"/>
    <w:rsid w:val="31EE37DE"/>
    <w:rsid w:val="31F365D7"/>
    <w:rsid w:val="32002F48"/>
    <w:rsid w:val="32132AF1"/>
    <w:rsid w:val="321660D7"/>
    <w:rsid w:val="321822AC"/>
    <w:rsid w:val="322A0FFB"/>
    <w:rsid w:val="32334D5C"/>
    <w:rsid w:val="324774F7"/>
    <w:rsid w:val="32571475"/>
    <w:rsid w:val="326627D0"/>
    <w:rsid w:val="3268068B"/>
    <w:rsid w:val="32705331"/>
    <w:rsid w:val="328964C4"/>
    <w:rsid w:val="328B1D3C"/>
    <w:rsid w:val="329E2349"/>
    <w:rsid w:val="32A06495"/>
    <w:rsid w:val="32A22E04"/>
    <w:rsid w:val="32AA41D1"/>
    <w:rsid w:val="32EB44AE"/>
    <w:rsid w:val="32EF09D1"/>
    <w:rsid w:val="33064114"/>
    <w:rsid w:val="3307105B"/>
    <w:rsid w:val="331958CD"/>
    <w:rsid w:val="33317136"/>
    <w:rsid w:val="33337FBE"/>
    <w:rsid w:val="3351438A"/>
    <w:rsid w:val="33901223"/>
    <w:rsid w:val="33AB5A02"/>
    <w:rsid w:val="33B812AE"/>
    <w:rsid w:val="33BB37A3"/>
    <w:rsid w:val="33C94EE7"/>
    <w:rsid w:val="33DA04D8"/>
    <w:rsid w:val="33DC0C25"/>
    <w:rsid w:val="33E166FF"/>
    <w:rsid w:val="33EF753B"/>
    <w:rsid w:val="340431B9"/>
    <w:rsid w:val="34145E55"/>
    <w:rsid w:val="3424579A"/>
    <w:rsid w:val="342A587C"/>
    <w:rsid w:val="342F6CCD"/>
    <w:rsid w:val="34315F41"/>
    <w:rsid w:val="34675AB1"/>
    <w:rsid w:val="3475215D"/>
    <w:rsid w:val="3479467C"/>
    <w:rsid w:val="347C4AC4"/>
    <w:rsid w:val="34904B95"/>
    <w:rsid w:val="349946B1"/>
    <w:rsid w:val="3499773A"/>
    <w:rsid w:val="349D44E5"/>
    <w:rsid w:val="34A21609"/>
    <w:rsid w:val="34A62420"/>
    <w:rsid w:val="34A97D00"/>
    <w:rsid w:val="34B0387E"/>
    <w:rsid w:val="34B765AE"/>
    <w:rsid w:val="34D6631B"/>
    <w:rsid w:val="350E26A1"/>
    <w:rsid w:val="35163487"/>
    <w:rsid w:val="35234D3A"/>
    <w:rsid w:val="352B2101"/>
    <w:rsid w:val="35603EB6"/>
    <w:rsid w:val="35623E7E"/>
    <w:rsid w:val="35633DA6"/>
    <w:rsid w:val="356B3FD1"/>
    <w:rsid w:val="356E49A5"/>
    <w:rsid w:val="35793C53"/>
    <w:rsid w:val="358A4201"/>
    <w:rsid w:val="35A067D4"/>
    <w:rsid w:val="35B00D73"/>
    <w:rsid w:val="35BA76AF"/>
    <w:rsid w:val="35D16725"/>
    <w:rsid w:val="35DC60F4"/>
    <w:rsid w:val="35E2571B"/>
    <w:rsid w:val="35E25AF8"/>
    <w:rsid w:val="35FC4CA9"/>
    <w:rsid w:val="35FF3EE1"/>
    <w:rsid w:val="35FF6730"/>
    <w:rsid w:val="36043DC7"/>
    <w:rsid w:val="362A10A5"/>
    <w:rsid w:val="36455F50"/>
    <w:rsid w:val="3658685A"/>
    <w:rsid w:val="365F1B18"/>
    <w:rsid w:val="367060D3"/>
    <w:rsid w:val="36972776"/>
    <w:rsid w:val="36B908FF"/>
    <w:rsid w:val="36CE3B9A"/>
    <w:rsid w:val="36E8245E"/>
    <w:rsid w:val="36F15815"/>
    <w:rsid w:val="36F50A99"/>
    <w:rsid w:val="37052537"/>
    <w:rsid w:val="37087282"/>
    <w:rsid w:val="37166950"/>
    <w:rsid w:val="37340812"/>
    <w:rsid w:val="37373098"/>
    <w:rsid w:val="374A45A6"/>
    <w:rsid w:val="375E1C7A"/>
    <w:rsid w:val="375F1D8A"/>
    <w:rsid w:val="376F79AB"/>
    <w:rsid w:val="379B11E0"/>
    <w:rsid w:val="379F16AB"/>
    <w:rsid w:val="379F7DDD"/>
    <w:rsid w:val="37AE2CC3"/>
    <w:rsid w:val="37B61B28"/>
    <w:rsid w:val="37CB782B"/>
    <w:rsid w:val="37E12015"/>
    <w:rsid w:val="37E33B88"/>
    <w:rsid w:val="37E81638"/>
    <w:rsid w:val="37F016EB"/>
    <w:rsid w:val="38213C0D"/>
    <w:rsid w:val="382753B8"/>
    <w:rsid w:val="38325B4A"/>
    <w:rsid w:val="38346DDA"/>
    <w:rsid w:val="384413DD"/>
    <w:rsid w:val="38446AD6"/>
    <w:rsid w:val="38464702"/>
    <w:rsid w:val="387D61E5"/>
    <w:rsid w:val="388D3DEA"/>
    <w:rsid w:val="38A117D1"/>
    <w:rsid w:val="38B6653D"/>
    <w:rsid w:val="38C81566"/>
    <w:rsid w:val="38CF5333"/>
    <w:rsid w:val="39135504"/>
    <w:rsid w:val="39155F9C"/>
    <w:rsid w:val="391B0E73"/>
    <w:rsid w:val="391C6978"/>
    <w:rsid w:val="39237C9F"/>
    <w:rsid w:val="392A709E"/>
    <w:rsid w:val="392C386B"/>
    <w:rsid w:val="392D3939"/>
    <w:rsid w:val="39347742"/>
    <w:rsid w:val="393C3D8B"/>
    <w:rsid w:val="3940483C"/>
    <w:rsid w:val="394B6C5B"/>
    <w:rsid w:val="3951723E"/>
    <w:rsid w:val="39606BA3"/>
    <w:rsid w:val="39633A2F"/>
    <w:rsid w:val="396420AA"/>
    <w:rsid w:val="3973218C"/>
    <w:rsid w:val="39744C72"/>
    <w:rsid w:val="397A0D50"/>
    <w:rsid w:val="3984436A"/>
    <w:rsid w:val="398C409B"/>
    <w:rsid w:val="39913F21"/>
    <w:rsid w:val="39A6643A"/>
    <w:rsid w:val="39BF61D3"/>
    <w:rsid w:val="39D30E49"/>
    <w:rsid w:val="39D60C31"/>
    <w:rsid w:val="39E5789D"/>
    <w:rsid w:val="3A286425"/>
    <w:rsid w:val="3A2A3B00"/>
    <w:rsid w:val="3A454189"/>
    <w:rsid w:val="3A47003F"/>
    <w:rsid w:val="3A545874"/>
    <w:rsid w:val="3A650167"/>
    <w:rsid w:val="3A8D29EF"/>
    <w:rsid w:val="3A901320"/>
    <w:rsid w:val="3AA52499"/>
    <w:rsid w:val="3AC96216"/>
    <w:rsid w:val="3AE07FC0"/>
    <w:rsid w:val="3AF14221"/>
    <w:rsid w:val="3AF6654D"/>
    <w:rsid w:val="3AFD765A"/>
    <w:rsid w:val="3B021D8F"/>
    <w:rsid w:val="3B07064F"/>
    <w:rsid w:val="3B0B7BB1"/>
    <w:rsid w:val="3B1606E0"/>
    <w:rsid w:val="3B354BCC"/>
    <w:rsid w:val="3B6159E8"/>
    <w:rsid w:val="3B664C6E"/>
    <w:rsid w:val="3B790C28"/>
    <w:rsid w:val="3B96767F"/>
    <w:rsid w:val="3BB12303"/>
    <w:rsid w:val="3BCC0E4F"/>
    <w:rsid w:val="3BF13B39"/>
    <w:rsid w:val="3BF22A73"/>
    <w:rsid w:val="3BF50D24"/>
    <w:rsid w:val="3BFE075A"/>
    <w:rsid w:val="3C026C15"/>
    <w:rsid w:val="3C0921D5"/>
    <w:rsid w:val="3C0C6EBC"/>
    <w:rsid w:val="3C1E1D40"/>
    <w:rsid w:val="3C2A6C99"/>
    <w:rsid w:val="3C33353F"/>
    <w:rsid w:val="3C345348"/>
    <w:rsid w:val="3C4A7F40"/>
    <w:rsid w:val="3C5311FB"/>
    <w:rsid w:val="3C7A6C8C"/>
    <w:rsid w:val="3C7D3835"/>
    <w:rsid w:val="3C842CF0"/>
    <w:rsid w:val="3C8B783A"/>
    <w:rsid w:val="3C8D5698"/>
    <w:rsid w:val="3CA22124"/>
    <w:rsid w:val="3CA52517"/>
    <w:rsid w:val="3CB1388A"/>
    <w:rsid w:val="3CBA2518"/>
    <w:rsid w:val="3CBA6438"/>
    <w:rsid w:val="3CBE75CD"/>
    <w:rsid w:val="3CCB1205"/>
    <w:rsid w:val="3CDE1DD1"/>
    <w:rsid w:val="3CE462CA"/>
    <w:rsid w:val="3CE55C2B"/>
    <w:rsid w:val="3CF43F46"/>
    <w:rsid w:val="3CFE51DF"/>
    <w:rsid w:val="3D10026B"/>
    <w:rsid w:val="3D1C56D0"/>
    <w:rsid w:val="3D1E1476"/>
    <w:rsid w:val="3D5C1DDD"/>
    <w:rsid w:val="3D617C3D"/>
    <w:rsid w:val="3D6A579E"/>
    <w:rsid w:val="3D6B202E"/>
    <w:rsid w:val="3D707901"/>
    <w:rsid w:val="3D755591"/>
    <w:rsid w:val="3D760447"/>
    <w:rsid w:val="3D9045F9"/>
    <w:rsid w:val="3D9B302A"/>
    <w:rsid w:val="3DA94F3D"/>
    <w:rsid w:val="3DAA7214"/>
    <w:rsid w:val="3DB069D4"/>
    <w:rsid w:val="3DC12FB2"/>
    <w:rsid w:val="3DC33BCC"/>
    <w:rsid w:val="3DC55C6A"/>
    <w:rsid w:val="3DE437F1"/>
    <w:rsid w:val="3DE5010C"/>
    <w:rsid w:val="3DFD7FF9"/>
    <w:rsid w:val="3E0D489E"/>
    <w:rsid w:val="3E146C38"/>
    <w:rsid w:val="3E1777E7"/>
    <w:rsid w:val="3E300F4C"/>
    <w:rsid w:val="3E305317"/>
    <w:rsid w:val="3E512319"/>
    <w:rsid w:val="3E526E60"/>
    <w:rsid w:val="3E5F0797"/>
    <w:rsid w:val="3E611799"/>
    <w:rsid w:val="3E733930"/>
    <w:rsid w:val="3E744360"/>
    <w:rsid w:val="3EA63122"/>
    <w:rsid w:val="3EBB18A9"/>
    <w:rsid w:val="3EC9093D"/>
    <w:rsid w:val="3ECC5861"/>
    <w:rsid w:val="3EE319E2"/>
    <w:rsid w:val="3EE55A40"/>
    <w:rsid w:val="3EFC3C5D"/>
    <w:rsid w:val="3F087959"/>
    <w:rsid w:val="3F155F02"/>
    <w:rsid w:val="3F1D3DF3"/>
    <w:rsid w:val="3F24505B"/>
    <w:rsid w:val="3F4D4187"/>
    <w:rsid w:val="3F579826"/>
    <w:rsid w:val="3F5B7623"/>
    <w:rsid w:val="3F7731D5"/>
    <w:rsid w:val="3F93737E"/>
    <w:rsid w:val="3F9F0739"/>
    <w:rsid w:val="3FA03F53"/>
    <w:rsid w:val="3FA16338"/>
    <w:rsid w:val="3FA84BED"/>
    <w:rsid w:val="3FAB3463"/>
    <w:rsid w:val="3FC125B0"/>
    <w:rsid w:val="3FC25D22"/>
    <w:rsid w:val="3FD527B6"/>
    <w:rsid w:val="3FDDFB29"/>
    <w:rsid w:val="3FEF0ACC"/>
    <w:rsid w:val="3FF07784"/>
    <w:rsid w:val="3FF80A87"/>
    <w:rsid w:val="400E0977"/>
    <w:rsid w:val="40160C71"/>
    <w:rsid w:val="401B3E41"/>
    <w:rsid w:val="40277F07"/>
    <w:rsid w:val="4032574C"/>
    <w:rsid w:val="403F1053"/>
    <w:rsid w:val="40417B31"/>
    <w:rsid w:val="404706CF"/>
    <w:rsid w:val="405F3892"/>
    <w:rsid w:val="40624BD7"/>
    <w:rsid w:val="406429B1"/>
    <w:rsid w:val="408E04AD"/>
    <w:rsid w:val="40925B79"/>
    <w:rsid w:val="409D10BB"/>
    <w:rsid w:val="40A118BF"/>
    <w:rsid w:val="40B2322A"/>
    <w:rsid w:val="40CC5D3E"/>
    <w:rsid w:val="40D567BE"/>
    <w:rsid w:val="40F22D31"/>
    <w:rsid w:val="40F67950"/>
    <w:rsid w:val="40F83C3A"/>
    <w:rsid w:val="41266BE7"/>
    <w:rsid w:val="4132248B"/>
    <w:rsid w:val="41357D32"/>
    <w:rsid w:val="41500A2F"/>
    <w:rsid w:val="415261FC"/>
    <w:rsid w:val="415B17E7"/>
    <w:rsid w:val="41633A1A"/>
    <w:rsid w:val="417E1033"/>
    <w:rsid w:val="418410DB"/>
    <w:rsid w:val="418923F6"/>
    <w:rsid w:val="418E5C01"/>
    <w:rsid w:val="41A52445"/>
    <w:rsid w:val="41B47894"/>
    <w:rsid w:val="41C84203"/>
    <w:rsid w:val="41C8603E"/>
    <w:rsid w:val="41CA2AC6"/>
    <w:rsid w:val="41CA5AC2"/>
    <w:rsid w:val="41D0657C"/>
    <w:rsid w:val="41F16C78"/>
    <w:rsid w:val="41F50081"/>
    <w:rsid w:val="420257D2"/>
    <w:rsid w:val="421F65FD"/>
    <w:rsid w:val="42422F11"/>
    <w:rsid w:val="424C7E6A"/>
    <w:rsid w:val="424E00C0"/>
    <w:rsid w:val="425B3E9E"/>
    <w:rsid w:val="42656515"/>
    <w:rsid w:val="426F61BD"/>
    <w:rsid w:val="427118C0"/>
    <w:rsid w:val="42727800"/>
    <w:rsid w:val="427B13B8"/>
    <w:rsid w:val="427E6D01"/>
    <w:rsid w:val="42A52DA5"/>
    <w:rsid w:val="42AA31C3"/>
    <w:rsid w:val="42BA167E"/>
    <w:rsid w:val="42D551CC"/>
    <w:rsid w:val="42F35735"/>
    <w:rsid w:val="42F66080"/>
    <w:rsid w:val="42F73947"/>
    <w:rsid w:val="43001AFA"/>
    <w:rsid w:val="431B42E8"/>
    <w:rsid w:val="432139C2"/>
    <w:rsid w:val="432424DA"/>
    <w:rsid w:val="43354728"/>
    <w:rsid w:val="433D534D"/>
    <w:rsid w:val="433E0AFC"/>
    <w:rsid w:val="435F236D"/>
    <w:rsid w:val="4393070A"/>
    <w:rsid w:val="43A1491B"/>
    <w:rsid w:val="43CB3DF0"/>
    <w:rsid w:val="43E32926"/>
    <w:rsid w:val="43EF05F7"/>
    <w:rsid w:val="43F81ACF"/>
    <w:rsid w:val="43FE3CF2"/>
    <w:rsid w:val="44114B49"/>
    <w:rsid w:val="4414260E"/>
    <w:rsid w:val="441B4456"/>
    <w:rsid w:val="441D17B5"/>
    <w:rsid w:val="442735F2"/>
    <w:rsid w:val="443F4141"/>
    <w:rsid w:val="445B3F4C"/>
    <w:rsid w:val="445C17A5"/>
    <w:rsid w:val="446C0AEC"/>
    <w:rsid w:val="447C2374"/>
    <w:rsid w:val="44A16891"/>
    <w:rsid w:val="44A758B8"/>
    <w:rsid w:val="44AC2BA9"/>
    <w:rsid w:val="44AF0C55"/>
    <w:rsid w:val="44DF54BD"/>
    <w:rsid w:val="44ED4FC8"/>
    <w:rsid w:val="44FC68C3"/>
    <w:rsid w:val="44FD0839"/>
    <w:rsid w:val="44FE003E"/>
    <w:rsid w:val="450454A8"/>
    <w:rsid w:val="4507283F"/>
    <w:rsid w:val="451A5F7B"/>
    <w:rsid w:val="45271396"/>
    <w:rsid w:val="452E67BF"/>
    <w:rsid w:val="45457A9C"/>
    <w:rsid w:val="456415A1"/>
    <w:rsid w:val="45805306"/>
    <w:rsid w:val="459317E0"/>
    <w:rsid w:val="45936CF6"/>
    <w:rsid w:val="45972D4D"/>
    <w:rsid w:val="45C0274C"/>
    <w:rsid w:val="45E13176"/>
    <w:rsid w:val="45F144BB"/>
    <w:rsid w:val="45FC496C"/>
    <w:rsid w:val="460A032A"/>
    <w:rsid w:val="460F641F"/>
    <w:rsid w:val="46116042"/>
    <w:rsid w:val="46216FD5"/>
    <w:rsid w:val="4627646D"/>
    <w:rsid w:val="462D5B83"/>
    <w:rsid w:val="46356834"/>
    <w:rsid w:val="465548C9"/>
    <w:rsid w:val="465704DD"/>
    <w:rsid w:val="466B07A0"/>
    <w:rsid w:val="46706A8E"/>
    <w:rsid w:val="46761BF9"/>
    <w:rsid w:val="46A1289B"/>
    <w:rsid w:val="46A330F2"/>
    <w:rsid w:val="46B11F51"/>
    <w:rsid w:val="46BA07ED"/>
    <w:rsid w:val="46C2225E"/>
    <w:rsid w:val="46D22102"/>
    <w:rsid w:val="46D7535C"/>
    <w:rsid w:val="46E96F7F"/>
    <w:rsid w:val="472238A5"/>
    <w:rsid w:val="473516AD"/>
    <w:rsid w:val="473B2248"/>
    <w:rsid w:val="477C6EEF"/>
    <w:rsid w:val="478A3056"/>
    <w:rsid w:val="479227F7"/>
    <w:rsid w:val="47C65C9D"/>
    <w:rsid w:val="47C84222"/>
    <w:rsid w:val="47CA099B"/>
    <w:rsid w:val="47E020B3"/>
    <w:rsid w:val="47E03099"/>
    <w:rsid w:val="47E83DEC"/>
    <w:rsid w:val="47F51B47"/>
    <w:rsid w:val="47FF2C34"/>
    <w:rsid w:val="48067805"/>
    <w:rsid w:val="480A15FB"/>
    <w:rsid w:val="48116C58"/>
    <w:rsid w:val="4842167D"/>
    <w:rsid w:val="4848587F"/>
    <w:rsid w:val="48503856"/>
    <w:rsid w:val="48522C2C"/>
    <w:rsid w:val="487A3E16"/>
    <w:rsid w:val="48980D56"/>
    <w:rsid w:val="48B07F58"/>
    <w:rsid w:val="48C91978"/>
    <w:rsid w:val="48E166D4"/>
    <w:rsid w:val="48E26A6C"/>
    <w:rsid w:val="48E7512C"/>
    <w:rsid w:val="48F212A1"/>
    <w:rsid w:val="48F63A8B"/>
    <w:rsid w:val="490B6D8A"/>
    <w:rsid w:val="49140D5A"/>
    <w:rsid w:val="491F61E3"/>
    <w:rsid w:val="49267ABD"/>
    <w:rsid w:val="49364709"/>
    <w:rsid w:val="494E5357"/>
    <w:rsid w:val="495D69E8"/>
    <w:rsid w:val="495E6101"/>
    <w:rsid w:val="499632E4"/>
    <w:rsid w:val="499F3595"/>
    <w:rsid w:val="49A54A13"/>
    <w:rsid w:val="49B51487"/>
    <w:rsid w:val="49B64A58"/>
    <w:rsid w:val="49C1368D"/>
    <w:rsid w:val="49CA326F"/>
    <w:rsid w:val="49D66B33"/>
    <w:rsid w:val="49E51F33"/>
    <w:rsid w:val="49F5439F"/>
    <w:rsid w:val="49F71F42"/>
    <w:rsid w:val="49FE177F"/>
    <w:rsid w:val="4A135A04"/>
    <w:rsid w:val="4A220347"/>
    <w:rsid w:val="4A2E67AC"/>
    <w:rsid w:val="4A46472B"/>
    <w:rsid w:val="4A507C02"/>
    <w:rsid w:val="4A603119"/>
    <w:rsid w:val="4A685A3C"/>
    <w:rsid w:val="4A6A4AF7"/>
    <w:rsid w:val="4A71750D"/>
    <w:rsid w:val="4A7E44EA"/>
    <w:rsid w:val="4A8D00C1"/>
    <w:rsid w:val="4AA743EE"/>
    <w:rsid w:val="4AB07FBC"/>
    <w:rsid w:val="4AB12B78"/>
    <w:rsid w:val="4AB649B8"/>
    <w:rsid w:val="4ABA0DF6"/>
    <w:rsid w:val="4ABE0125"/>
    <w:rsid w:val="4AE65943"/>
    <w:rsid w:val="4AEB5F88"/>
    <w:rsid w:val="4B186266"/>
    <w:rsid w:val="4B1B5CFA"/>
    <w:rsid w:val="4B241AF3"/>
    <w:rsid w:val="4B2D4532"/>
    <w:rsid w:val="4B3B5276"/>
    <w:rsid w:val="4B4861CE"/>
    <w:rsid w:val="4B494507"/>
    <w:rsid w:val="4B5A3A78"/>
    <w:rsid w:val="4B617A99"/>
    <w:rsid w:val="4B637C53"/>
    <w:rsid w:val="4B6809B7"/>
    <w:rsid w:val="4B6B6E59"/>
    <w:rsid w:val="4B6C2BCF"/>
    <w:rsid w:val="4B7E7FC6"/>
    <w:rsid w:val="4B905B42"/>
    <w:rsid w:val="4BE92D81"/>
    <w:rsid w:val="4C0C06DF"/>
    <w:rsid w:val="4C246487"/>
    <w:rsid w:val="4C2624A2"/>
    <w:rsid w:val="4C263C7C"/>
    <w:rsid w:val="4C401129"/>
    <w:rsid w:val="4C4A72CA"/>
    <w:rsid w:val="4C554CCD"/>
    <w:rsid w:val="4C5773F9"/>
    <w:rsid w:val="4C5A3A90"/>
    <w:rsid w:val="4C7050FE"/>
    <w:rsid w:val="4C8C263F"/>
    <w:rsid w:val="4C960A8C"/>
    <w:rsid w:val="4C990A5F"/>
    <w:rsid w:val="4CA37650"/>
    <w:rsid w:val="4CA80E65"/>
    <w:rsid w:val="4CB37F65"/>
    <w:rsid w:val="4CBC2CEE"/>
    <w:rsid w:val="4CCD37A3"/>
    <w:rsid w:val="4CDD1E3E"/>
    <w:rsid w:val="4CFC223D"/>
    <w:rsid w:val="4D2856ED"/>
    <w:rsid w:val="4D375632"/>
    <w:rsid w:val="4D385377"/>
    <w:rsid w:val="4D3D3FA3"/>
    <w:rsid w:val="4D522708"/>
    <w:rsid w:val="4D5353D0"/>
    <w:rsid w:val="4D705FBE"/>
    <w:rsid w:val="4D793776"/>
    <w:rsid w:val="4D8B303E"/>
    <w:rsid w:val="4D9A2CE9"/>
    <w:rsid w:val="4D9F08C9"/>
    <w:rsid w:val="4DAD05A4"/>
    <w:rsid w:val="4DDC2495"/>
    <w:rsid w:val="4DEA7397"/>
    <w:rsid w:val="4DEB2D9F"/>
    <w:rsid w:val="4DFC1752"/>
    <w:rsid w:val="4E1831EB"/>
    <w:rsid w:val="4E2927D0"/>
    <w:rsid w:val="4E5C7A49"/>
    <w:rsid w:val="4E6123EE"/>
    <w:rsid w:val="4E9630DE"/>
    <w:rsid w:val="4E9C680D"/>
    <w:rsid w:val="4EAC3655"/>
    <w:rsid w:val="4EB50E2C"/>
    <w:rsid w:val="4EBD276F"/>
    <w:rsid w:val="4EC7019B"/>
    <w:rsid w:val="4ED91121"/>
    <w:rsid w:val="4EDC7C52"/>
    <w:rsid w:val="4EDE5322"/>
    <w:rsid w:val="4EE03EA8"/>
    <w:rsid w:val="4EEC5539"/>
    <w:rsid w:val="4EF14030"/>
    <w:rsid w:val="4F0728D7"/>
    <w:rsid w:val="4F077233"/>
    <w:rsid w:val="4F1B120E"/>
    <w:rsid w:val="4F234FD2"/>
    <w:rsid w:val="4F2C4068"/>
    <w:rsid w:val="4F2F75D7"/>
    <w:rsid w:val="4F300867"/>
    <w:rsid w:val="4F440E91"/>
    <w:rsid w:val="4F4A2415"/>
    <w:rsid w:val="4F5102A4"/>
    <w:rsid w:val="4F54062B"/>
    <w:rsid w:val="4F63195F"/>
    <w:rsid w:val="4F6670A7"/>
    <w:rsid w:val="4F6D62CC"/>
    <w:rsid w:val="4F6E2533"/>
    <w:rsid w:val="4F727254"/>
    <w:rsid w:val="4F7706DA"/>
    <w:rsid w:val="4F833987"/>
    <w:rsid w:val="4F91203E"/>
    <w:rsid w:val="4F91354D"/>
    <w:rsid w:val="4F9C6492"/>
    <w:rsid w:val="4FAD3F34"/>
    <w:rsid w:val="4FB9779D"/>
    <w:rsid w:val="4FC65124"/>
    <w:rsid w:val="4FD524A7"/>
    <w:rsid w:val="4FE120E8"/>
    <w:rsid w:val="5005353F"/>
    <w:rsid w:val="50055E41"/>
    <w:rsid w:val="500572FD"/>
    <w:rsid w:val="50075153"/>
    <w:rsid w:val="50200E54"/>
    <w:rsid w:val="502630B2"/>
    <w:rsid w:val="502B5881"/>
    <w:rsid w:val="5037201F"/>
    <w:rsid w:val="50513ECF"/>
    <w:rsid w:val="50943787"/>
    <w:rsid w:val="50956725"/>
    <w:rsid w:val="50962B9D"/>
    <w:rsid w:val="50AB41BF"/>
    <w:rsid w:val="50B36D97"/>
    <w:rsid w:val="50C34080"/>
    <w:rsid w:val="50D03601"/>
    <w:rsid w:val="50DE21C4"/>
    <w:rsid w:val="50EF1422"/>
    <w:rsid w:val="51297FDF"/>
    <w:rsid w:val="512A067F"/>
    <w:rsid w:val="512D696C"/>
    <w:rsid w:val="51420EE6"/>
    <w:rsid w:val="514C6A58"/>
    <w:rsid w:val="515512AB"/>
    <w:rsid w:val="5155428B"/>
    <w:rsid w:val="516E323F"/>
    <w:rsid w:val="516F6644"/>
    <w:rsid w:val="517F30C3"/>
    <w:rsid w:val="5197481D"/>
    <w:rsid w:val="5197BDC5"/>
    <w:rsid w:val="519A5643"/>
    <w:rsid w:val="51A01E23"/>
    <w:rsid w:val="51A157DD"/>
    <w:rsid w:val="51A565FB"/>
    <w:rsid w:val="51A96B78"/>
    <w:rsid w:val="51AF0CC5"/>
    <w:rsid w:val="51B1349E"/>
    <w:rsid w:val="51B915C1"/>
    <w:rsid w:val="51BF048A"/>
    <w:rsid w:val="51C73E99"/>
    <w:rsid w:val="51CD7B32"/>
    <w:rsid w:val="51D00F89"/>
    <w:rsid w:val="51D87CC4"/>
    <w:rsid w:val="51DD6AA8"/>
    <w:rsid w:val="51E371E7"/>
    <w:rsid w:val="51E92AC5"/>
    <w:rsid w:val="51EA5D15"/>
    <w:rsid w:val="51EC4B29"/>
    <w:rsid w:val="51EF796A"/>
    <w:rsid w:val="51FD07AD"/>
    <w:rsid w:val="520069FD"/>
    <w:rsid w:val="5211192A"/>
    <w:rsid w:val="521624D9"/>
    <w:rsid w:val="5226017F"/>
    <w:rsid w:val="523946A0"/>
    <w:rsid w:val="523F4B66"/>
    <w:rsid w:val="524220D9"/>
    <w:rsid w:val="524A14FE"/>
    <w:rsid w:val="525801C5"/>
    <w:rsid w:val="526035F3"/>
    <w:rsid w:val="52817EA6"/>
    <w:rsid w:val="52886ECC"/>
    <w:rsid w:val="528D407F"/>
    <w:rsid w:val="5292333E"/>
    <w:rsid w:val="52B15AA2"/>
    <w:rsid w:val="52BA73D5"/>
    <w:rsid w:val="52D46EEE"/>
    <w:rsid w:val="52D80112"/>
    <w:rsid w:val="52D91FAD"/>
    <w:rsid w:val="52FE5897"/>
    <w:rsid w:val="5300181E"/>
    <w:rsid w:val="532977AD"/>
    <w:rsid w:val="532E779E"/>
    <w:rsid w:val="53452C0A"/>
    <w:rsid w:val="53570BC5"/>
    <w:rsid w:val="535C7C5F"/>
    <w:rsid w:val="53746478"/>
    <w:rsid w:val="537757BA"/>
    <w:rsid w:val="53794616"/>
    <w:rsid w:val="537B1FF2"/>
    <w:rsid w:val="53801A0E"/>
    <w:rsid w:val="53856979"/>
    <w:rsid w:val="53884EDE"/>
    <w:rsid w:val="53976E63"/>
    <w:rsid w:val="53AF04AB"/>
    <w:rsid w:val="53D74AA7"/>
    <w:rsid w:val="53FE4797"/>
    <w:rsid w:val="540E6C2D"/>
    <w:rsid w:val="54184056"/>
    <w:rsid w:val="54192FF2"/>
    <w:rsid w:val="541F5B37"/>
    <w:rsid w:val="542C2EDD"/>
    <w:rsid w:val="542D1470"/>
    <w:rsid w:val="543B57D5"/>
    <w:rsid w:val="54457C22"/>
    <w:rsid w:val="544C640F"/>
    <w:rsid w:val="5453072D"/>
    <w:rsid w:val="54565A50"/>
    <w:rsid w:val="545740DD"/>
    <w:rsid w:val="545A1C79"/>
    <w:rsid w:val="546D0E57"/>
    <w:rsid w:val="54722670"/>
    <w:rsid w:val="548543E0"/>
    <w:rsid w:val="548C5A8F"/>
    <w:rsid w:val="54A27307"/>
    <w:rsid w:val="54A75AE2"/>
    <w:rsid w:val="54E53190"/>
    <w:rsid w:val="54EC6652"/>
    <w:rsid w:val="54F2677D"/>
    <w:rsid w:val="54F7B358"/>
    <w:rsid w:val="5506007D"/>
    <w:rsid w:val="55136AA0"/>
    <w:rsid w:val="55166D3C"/>
    <w:rsid w:val="551F1273"/>
    <w:rsid w:val="553331C5"/>
    <w:rsid w:val="5538503A"/>
    <w:rsid w:val="55590FF0"/>
    <w:rsid w:val="55626424"/>
    <w:rsid w:val="556A6DE9"/>
    <w:rsid w:val="556D4EAF"/>
    <w:rsid w:val="55750455"/>
    <w:rsid w:val="55853D51"/>
    <w:rsid w:val="558722B0"/>
    <w:rsid w:val="55C6450F"/>
    <w:rsid w:val="55D25263"/>
    <w:rsid w:val="55E25343"/>
    <w:rsid w:val="55E97266"/>
    <w:rsid w:val="560074E3"/>
    <w:rsid w:val="56017592"/>
    <w:rsid w:val="56350C76"/>
    <w:rsid w:val="56386897"/>
    <w:rsid w:val="563D6EE9"/>
    <w:rsid w:val="5658285B"/>
    <w:rsid w:val="565979D4"/>
    <w:rsid w:val="565E1C25"/>
    <w:rsid w:val="566A7D39"/>
    <w:rsid w:val="566C3D8F"/>
    <w:rsid w:val="56837560"/>
    <w:rsid w:val="56904B00"/>
    <w:rsid w:val="56944D48"/>
    <w:rsid w:val="56972AF9"/>
    <w:rsid w:val="56A6419C"/>
    <w:rsid w:val="56B979A8"/>
    <w:rsid w:val="56BB016F"/>
    <w:rsid w:val="56F8264D"/>
    <w:rsid w:val="570013B8"/>
    <w:rsid w:val="57007C78"/>
    <w:rsid w:val="571C17E7"/>
    <w:rsid w:val="57232760"/>
    <w:rsid w:val="572617C7"/>
    <w:rsid w:val="5739769A"/>
    <w:rsid w:val="57405D88"/>
    <w:rsid w:val="574827AA"/>
    <w:rsid w:val="57534511"/>
    <w:rsid w:val="57660BA7"/>
    <w:rsid w:val="57680059"/>
    <w:rsid w:val="579161D9"/>
    <w:rsid w:val="579E4609"/>
    <w:rsid w:val="57A3FF47"/>
    <w:rsid w:val="57A44916"/>
    <w:rsid w:val="57A86CA5"/>
    <w:rsid w:val="57AA3291"/>
    <w:rsid w:val="57B42B61"/>
    <w:rsid w:val="57B9770C"/>
    <w:rsid w:val="57BC3D9A"/>
    <w:rsid w:val="58107DA0"/>
    <w:rsid w:val="582B197A"/>
    <w:rsid w:val="583553D5"/>
    <w:rsid w:val="58503F44"/>
    <w:rsid w:val="585548A8"/>
    <w:rsid w:val="585755A5"/>
    <w:rsid w:val="586122AD"/>
    <w:rsid w:val="58791D61"/>
    <w:rsid w:val="58865E26"/>
    <w:rsid w:val="58880738"/>
    <w:rsid w:val="58906D0F"/>
    <w:rsid w:val="58A40C28"/>
    <w:rsid w:val="58A6751A"/>
    <w:rsid w:val="58AF66DE"/>
    <w:rsid w:val="58B938A1"/>
    <w:rsid w:val="58C07DC1"/>
    <w:rsid w:val="58CA6864"/>
    <w:rsid w:val="58CC23DC"/>
    <w:rsid w:val="58EC3C0D"/>
    <w:rsid w:val="590D0A8E"/>
    <w:rsid w:val="592F6696"/>
    <w:rsid w:val="594B015F"/>
    <w:rsid w:val="59510116"/>
    <w:rsid w:val="595F4D80"/>
    <w:rsid w:val="59640AF1"/>
    <w:rsid w:val="59702A7F"/>
    <w:rsid w:val="599519B3"/>
    <w:rsid w:val="599704AE"/>
    <w:rsid w:val="59EB7FA2"/>
    <w:rsid w:val="59EF5C2B"/>
    <w:rsid w:val="59F745FD"/>
    <w:rsid w:val="5A2C360F"/>
    <w:rsid w:val="5A2C548F"/>
    <w:rsid w:val="5A384295"/>
    <w:rsid w:val="5A561915"/>
    <w:rsid w:val="5A614EFD"/>
    <w:rsid w:val="5A693068"/>
    <w:rsid w:val="5A770963"/>
    <w:rsid w:val="5A787BA9"/>
    <w:rsid w:val="5A8F5498"/>
    <w:rsid w:val="5A905A8B"/>
    <w:rsid w:val="5AC452F4"/>
    <w:rsid w:val="5AE15B99"/>
    <w:rsid w:val="5AEB3CDA"/>
    <w:rsid w:val="5AEC209F"/>
    <w:rsid w:val="5B191ED4"/>
    <w:rsid w:val="5B2E607F"/>
    <w:rsid w:val="5B3A4DD9"/>
    <w:rsid w:val="5B401ACF"/>
    <w:rsid w:val="5B4277D1"/>
    <w:rsid w:val="5B435677"/>
    <w:rsid w:val="5B4405BE"/>
    <w:rsid w:val="5B553CD5"/>
    <w:rsid w:val="5B7C6879"/>
    <w:rsid w:val="5B924AA7"/>
    <w:rsid w:val="5BA30452"/>
    <w:rsid w:val="5BA57593"/>
    <w:rsid w:val="5BAA0959"/>
    <w:rsid w:val="5BBC7EBE"/>
    <w:rsid w:val="5BED3B30"/>
    <w:rsid w:val="5BF50AF0"/>
    <w:rsid w:val="5BFB5DC4"/>
    <w:rsid w:val="5C060EB8"/>
    <w:rsid w:val="5C28206D"/>
    <w:rsid w:val="5C2B2B10"/>
    <w:rsid w:val="5C4A26C0"/>
    <w:rsid w:val="5C53132D"/>
    <w:rsid w:val="5C5B5395"/>
    <w:rsid w:val="5C6003D2"/>
    <w:rsid w:val="5C651C1B"/>
    <w:rsid w:val="5C657995"/>
    <w:rsid w:val="5C6E1B17"/>
    <w:rsid w:val="5C7B7EB4"/>
    <w:rsid w:val="5C85288F"/>
    <w:rsid w:val="5C925CAB"/>
    <w:rsid w:val="5CB56965"/>
    <w:rsid w:val="5CC008FF"/>
    <w:rsid w:val="5CE14911"/>
    <w:rsid w:val="5CF84069"/>
    <w:rsid w:val="5D2C2087"/>
    <w:rsid w:val="5D3A604B"/>
    <w:rsid w:val="5D3E6626"/>
    <w:rsid w:val="5D432D1A"/>
    <w:rsid w:val="5D5C6D0A"/>
    <w:rsid w:val="5D5E5926"/>
    <w:rsid w:val="5D6248BC"/>
    <w:rsid w:val="5D686669"/>
    <w:rsid w:val="5D6B5CFF"/>
    <w:rsid w:val="5D77691B"/>
    <w:rsid w:val="5D813A3C"/>
    <w:rsid w:val="5DC63DBF"/>
    <w:rsid w:val="5DCD4A96"/>
    <w:rsid w:val="5DD917A8"/>
    <w:rsid w:val="5DE6207C"/>
    <w:rsid w:val="5DEB360D"/>
    <w:rsid w:val="5E012318"/>
    <w:rsid w:val="5E061D8D"/>
    <w:rsid w:val="5E1E78A8"/>
    <w:rsid w:val="5E225AE9"/>
    <w:rsid w:val="5E2A03BE"/>
    <w:rsid w:val="5E5A2D3B"/>
    <w:rsid w:val="5E634560"/>
    <w:rsid w:val="5E674113"/>
    <w:rsid w:val="5E685A5E"/>
    <w:rsid w:val="5E72603E"/>
    <w:rsid w:val="5E72655D"/>
    <w:rsid w:val="5E8D119F"/>
    <w:rsid w:val="5E980DCC"/>
    <w:rsid w:val="5EA66886"/>
    <w:rsid w:val="5EAE736B"/>
    <w:rsid w:val="5EB92092"/>
    <w:rsid w:val="5EDB1E1F"/>
    <w:rsid w:val="5EE03556"/>
    <w:rsid w:val="5EED2654"/>
    <w:rsid w:val="5EF734BC"/>
    <w:rsid w:val="5EF83260"/>
    <w:rsid w:val="5EF8654A"/>
    <w:rsid w:val="5EFE03E1"/>
    <w:rsid w:val="5EFF4612"/>
    <w:rsid w:val="5F076E7B"/>
    <w:rsid w:val="5F0805F8"/>
    <w:rsid w:val="5F165505"/>
    <w:rsid w:val="5F316E2A"/>
    <w:rsid w:val="5F3816CF"/>
    <w:rsid w:val="5F38578D"/>
    <w:rsid w:val="5F3C0244"/>
    <w:rsid w:val="5F49025F"/>
    <w:rsid w:val="5F501BA7"/>
    <w:rsid w:val="5F511F41"/>
    <w:rsid w:val="5F520E86"/>
    <w:rsid w:val="5F5D0B17"/>
    <w:rsid w:val="5F604916"/>
    <w:rsid w:val="5F64489C"/>
    <w:rsid w:val="5F6A3B3C"/>
    <w:rsid w:val="5F755F70"/>
    <w:rsid w:val="5F7936B6"/>
    <w:rsid w:val="5F7B1FD0"/>
    <w:rsid w:val="5F7E565A"/>
    <w:rsid w:val="5F814289"/>
    <w:rsid w:val="5F8D49B2"/>
    <w:rsid w:val="5F8F514B"/>
    <w:rsid w:val="5F935F13"/>
    <w:rsid w:val="5FAF0275"/>
    <w:rsid w:val="5FBD1671"/>
    <w:rsid w:val="5FC80030"/>
    <w:rsid w:val="5FC9069A"/>
    <w:rsid w:val="5FCB7FE7"/>
    <w:rsid w:val="5FD03B94"/>
    <w:rsid w:val="5FFA0E14"/>
    <w:rsid w:val="60340B05"/>
    <w:rsid w:val="60442EF4"/>
    <w:rsid w:val="605132D8"/>
    <w:rsid w:val="60671A4E"/>
    <w:rsid w:val="608E0359"/>
    <w:rsid w:val="60916AB2"/>
    <w:rsid w:val="6094618F"/>
    <w:rsid w:val="60AA1D62"/>
    <w:rsid w:val="60D877F3"/>
    <w:rsid w:val="60E25C9C"/>
    <w:rsid w:val="60FA5A2D"/>
    <w:rsid w:val="60FC7C78"/>
    <w:rsid w:val="61107602"/>
    <w:rsid w:val="613817B1"/>
    <w:rsid w:val="6139040F"/>
    <w:rsid w:val="613B73DC"/>
    <w:rsid w:val="61444A3A"/>
    <w:rsid w:val="614C6665"/>
    <w:rsid w:val="61526DA0"/>
    <w:rsid w:val="61551558"/>
    <w:rsid w:val="616D58E2"/>
    <w:rsid w:val="617579F4"/>
    <w:rsid w:val="6177678D"/>
    <w:rsid w:val="61860552"/>
    <w:rsid w:val="61973C7B"/>
    <w:rsid w:val="61A97221"/>
    <w:rsid w:val="61AB69E4"/>
    <w:rsid w:val="61B33632"/>
    <w:rsid w:val="61C36E01"/>
    <w:rsid w:val="61D4206B"/>
    <w:rsid w:val="61D846F3"/>
    <w:rsid w:val="61E92DEF"/>
    <w:rsid w:val="61F8764A"/>
    <w:rsid w:val="62071270"/>
    <w:rsid w:val="621B5461"/>
    <w:rsid w:val="621C28BC"/>
    <w:rsid w:val="622D0C2D"/>
    <w:rsid w:val="62422A65"/>
    <w:rsid w:val="62754161"/>
    <w:rsid w:val="62777801"/>
    <w:rsid w:val="628A2366"/>
    <w:rsid w:val="629C736B"/>
    <w:rsid w:val="62A50E0E"/>
    <w:rsid w:val="62AF6732"/>
    <w:rsid w:val="62B02F72"/>
    <w:rsid w:val="62B06923"/>
    <w:rsid w:val="62B36768"/>
    <w:rsid w:val="62BA2787"/>
    <w:rsid w:val="62C0779F"/>
    <w:rsid w:val="62C45D73"/>
    <w:rsid w:val="62D0327B"/>
    <w:rsid w:val="62EE087D"/>
    <w:rsid w:val="62FE4B32"/>
    <w:rsid w:val="63016A57"/>
    <w:rsid w:val="631D4381"/>
    <w:rsid w:val="632313CC"/>
    <w:rsid w:val="632515AE"/>
    <w:rsid w:val="63307C4A"/>
    <w:rsid w:val="6338614D"/>
    <w:rsid w:val="635A3279"/>
    <w:rsid w:val="63955C6A"/>
    <w:rsid w:val="639F3E7A"/>
    <w:rsid w:val="63B0235C"/>
    <w:rsid w:val="63B8325F"/>
    <w:rsid w:val="63D10EE9"/>
    <w:rsid w:val="63E54135"/>
    <w:rsid w:val="63F379F4"/>
    <w:rsid w:val="640449BD"/>
    <w:rsid w:val="640B2E99"/>
    <w:rsid w:val="64141D31"/>
    <w:rsid w:val="641D27CD"/>
    <w:rsid w:val="64275850"/>
    <w:rsid w:val="642B6723"/>
    <w:rsid w:val="6436502A"/>
    <w:rsid w:val="64402004"/>
    <w:rsid w:val="64581AD3"/>
    <w:rsid w:val="645871B1"/>
    <w:rsid w:val="646B0AEB"/>
    <w:rsid w:val="649622F6"/>
    <w:rsid w:val="64966E06"/>
    <w:rsid w:val="64AE5812"/>
    <w:rsid w:val="64B20336"/>
    <w:rsid w:val="64B41AE9"/>
    <w:rsid w:val="64B846B9"/>
    <w:rsid w:val="64D446FB"/>
    <w:rsid w:val="64D73DFE"/>
    <w:rsid w:val="64D97EBA"/>
    <w:rsid w:val="64E92B0B"/>
    <w:rsid w:val="64E95908"/>
    <w:rsid w:val="64EC47ED"/>
    <w:rsid w:val="64EC7A34"/>
    <w:rsid w:val="64F3299B"/>
    <w:rsid w:val="64FA2A98"/>
    <w:rsid w:val="65041106"/>
    <w:rsid w:val="65096A06"/>
    <w:rsid w:val="650D1699"/>
    <w:rsid w:val="651F6962"/>
    <w:rsid w:val="652F7213"/>
    <w:rsid w:val="656B32C1"/>
    <w:rsid w:val="656C75CB"/>
    <w:rsid w:val="657B73FF"/>
    <w:rsid w:val="65905B28"/>
    <w:rsid w:val="65AB2588"/>
    <w:rsid w:val="65B4246B"/>
    <w:rsid w:val="65BF00FE"/>
    <w:rsid w:val="65BF716B"/>
    <w:rsid w:val="65C071FA"/>
    <w:rsid w:val="65DD462D"/>
    <w:rsid w:val="65E41673"/>
    <w:rsid w:val="65E610B7"/>
    <w:rsid w:val="65F774DF"/>
    <w:rsid w:val="65FB63E9"/>
    <w:rsid w:val="65FC2190"/>
    <w:rsid w:val="66235239"/>
    <w:rsid w:val="662E25FC"/>
    <w:rsid w:val="66385FBE"/>
    <w:rsid w:val="663A7F19"/>
    <w:rsid w:val="6642111D"/>
    <w:rsid w:val="66586363"/>
    <w:rsid w:val="665A08B7"/>
    <w:rsid w:val="666F1054"/>
    <w:rsid w:val="668F76A6"/>
    <w:rsid w:val="66AA320B"/>
    <w:rsid w:val="66B16899"/>
    <w:rsid w:val="66BB24A3"/>
    <w:rsid w:val="66C605FA"/>
    <w:rsid w:val="66C87F57"/>
    <w:rsid w:val="66D12DFE"/>
    <w:rsid w:val="66E33E87"/>
    <w:rsid w:val="66ED46FF"/>
    <w:rsid w:val="66F80903"/>
    <w:rsid w:val="670C712E"/>
    <w:rsid w:val="670D1CBB"/>
    <w:rsid w:val="671C2F59"/>
    <w:rsid w:val="67230AF4"/>
    <w:rsid w:val="6723231A"/>
    <w:rsid w:val="67332372"/>
    <w:rsid w:val="673E5F89"/>
    <w:rsid w:val="67404A3D"/>
    <w:rsid w:val="67644887"/>
    <w:rsid w:val="6771200A"/>
    <w:rsid w:val="679B4D74"/>
    <w:rsid w:val="67A80BC4"/>
    <w:rsid w:val="67A97C57"/>
    <w:rsid w:val="67DA7CB8"/>
    <w:rsid w:val="67E1348B"/>
    <w:rsid w:val="67E21CD0"/>
    <w:rsid w:val="67E24196"/>
    <w:rsid w:val="67F91D52"/>
    <w:rsid w:val="68255154"/>
    <w:rsid w:val="6836765B"/>
    <w:rsid w:val="68514B99"/>
    <w:rsid w:val="685C6690"/>
    <w:rsid w:val="686360E3"/>
    <w:rsid w:val="689469DF"/>
    <w:rsid w:val="68A61F20"/>
    <w:rsid w:val="68A6227C"/>
    <w:rsid w:val="68B32FF7"/>
    <w:rsid w:val="68BA508F"/>
    <w:rsid w:val="68C072BC"/>
    <w:rsid w:val="68C079C8"/>
    <w:rsid w:val="68C20B36"/>
    <w:rsid w:val="68C36ECB"/>
    <w:rsid w:val="68C72B28"/>
    <w:rsid w:val="68CC420E"/>
    <w:rsid w:val="68D47D4C"/>
    <w:rsid w:val="68FC41CB"/>
    <w:rsid w:val="690D38C7"/>
    <w:rsid w:val="691A0BB2"/>
    <w:rsid w:val="6928752D"/>
    <w:rsid w:val="69411F5C"/>
    <w:rsid w:val="694A29C9"/>
    <w:rsid w:val="694D2B9C"/>
    <w:rsid w:val="69580A70"/>
    <w:rsid w:val="69881F21"/>
    <w:rsid w:val="69B238D2"/>
    <w:rsid w:val="6A183F47"/>
    <w:rsid w:val="6A2003CA"/>
    <w:rsid w:val="6A422F9D"/>
    <w:rsid w:val="6A4B62FA"/>
    <w:rsid w:val="6A533BE6"/>
    <w:rsid w:val="6A7E2756"/>
    <w:rsid w:val="6A7F2EE7"/>
    <w:rsid w:val="6A864017"/>
    <w:rsid w:val="6A881A3F"/>
    <w:rsid w:val="6A94460E"/>
    <w:rsid w:val="6A9618D5"/>
    <w:rsid w:val="6A9A035A"/>
    <w:rsid w:val="6AAA7213"/>
    <w:rsid w:val="6AC93C82"/>
    <w:rsid w:val="6AD35629"/>
    <w:rsid w:val="6AE765B2"/>
    <w:rsid w:val="6B145C53"/>
    <w:rsid w:val="6B212F05"/>
    <w:rsid w:val="6B337C23"/>
    <w:rsid w:val="6B393900"/>
    <w:rsid w:val="6B3A73EA"/>
    <w:rsid w:val="6B3E4A4C"/>
    <w:rsid w:val="6B4124C1"/>
    <w:rsid w:val="6B427D81"/>
    <w:rsid w:val="6B56249B"/>
    <w:rsid w:val="6B5F010E"/>
    <w:rsid w:val="6B7312CE"/>
    <w:rsid w:val="6B7B2B94"/>
    <w:rsid w:val="6B7F23BF"/>
    <w:rsid w:val="6B8F5276"/>
    <w:rsid w:val="6B910DD7"/>
    <w:rsid w:val="6B9266B8"/>
    <w:rsid w:val="6B9514F7"/>
    <w:rsid w:val="6B992AC7"/>
    <w:rsid w:val="6BAA32A7"/>
    <w:rsid w:val="6BB55956"/>
    <w:rsid w:val="6BB749F2"/>
    <w:rsid w:val="6BBE3F48"/>
    <w:rsid w:val="6BBFB9CE"/>
    <w:rsid w:val="6BD80736"/>
    <w:rsid w:val="6BD95A94"/>
    <w:rsid w:val="6BF13750"/>
    <w:rsid w:val="6BF23216"/>
    <w:rsid w:val="6BFE3A35"/>
    <w:rsid w:val="6C010E31"/>
    <w:rsid w:val="6C0C7F68"/>
    <w:rsid w:val="6C435F3C"/>
    <w:rsid w:val="6C4C4EC9"/>
    <w:rsid w:val="6C5D3397"/>
    <w:rsid w:val="6C61730F"/>
    <w:rsid w:val="6C6F5C55"/>
    <w:rsid w:val="6C771640"/>
    <w:rsid w:val="6C882741"/>
    <w:rsid w:val="6C8A2846"/>
    <w:rsid w:val="6C8B4FFD"/>
    <w:rsid w:val="6CA63F3E"/>
    <w:rsid w:val="6CA822B5"/>
    <w:rsid w:val="6CB025A5"/>
    <w:rsid w:val="6CC259A6"/>
    <w:rsid w:val="6CD71A4C"/>
    <w:rsid w:val="6CDE5FAD"/>
    <w:rsid w:val="6CDE65F7"/>
    <w:rsid w:val="6CE152CC"/>
    <w:rsid w:val="6CE226AC"/>
    <w:rsid w:val="6CF7393A"/>
    <w:rsid w:val="6D0613AB"/>
    <w:rsid w:val="6D105D36"/>
    <w:rsid w:val="6D110215"/>
    <w:rsid w:val="6D2C1ADB"/>
    <w:rsid w:val="6D4E2F61"/>
    <w:rsid w:val="6D586D9E"/>
    <w:rsid w:val="6D5E529B"/>
    <w:rsid w:val="6D614B6E"/>
    <w:rsid w:val="6D6A75DE"/>
    <w:rsid w:val="6D6E154A"/>
    <w:rsid w:val="6D7F701B"/>
    <w:rsid w:val="6D8E5552"/>
    <w:rsid w:val="6D99751A"/>
    <w:rsid w:val="6DA6136D"/>
    <w:rsid w:val="6DB61056"/>
    <w:rsid w:val="6DBC6F94"/>
    <w:rsid w:val="6DBF426D"/>
    <w:rsid w:val="6DED483F"/>
    <w:rsid w:val="6DFA7822"/>
    <w:rsid w:val="6E003DC9"/>
    <w:rsid w:val="6E081E96"/>
    <w:rsid w:val="6E0C38F0"/>
    <w:rsid w:val="6E1C063A"/>
    <w:rsid w:val="6E266E07"/>
    <w:rsid w:val="6E36300F"/>
    <w:rsid w:val="6E374310"/>
    <w:rsid w:val="6E397A4D"/>
    <w:rsid w:val="6E491F6A"/>
    <w:rsid w:val="6E4961CC"/>
    <w:rsid w:val="6E6177FA"/>
    <w:rsid w:val="6E6F4931"/>
    <w:rsid w:val="6E7831B3"/>
    <w:rsid w:val="6E7C7316"/>
    <w:rsid w:val="6EA02484"/>
    <w:rsid w:val="6EA36F81"/>
    <w:rsid w:val="6EA4299A"/>
    <w:rsid w:val="6EC3260B"/>
    <w:rsid w:val="6EDC1EB6"/>
    <w:rsid w:val="6EED3243"/>
    <w:rsid w:val="6EEE0478"/>
    <w:rsid w:val="6EF7474E"/>
    <w:rsid w:val="6EF847C1"/>
    <w:rsid w:val="6F0C1BCF"/>
    <w:rsid w:val="6F143C91"/>
    <w:rsid w:val="6F1E47E1"/>
    <w:rsid w:val="6F3802C1"/>
    <w:rsid w:val="6F48505E"/>
    <w:rsid w:val="6F4E5177"/>
    <w:rsid w:val="6F5F0096"/>
    <w:rsid w:val="6F7D152D"/>
    <w:rsid w:val="6F843685"/>
    <w:rsid w:val="6FA47F06"/>
    <w:rsid w:val="6FAC3AA7"/>
    <w:rsid w:val="6FE04DA7"/>
    <w:rsid w:val="6FE53A5A"/>
    <w:rsid w:val="6FE788D6"/>
    <w:rsid w:val="6FEC8C77"/>
    <w:rsid w:val="6FFF3510"/>
    <w:rsid w:val="70087790"/>
    <w:rsid w:val="700C2E1B"/>
    <w:rsid w:val="700D71DD"/>
    <w:rsid w:val="701A04BD"/>
    <w:rsid w:val="701E18A0"/>
    <w:rsid w:val="702F098F"/>
    <w:rsid w:val="703213E9"/>
    <w:rsid w:val="704C7750"/>
    <w:rsid w:val="704D1EB6"/>
    <w:rsid w:val="705949C2"/>
    <w:rsid w:val="707748C2"/>
    <w:rsid w:val="707948D3"/>
    <w:rsid w:val="70937DC6"/>
    <w:rsid w:val="70996289"/>
    <w:rsid w:val="70B72674"/>
    <w:rsid w:val="70D8502B"/>
    <w:rsid w:val="70D8618D"/>
    <w:rsid w:val="70E54544"/>
    <w:rsid w:val="70EB434E"/>
    <w:rsid w:val="70EC5967"/>
    <w:rsid w:val="70F463A5"/>
    <w:rsid w:val="71034D01"/>
    <w:rsid w:val="710C41B4"/>
    <w:rsid w:val="7114616A"/>
    <w:rsid w:val="711C2ABF"/>
    <w:rsid w:val="711D0C39"/>
    <w:rsid w:val="711E2B6F"/>
    <w:rsid w:val="71214D3B"/>
    <w:rsid w:val="712B6627"/>
    <w:rsid w:val="712E1BC8"/>
    <w:rsid w:val="71660D8D"/>
    <w:rsid w:val="716C3F64"/>
    <w:rsid w:val="717A4926"/>
    <w:rsid w:val="71857452"/>
    <w:rsid w:val="718C67D8"/>
    <w:rsid w:val="71915A5E"/>
    <w:rsid w:val="719C2226"/>
    <w:rsid w:val="71AD6565"/>
    <w:rsid w:val="71B86024"/>
    <w:rsid w:val="71BA0F46"/>
    <w:rsid w:val="71C83422"/>
    <w:rsid w:val="71CF0D8C"/>
    <w:rsid w:val="71CF4894"/>
    <w:rsid w:val="71CF5EC6"/>
    <w:rsid w:val="71D3270D"/>
    <w:rsid w:val="71EA5C51"/>
    <w:rsid w:val="71EC423D"/>
    <w:rsid w:val="71F55E42"/>
    <w:rsid w:val="72157594"/>
    <w:rsid w:val="724E6CE7"/>
    <w:rsid w:val="726D6CE0"/>
    <w:rsid w:val="727D5825"/>
    <w:rsid w:val="72994D54"/>
    <w:rsid w:val="729C5A3E"/>
    <w:rsid w:val="72A97910"/>
    <w:rsid w:val="72AA6675"/>
    <w:rsid w:val="72BC7205"/>
    <w:rsid w:val="72D313C9"/>
    <w:rsid w:val="72E40850"/>
    <w:rsid w:val="72E53DD7"/>
    <w:rsid w:val="730C1F76"/>
    <w:rsid w:val="730C2C77"/>
    <w:rsid w:val="7313288C"/>
    <w:rsid w:val="73186975"/>
    <w:rsid w:val="7321244C"/>
    <w:rsid w:val="734E41BE"/>
    <w:rsid w:val="735257BC"/>
    <w:rsid w:val="73692384"/>
    <w:rsid w:val="737C416B"/>
    <w:rsid w:val="739C3BC6"/>
    <w:rsid w:val="73A77376"/>
    <w:rsid w:val="73BF3A8F"/>
    <w:rsid w:val="73C074B1"/>
    <w:rsid w:val="73C939CB"/>
    <w:rsid w:val="73DB0380"/>
    <w:rsid w:val="73E66470"/>
    <w:rsid w:val="73F72B50"/>
    <w:rsid w:val="7409736E"/>
    <w:rsid w:val="74183D90"/>
    <w:rsid w:val="741A2655"/>
    <w:rsid w:val="741B089F"/>
    <w:rsid w:val="742015A8"/>
    <w:rsid w:val="74285BD6"/>
    <w:rsid w:val="7434322F"/>
    <w:rsid w:val="74456BDF"/>
    <w:rsid w:val="744D1D4A"/>
    <w:rsid w:val="74691F44"/>
    <w:rsid w:val="746964A3"/>
    <w:rsid w:val="746C7E13"/>
    <w:rsid w:val="746F7120"/>
    <w:rsid w:val="7472111C"/>
    <w:rsid w:val="7483450E"/>
    <w:rsid w:val="74841D45"/>
    <w:rsid w:val="74852BB4"/>
    <w:rsid w:val="748A46C2"/>
    <w:rsid w:val="74A11947"/>
    <w:rsid w:val="74A44142"/>
    <w:rsid w:val="74A73091"/>
    <w:rsid w:val="74B4601B"/>
    <w:rsid w:val="74BA378F"/>
    <w:rsid w:val="74D609CA"/>
    <w:rsid w:val="74F02BCB"/>
    <w:rsid w:val="74F826DD"/>
    <w:rsid w:val="75010AD6"/>
    <w:rsid w:val="750252B0"/>
    <w:rsid w:val="750839EC"/>
    <w:rsid w:val="752B3435"/>
    <w:rsid w:val="753F7D73"/>
    <w:rsid w:val="754D40C1"/>
    <w:rsid w:val="754E6542"/>
    <w:rsid w:val="75532FAC"/>
    <w:rsid w:val="755C5B9E"/>
    <w:rsid w:val="75736C61"/>
    <w:rsid w:val="75785E91"/>
    <w:rsid w:val="758125A2"/>
    <w:rsid w:val="75AD6A54"/>
    <w:rsid w:val="75DC5865"/>
    <w:rsid w:val="7616373D"/>
    <w:rsid w:val="762D2BE1"/>
    <w:rsid w:val="762D491A"/>
    <w:rsid w:val="76442E64"/>
    <w:rsid w:val="764F01AA"/>
    <w:rsid w:val="765E3B10"/>
    <w:rsid w:val="76850957"/>
    <w:rsid w:val="76870B79"/>
    <w:rsid w:val="769C27A5"/>
    <w:rsid w:val="769E4C8F"/>
    <w:rsid w:val="769E5120"/>
    <w:rsid w:val="76A22799"/>
    <w:rsid w:val="76A7143C"/>
    <w:rsid w:val="76C52097"/>
    <w:rsid w:val="76C86751"/>
    <w:rsid w:val="76CA5D50"/>
    <w:rsid w:val="76CD05FF"/>
    <w:rsid w:val="76D114E4"/>
    <w:rsid w:val="76D371F6"/>
    <w:rsid w:val="76DD54AF"/>
    <w:rsid w:val="76E66873"/>
    <w:rsid w:val="76E70CC6"/>
    <w:rsid w:val="77034B08"/>
    <w:rsid w:val="771C64E1"/>
    <w:rsid w:val="771D6701"/>
    <w:rsid w:val="77251384"/>
    <w:rsid w:val="775F1FA5"/>
    <w:rsid w:val="77685FE9"/>
    <w:rsid w:val="77773C07"/>
    <w:rsid w:val="7784038B"/>
    <w:rsid w:val="77ABCEBA"/>
    <w:rsid w:val="77BA1E0E"/>
    <w:rsid w:val="77E56564"/>
    <w:rsid w:val="77E83378"/>
    <w:rsid w:val="77EF539F"/>
    <w:rsid w:val="77FC56C9"/>
    <w:rsid w:val="77FD66FE"/>
    <w:rsid w:val="77FEC09F"/>
    <w:rsid w:val="7816431F"/>
    <w:rsid w:val="78205F7A"/>
    <w:rsid w:val="7823799E"/>
    <w:rsid w:val="782A217A"/>
    <w:rsid w:val="78331B91"/>
    <w:rsid w:val="78374F5F"/>
    <w:rsid w:val="784B7F41"/>
    <w:rsid w:val="78605992"/>
    <w:rsid w:val="786625B0"/>
    <w:rsid w:val="787109A4"/>
    <w:rsid w:val="7881678F"/>
    <w:rsid w:val="789E7904"/>
    <w:rsid w:val="78AC1F5C"/>
    <w:rsid w:val="78C00A87"/>
    <w:rsid w:val="78CB7E61"/>
    <w:rsid w:val="7906544B"/>
    <w:rsid w:val="792672BB"/>
    <w:rsid w:val="79365656"/>
    <w:rsid w:val="79366790"/>
    <w:rsid w:val="79377DFB"/>
    <w:rsid w:val="797732E2"/>
    <w:rsid w:val="797D02AA"/>
    <w:rsid w:val="79851506"/>
    <w:rsid w:val="79922D5A"/>
    <w:rsid w:val="799F63A6"/>
    <w:rsid w:val="79A13591"/>
    <w:rsid w:val="79CE0229"/>
    <w:rsid w:val="79D52461"/>
    <w:rsid w:val="79DE4D27"/>
    <w:rsid w:val="79E442F2"/>
    <w:rsid w:val="79EE0F63"/>
    <w:rsid w:val="79F31EBF"/>
    <w:rsid w:val="79FB22C9"/>
    <w:rsid w:val="7A0A3DDC"/>
    <w:rsid w:val="7A0A40D1"/>
    <w:rsid w:val="7A11324F"/>
    <w:rsid w:val="7A153E3F"/>
    <w:rsid w:val="7A260EC4"/>
    <w:rsid w:val="7A392AD1"/>
    <w:rsid w:val="7A4A0140"/>
    <w:rsid w:val="7A5E5AFC"/>
    <w:rsid w:val="7A857BEF"/>
    <w:rsid w:val="7A8C2BCE"/>
    <w:rsid w:val="7A944D33"/>
    <w:rsid w:val="7A9A7935"/>
    <w:rsid w:val="7AA25E5A"/>
    <w:rsid w:val="7AA4054F"/>
    <w:rsid w:val="7ABE18E9"/>
    <w:rsid w:val="7AD36FEE"/>
    <w:rsid w:val="7AEA10E1"/>
    <w:rsid w:val="7AF86B26"/>
    <w:rsid w:val="7B011359"/>
    <w:rsid w:val="7B140A1B"/>
    <w:rsid w:val="7B4B0437"/>
    <w:rsid w:val="7B5D1EAE"/>
    <w:rsid w:val="7B5F0959"/>
    <w:rsid w:val="7B666911"/>
    <w:rsid w:val="7B6A2F36"/>
    <w:rsid w:val="7B6B5CAC"/>
    <w:rsid w:val="7B8213C0"/>
    <w:rsid w:val="7B9C47B8"/>
    <w:rsid w:val="7B9D1D03"/>
    <w:rsid w:val="7BB62ABF"/>
    <w:rsid w:val="7BB66F71"/>
    <w:rsid w:val="7BBF4B87"/>
    <w:rsid w:val="7BC070B4"/>
    <w:rsid w:val="7BC513F5"/>
    <w:rsid w:val="7BDE015B"/>
    <w:rsid w:val="7BE511A1"/>
    <w:rsid w:val="7BF317E4"/>
    <w:rsid w:val="7C21691F"/>
    <w:rsid w:val="7C3C5DC4"/>
    <w:rsid w:val="7C400B02"/>
    <w:rsid w:val="7C442AF6"/>
    <w:rsid w:val="7C513146"/>
    <w:rsid w:val="7C587C97"/>
    <w:rsid w:val="7C5A2C9C"/>
    <w:rsid w:val="7C667AFF"/>
    <w:rsid w:val="7C7173CF"/>
    <w:rsid w:val="7C96449B"/>
    <w:rsid w:val="7CAA0CFF"/>
    <w:rsid w:val="7CD02A99"/>
    <w:rsid w:val="7CEF5D0D"/>
    <w:rsid w:val="7CF32FEA"/>
    <w:rsid w:val="7CF35E6B"/>
    <w:rsid w:val="7CF67CDF"/>
    <w:rsid w:val="7D03062C"/>
    <w:rsid w:val="7D196D4C"/>
    <w:rsid w:val="7D3331F1"/>
    <w:rsid w:val="7D4408F6"/>
    <w:rsid w:val="7D537CF7"/>
    <w:rsid w:val="7D5700A1"/>
    <w:rsid w:val="7D773F08"/>
    <w:rsid w:val="7D7F5FF7"/>
    <w:rsid w:val="7D814C1C"/>
    <w:rsid w:val="7D8E3112"/>
    <w:rsid w:val="7D900553"/>
    <w:rsid w:val="7D933B8E"/>
    <w:rsid w:val="7D9476C4"/>
    <w:rsid w:val="7D9A51DB"/>
    <w:rsid w:val="7DB57526"/>
    <w:rsid w:val="7DB64971"/>
    <w:rsid w:val="7DBC0F45"/>
    <w:rsid w:val="7DCD6DAF"/>
    <w:rsid w:val="7DDA54D6"/>
    <w:rsid w:val="7DDCBD7C"/>
    <w:rsid w:val="7DE64CBA"/>
    <w:rsid w:val="7DF13DA0"/>
    <w:rsid w:val="7DF30BD6"/>
    <w:rsid w:val="7DFE0F9F"/>
    <w:rsid w:val="7E084848"/>
    <w:rsid w:val="7E1C0C1C"/>
    <w:rsid w:val="7E2C17A1"/>
    <w:rsid w:val="7E403461"/>
    <w:rsid w:val="7E48773B"/>
    <w:rsid w:val="7E5B69D4"/>
    <w:rsid w:val="7E5C70F1"/>
    <w:rsid w:val="7E6A7A3E"/>
    <w:rsid w:val="7E7CF025"/>
    <w:rsid w:val="7E7F0712"/>
    <w:rsid w:val="7E7FFAC1"/>
    <w:rsid w:val="7E892D26"/>
    <w:rsid w:val="7E8E017E"/>
    <w:rsid w:val="7ECA458C"/>
    <w:rsid w:val="7ECE6CFE"/>
    <w:rsid w:val="7ED10C7A"/>
    <w:rsid w:val="7EF14F54"/>
    <w:rsid w:val="7EFA5FFB"/>
    <w:rsid w:val="7EFF19E1"/>
    <w:rsid w:val="7EFF2207"/>
    <w:rsid w:val="7F0A7782"/>
    <w:rsid w:val="7F1A27F0"/>
    <w:rsid w:val="7F1C4382"/>
    <w:rsid w:val="7F2A7C53"/>
    <w:rsid w:val="7F2C112E"/>
    <w:rsid w:val="7F2C771D"/>
    <w:rsid w:val="7F300AFC"/>
    <w:rsid w:val="7F4C697B"/>
    <w:rsid w:val="7F624978"/>
    <w:rsid w:val="7F747D8D"/>
    <w:rsid w:val="7F772CC6"/>
    <w:rsid w:val="7F7B1B32"/>
    <w:rsid w:val="7F8A38E8"/>
    <w:rsid w:val="7F8F150E"/>
    <w:rsid w:val="7FA00BB9"/>
    <w:rsid w:val="7FA3626C"/>
    <w:rsid w:val="7FAB1FD6"/>
    <w:rsid w:val="7FAF676B"/>
    <w:rsid w:val="7FB663B3"/>
    <w:rsid w:val="7FC33AAE"/>
    <w:rsid w:val="7FCC372C"/>
    <w:rsid w:val="7FDD8899"/>
    <w:rsid w:val="7FE55F04"/>
    <w:rsid w:val="7FE72EF4"/>
    <w:rsid w:val="7FE7FB7A"/>
    <w:rsid w:val="7FEE148F"/>
    <w:rsid w:val="7FF37FAE"/>
    <w:rsid w:val="7FF99761"/>
    <w:rsid w:val="9BFF01A0"/>
    <w:rsid w:val="AFB7E08A"/>
    <w:rsid w:val="B27F09BE"/>
    <w:rsid w:val="B6FF85E4"/>
    <w:rsid w:val="B7DE25A7"/>
    <w:rsid w:val="BBF7090F"/>
    <w:rsid w:val="BF972B0C"/>
    <w:rsid w:val="BF9A5BA1"/>
    <w:rsid w:val="BFFD2DB7"/>
    <w:rsid w:val="CFCFCBE7"/>
    <w:rsid w:val="CFEB93F6"/>
    <w:rsid w:val="D9FD138C"/>
    <w:rsid w:val="DD9F566E"/>
    <w:rsid w:val="DDDFE602"/>
    <w:rsid w:val="DE7BF807"/>
    <w:rsid w:val="DFF34113"/>
    <w:rsid w:val="EDFD1E49"/>
    <w:rsid w:val="EDFF116B"/>
    <w:rsid w:val="EE77246E"/>
    <w:rsid w:val="EEF6B141"/>
    <w:rsid w:val="F76508FC"/>
    <w:rsid w:val="F7DE25AF"/>
    <w:rsid w:val="F7DF23BE"/>
    <w:rsid w:val="FDBB1AF0"/>
    <w:rsid w:val="FDCD650A"/>
    <w:rsid w:val="FDDFF6FE"/>
    <w:rsid w:val="FE9E41C8"/>
    <w:rsid w:val="FF591EF5"/>
    <w:rsid w:val="FFBF946F"/>
    <w:rsid w:val="FFCFD6E6"/>
    <w:rsid w:val="FFFB059F"/>
    <w:rsid w:val="FFFB6D86"/>
    <w:rsid w:val="FFFBE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方正小标宋_GBK" w:hAnsi="方正小标宋_GBK" w:eastAsia="方正小标宋_GBK"/>
      <w:sz w:val="42"/>
      <w:szCs w:val="42"/>
    </w:rPr>
  </w:style>
  <w:style w:type="paragraph" w:styleId="3">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Salutation"/>
    <w:basedOn w:val="1"/>
    <w:next w:val="1"/>
    <w:unhideWhenUsed/>
    <w:qFormat/>
    <w:uiPriority w:val="99"/>
  </w:style>
  <w:style w:type="paragraph" w:styleId="6">
    <w:name w:val="Body Text"/>
    <w:basedOn w:val="1"/>
    <w:qFormat/>
    <w:uiPriority w:val="1"/>
    <w:pPr>
      <w:ind w:left="108" w:firstLine="614"/>
    </w:pPr>
    <w:rPr>
      <w:rFonts w:ascii="仿宋" w:hAnsi="仿宋" w:eastAsia="仿宋"/>
      <w:sz w:val="30"/>
      <w:szCs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List Paragraph"/>
    <w:basedOn w:val="1"/>
    <w:qFormat/>
    <w:uiPriority w:val="1"/>
  </w:style>
  <w:style w:type="paragraph" w:customStyle="1" w:styleId="16">
    <w:name w:val="Table Paragraph"/>
    <w:basedOn w:val="1"/>
    <w:qFormat/>
    <w:uiPriority w:val="1"/>
  </w:style>
  <w:style w:type="character" w:customStyle="1" w:styleId="17">
    <w:name w:val="标题 2 Char"/>
    <w:link w:val="3"/>
    <w:qFormat/>
    <w:uiPriority w:val="0"/>
    <w:rPr>
      <w:rFonts w:ascii="Arial" w:hAnsi="Arial" w:eastAsia="黑体"/>
      <w:b/>
      <w:sz w:val="32"/>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2021-07-04T03:03:00Z</dcterms:created>
  <dc:creator>lenovo66</dc:creator>
  <cp:lastModifiedBy>user</cp:lastModifiedBy>
  <cp:lastPrinted>2023-03-04T02:29:00Z</cp:lastPrinted>
  <dcterms:modified xsi:type="dcterms:W3CDTF">2025-06-20T15:41:09Z</dcterms:modified>
  <dc:title>(C:\\Users\\lenovo66\\Desktop\\Çí¸®[2019]61ºÅ.ofd)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LastSaved">
    <vt:filetime>2021-06-29T00:00:00Z</vt:filetime>
  </property>
  <property fmtid="{D5CDD505-2E9C-101B-9397-08002B2CF9AE}" pid="4" name="KSOProductBuildVer">
    <vt:lpwstr>2052-11.8.2.10386</vt:lpwstr>
  </property>
  <property fmtid="{D5CDD505-2E9C-101B-9397-08002B2CF9AE}" pid="5" name="ICV">
    <vt:lpwstr>BB7E347BE3FE7DCC48E65468AA6D7312_43</vt:lpwstr>
  </property>
</Properties>
</file>