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eastAsia" w:ascii="方正小标宋_GBK" w:hAnsi="方正小标宋_GBK" w:eastAsia="方正小标宋_GBK" w:cs="方正小标宋_GBK"/>
          <w:color w:val="000000"/>
          <w:w w:val="100"/>
          <w:sz w:val="44"/>
          <w:szCs w:val="44"/>
          <w:lang w:eastAsia="zh-CN"/>
        </w:rPr>
      </w:pPr>
      <w:r>
        <w:rPr>
          <w:rFonts w:hint="eastAsia" w:ascii="方正小标宋_GBK" w:hAnsi="方正小标宋_GBK" w:eastAsia="方正小标宋_GBK" w:cs="方正小标宋_GBK"/>
          <w:b w:val="0"/>
          <w:bCs w:val="0"/>
          <w:color w:val="000000" w:themeColor="text1"/>
          <w:spacing w:val="0"/>
          <w:w w:val="100"/>
          <w:sz w:val="44"/>
          <w:szCs w:val="44"/>
          <w:lang w:eastAsia="zh-CN"/>
          <w14:textFill>
            <w14:solidFill>
              <w14:schemeClr w14:val="tx1"/>
            </w14:solidFill>
          </w14:textFill>
        </w:rPr>
        <w:t>三亚市崖州区</w:t>
      </w:r>
      <w:r>
        <w:rPr>
          <w:rFonts w:hint="eastAsia" w:ascii="方正小标宋_GBK" w:hAnsi="方正小标宋_GBK" w:eastAsia="方正小标宋_GBK" w:cs="方正小标宋_GBK"/>
          <w:color w:val="000000"/>
          <w:w w:val="100"/>
          <w:sz w:val="44"/>
          <w:szCs w:val="44"/>
          <w:lang w:eastAsia="zh-CN"/>
        </w:rPr>
        <w:t>大出水村矿区A段建筑用花</w:t>
      </w:r>
      <w:r>
        <w:rPr>
          <w:rFonts w:hint="eastAsia" w:ascii="方正小标宋_GBK" w:hAnsi="方正小标宋_GBK" w:eastAsia="方正小标宋_GBK" w:cs="方正小标宋_GBK"/>
          <w:color w:val="000000"/>
          <w:w w:val="98"/>
          <w:sz w:val="44"/>
          <w:szCs w:val="44"/>
          <w:lang w:eastAsia="zh-CN"/>
        </w:rPr>
        <w:t>岗岩矿配套项目“4·17”起重伤害事故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_GBK" w:hAnsi="方正小标宋_GBK" w:eastAsia="方正小标宋_GBK" w:cs="方正小标宋_GBK"/>
          <w:w w:val="95"/>
          <w:sz w:val="44"/>
          <w:szCs w:val="44"/>
          <w:lang w:val="en-US" w:eastAsia="zh-CN"/>
        </w:rPr>
      </w:pPr>
      <w:r>
        <w:rPr>
          <w:rFonts w:hint="eastAsia" w:ascii="方正小标宋_GBK" w:hAnsi="方正小标宋_GBK" w:eastAsia="方正小标宋_GBK" w:cs="方正小标宋_GBK"/>
          <w:b w:val="0"/>
          <w:bCs w:val="0"/>
          <w:color w:val="000000" w:themeColor="text1"/>
          <w:spacing w:val="29"/>
          <w:w w:val="95"/>
          <w:sz w:val="44"/>
          <w:szCs w:val="44"/>
          <w:lang w:eastAsia="zh-CN"/>
          <w14:textFill>
            <w14:solidFill>
              <w14:schemeClr w14:val="tx1"/>
            </w14:solidFill>
          </w14:textFill>
        </w:rPr>
        <w:t>防范</w:t>
      </w:r>
      <w:r>
        <w:rPr>
          <w:rFonts w:hint="eastAsia" w:ascii="方正小标宋_GBK" w:hAnsi="方正小标宋_GBK" w:eastAsia="方正小标宋_GBK" w:cs="方正小标宋_GBK"/>
          <w:color w:val="000000" w:themeColor="text1"/>
          <w:w w:val="95"/>
          <w:sz w:val="44"/>
          <w:szCs w:val="44"/>
          <w:lang w:val="en-US" w:eastAsia="zh-CN"/>
          <w14:textFill>
            <w14:solidFill>
              <w14:schemeClr w14:val="tx1"/>
            </w14:solidFill>
          </w14:textFill>
        </w:rPr>
        <w:t>和整改措施落实情况评估报告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20分左右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三亚抱鼓土砂石开采有限公司</w:t>
      </w:r>
      <w:r>
        <w:rPr>
          <w:rFonts w:hint="eastAsia" w:ascii="仿宋_GB2312" w:hAnsi="仿宋_GB2312" w:eastAsia="仿宋_GB2312" w:cs="仿宋_GB2312"/>
          <w:sz w:val="32"/>
          <w:szCs w:val="32"/>
          <w:lang w:eastAsia="zh-CN"/>
        </w:rPr>
        <w:t>三亚市崖州区大出水村矿区A段建筑用花岗岩矿配套项目</w:t>
      </w:r>
      <w:r>
        <w:rPr>
          <w:rFonts w:hint="eastAsia" w:ascii="仿宋_GB2312" w:hAnsi="仿宋_GB2312" w:eastAsia="仿宋_GB2312" w:cs="仿宋_GB2312"/>
          <w:sz w:val="32"/>
          <w:szCs w:val="32"/>
          <w:lang w:val="en-US" w:eastAsia="zh-CN"/>
        </w:rPr>
        <w:t>工地发生一起起重伤害事故，</w:t>
      </w:r>
      <w:r>
        <w:rPr>
          <w:rFonts w:hint="eastAsia" w:ascii="仿宋_GB2312" w:hAnsi="仿宋_GB2312" w:eastAsia="仿宋_GB2312" w:cs="仿宋_GB2312"/>
          <w:sz w:val="32"/>
          <w:szCs w:val="32"/>
        </w:rPr>
        <w:t>事故造成1人死亡</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事故发生后，区政府依法成立事故调查组,</w:t>
      </w:r>
      <w:r>
        <w:rPr>
          <w:rFonts w:hint="eastAsia" w:ascii="仿宋_GB2312" w:hAnsi="仿宋_GB2312" w:eastAsia="仿宋_GB2312" w:cs="仿宋_GB2312"/>
          <w:color w:val="auto"/>
          <w:sz w:val="32"/>
          <w:szCs w:val="32"/>
          <w:lang w:eastAsia="zh-CN"/>
        </w:rPr>
        <w:t>查明了事故发生的经过、原因、认定事故性质和责任。</w:t>
      </w:r>
      <w:r>
        <w:rPr>
          <w:rFonts w:hint="eastAsia" w:ascii="仿宋_GB2312" w:hAnsi="仿宋_GB2312" w:eastAsia="仿宋_GB2312" w:cs="仿宋_GB2312"/>
          <w:color w:val="auto"/>
          <w:sz w:val="32"/>
          <w:szCs w:val="32"/>
          <w:lang w:val="en-US" w:eastAsia="zh-CN"/>
        </w:rPr>
        <w:t>事故调查报告经区政府批复后依法进行公示。</w:t>
      </w:r>
      <w:r>
        <w:rPr>
          <w:rFonts w:hint="eastAsia" w:ascii="仿宋_GB2312" w:hAnsi="仿宋_GB2312" w:eastAsia="仿宋_GB2312" w:cs="仿宋_GB2312"/>
          <w:color w:val="auto"/>
          <w:sz w:val="32"/>
          <w:szCs w:val="32"/>
          <w:lang w:eastAsia="zh-CN"/>
        </w:rPr>
        <w:t>依据《国务院安委会办公室关于印发生产安全事故防范和整改措施落实情况评估办法的通知》（安委办〔202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4号</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lang w:val="en-US" w:eastAsia="zh-CN"/>
        </w:rPr>
        <w:t>和《海南省安全生产委员会办公室关于印发海南省生产安全事故防范和整改措施落实情况评办法的通知》（琼安委办</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130号）文件</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防灾减灾救灾和安全生产委员会</w:t>
      </w:r>
      <w:r>
        <w:rPr>
          <w:rFonts w:hint="eastAsia" w:ascii="仿宋_GB2312" w:hAnsi="仿宋_GB2312" w:eastAsia="仿宋_GB2312" w:cs="仿宋_GB2312"/>
          <w:color w:val="auto"/>
          <w:sz w:val="32"/>
          <w:szCs w:val="32"/>
          <w:lang w:eastAsia="zh-CN"/>
        </w:rPr>
        <w:t>办公室组织对</w:t>
      </w:r>
      <w:r>
        <w:rPr>
          <w:rFonts w:hint="eastAsia" w:ascii="仿宋_GB2312" w:hAnsi="仿宋_GB2312" w:eastAsia="仿宋_GB2312" w:cs="仿宋_GB2312"/>
          <w:color w:val="auto"/>
          <w:sz w:val="32"/>
          <w:szCs w:val="32"/>
          <w:lang w:val="en-US" w:eastAsia="zh-CN"/>
        </w:rPr>
        <w:t>三亚市崖州区大出水村矿区A段建筑用花岗岩矿配套项目“4·17”起重伤害事故（以下简称为“4·17”事故)的</w:t>
      </w:r>
      <w:r>
        <w:rPr>
          <w:rFonts w:hint="eastAsia" w:ascii="仿宋_GB2312" w:hAnsi="仿宋_GB2312" w:eastAsia="仿宋_GB2312" w:cs="仿宋_GB2312"/>
          <w:color w:val="auto"/>
          <w:sz w:val="32"/>
          <w:szCs w:val="32"/>
          <w:lang w:eastAsia="zh-CN"/>
        </w:rPr>
        <w:t>防范和整改措施落实情况进行评估。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2025年5月，</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防灾减灾救灾和安全生产委员会</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lang w:val="en-US" w:eastAsia="zh-CN"/>
        </w:rPr>
        <w:t>依据《三亚市崖州区</w:t>
      </w:r>
      <w:bookmarkStart w:id="0" w:name="_Toc25322_WPSOffice_Level1"/>
      <w:r>
        <w:rPr>
          <w:rFonts w:hint="default" w:ascii="仿宋_GB2312" w:hAnsi="仿宋_GB2312" w:eastAsia="仿宋_GB2312" w:cs="仿宋_GB2312"/>
          <w:color w:val="auto"/>
          <w:sz w:val="32"/>
          <w:szCs w:val="32"/>
          <w:lang w:val="en-US" w:eastAsia="zh-CN"/>
        </w:rPr>
        <w:t>大出水村矿区A段建筑用花岗岩矿配套项目“4·17”起重伤害</w:t>
      </w:r>
      <w:bookmarkEnd w:id="0"/>
      <w:r>
        <w:rPr>
          <w:rFonts w:hint="eastAsia" w:ascii="仿宋_GB2312" w:hAnsi="仿宋_GB2312" w:eastAsia="仿宋_GB2312" w:cs="仿宋_GB2312"/>
          <w:color w:val="auto"/>
          <w:sz w:val="32"/>
          <w:szCs w:val="32"/>
          <w:lang w:val="en-US" w:eastAsia="zh-CN"/>
        </w:rPr>
        <w:t>事故调查报告》内容，对事故责任追究落实情况、整改措施落实情况，采取调阅事故资料档案、查阅相关文件资料、现场检查等方式深入开展评估工作，有关情况如下：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总体来看，“4·17”事故发生后，崖州区深入学习贯彻习近平总书记关于安全生产的重要指示批示精神，深刻吸取事故教训，加强矿山和建筑施工行业领域安全生产工作，持续推进安全生产治本攻坚三年行动，狠抓隐患排查治理，全力提升安全治理水平，一年以来，崖州区安全思想认识提高，重点行业领域专项整治进一步加强，全区安全生产形势稳定。</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主要整改措施和成效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 w:eastAsia="仿宋_GB2312"/>
          <w:sz w:val="32"/>
          <w:szCs w:val="32"/>
          <w:lang w:val="en-US" w:eastAsia="zh-CN"/>
        </w:rPr>
      </w:pPr>
      <w:r>
        <w:rPr>
          <w:rFonts w:hint="eastAsia" w:ascii="楷体" w:hAnsi="楷体" w:eastAsia="楷体" w:cs="楷体"/>
          <w:color w:val="000000" w:themeColor="text1"/>
          <w:sz w:val="32"/>
          <w:szCs w:val="32"/>
          <w:lang w:val="en-US" w:eastAsia="zh-CN"/>
          <w14:textFill>
            <w14:solidFill>
              <w14:schemeClr w14:val="tx1"/>
            </w14:solidFill>
          </w14:textFill>
        </w:rPr>
        <w:t>（一）提高安全思想认识。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“4·17”事故发生后，崖州区召开了区政府常务会议、安全生产工作会议，会议</w:t>
      </w:r>
      <w:r>
        <w:rPr>
          <w:rFonts w:hint="eastAsia" w:ascii="仿宋_GB2312" w:hAnsi="仿宋" w:eastAsia="仿宋_GB2312"/>
          <w:sz w:val="32"/>
          <w:szCs w:val="32"/>
        </w:rPr>
        <w:t>传达学习贯彻习近平总书记关于安全生产的重要论述精神</w:t>
      </w:r>
      <w:r>
        <w:rPr>
          <w:rFonts w:hint="eastAsia" w:ascii="仿宋_GB2312" w:hAnsi="仿宋" w:eastAsia="仿宋_GB2312"/>
          <w:sz w:val="32"/>
          <w:szCs w:val="32"/>
          <w:lang w:val="en-US" w:eastAsia="zh-CN"/>
        </w:rPr>
        <w:t>和全市2024年安委会会议精神，</w:t>
      </w:r>
      <w:r>
        <w:rPr>
          <w:rFonts w:hint="eastAsia" w:ascii="仿宋_GB2312" w:hAnsi="仿宋" w:eastAsia="仿宋_GB2312"/>
          <w:sz w:val="32"/>
          <w:szCs w:val="32"/>
        </w:rPr>
        <w:t>听取全区安全生产工作汇报，</w:t>
      </w:r>
      <w:r>
        <w:rPr>
          <w:rFonts w:hint="eastAsia" w:ascii="仿宋_GB2312" w:hAnsi="仿宋" w:eastAsia="仿宋_GB2312"/>
          <w:sz w:val="32"/>
          <w:szCs w:val="32"/>
          <w:lang w:val="en-US" w:eastAsia="zh-CN"/>
        </w:rPr>
        <w:t>调度重点行业领域隐患排查整治情况，分析研判当前安全生产形势，</w:t>
      </w:r>
      <w:r>
        <w:rPr>
          <w:rFonts w:hint="eastAsia" w:ascii="仿宋_GB2312" w:hAnsi="仿宋" w:eastAsia="仿宋_GB2312"/>
          <w:sz w:val="32"/>
          <w:szCs w:val="32"/>
        </w:rPr>
        <w:t>部署安排安全生产</w:t>
      </w:r>
      <w:r>
        <w:rPr>
          <w:rFonts w:hint="eastAsia" w:ascii="仿宋_GB2312" w:hAnsi="仿宋" w:eastAsia="仿宋_GB2312"/>
          <w:sz w:val="32"/>
          <w:szCs w:val="32"/>
          <w:lang w:val="en-US" w:eastAsia="zh-CN"/>
        </w:rPr>
        <w:t>工作</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要求深刻吸取近期各地生产安全事故教训，加强建筑施工、非煤矿山、旅游、交通等重点行业领域安全风险排查整治，各部门要严格按照“三管三必须”原则，加强重点时段、重点部位安全监管，紧盯重点行业领域持续深入推进安全生产治本攻坚三年行动，在“4·17”事故发生后，区安全生产委员会办公室印发了《近期生产安全事故通报》，组织召开了事故警示教育培训会，经过系列会议部署全区各部门安全思想认识进一步提高，安全监管的责任感进一步增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（二）捋清非煤矿山领域安全生产职责。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17”事故发生后，落实区政府第72期常务会议关于安全生产工作部署安排，根据《海南省省级部门及中央驻琼有关单位安全生产工作职责任务清单》和《三亚市有关部门和单位安全生产工作职责清单》文件，区应急管理局编制完善了《三亚崖州区有关部门和单位安全生产工作职责清单》，经崖州区三届区委常委会第108次（扩大）会议审议通过后印发，明确了各部门安全监管职责；为进一步细化非煤矿山安全监管职责，根据海南省安全生产委员会办公室《关于印发海南省有关部门非煤矿山安全生产监管职责清单的通知》文件，崖州区安全生产委员会办公室制定并印发了《三亚市崖州有关部门非煤矿山安全监管职责清单》，捋清了非煤矿山领域部门监管职责，压实部门安全生产责任。</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（三）强化建筑领安全监管。</w:t>
      </w:r>
      <w:r>
        <w:rPr>
          <w:rFonts w:hint="eastAsia" w:ascii="仿宋" w:hAnsi="仿宋" w:eastAsia="仿宋" w:cs="仿宋_GB2312"/>
          <w:sz w:val="32"/>
          <w:szCs w:val="32"/>
          <w:lang w:val="en-US" w:eastAsia="zh-CN"/>
        </w:rPr>
        <w:t>贯彻落实</w:t>
      </w:r>
      <w:r>
        <w:rPr>
          <w:rFonts w:hint="eastAsia" w:ascii="仿宋" w:hAnsi="仿宋" w:eastAsia="仿宋" w:cs="仿宋_GB2312"/>
          <w:sz w:val="32"/>
          <w:szCs w:val="32"/>
        </w:rPr>
        <w:t>区委区政府关于安全生产工作部署</w:t>
      </w:r>
      <w:r>
        <w:rPr>
          <w:rFonts w:hint="eastAsia" w:ascii="仿宋" w:hAnsi="仿宋" w:eastAsia="仿宋" w:cs="仿宋_GB2312"/>
          <w:sz w:val="32"/>
          <w:szCs w:val="32"/>
          <w:lang w:eastAsia="zh-CN"/>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区安全生产委员会办公室制定印发了《三亚市崖州区建筑施工领域安全生产检查工作方案》和《关于开展三亚市崖州区2024年第二季度安全生产检查的通知》，制定检查计划联合行业主管部门开展了建筑施工、非煤矿山等行业领域的安全生产检查，排查整改各类安全生产隐患356项，查处建筑施工领域违法违规行为案件3宗，行政处罚15.8万元，取得了警示震慑效果。为加强建筑领域安全监管，区住房和城乡建设局印发了</w:t>
      </w:r>
      <w:r>
        <w:rPr>
          <w:rFonts w:hint="eastAsia" w:ascii="仿宋_GB2312" w:hAnsi="仿宋_GB2312" w:eastAsia="仿宋_GB2312" w:cs="仿宋_GB2312"/>
          <w:sz w:val="32"/>
          <w:szCs w:val="32"/>
        </w:rPr>
        <w:t>《三亚市崖州区建筑施工与城镇燃气专业委员会工作规则》</w:t>
      </w:r>
      <w:r>
        <w:rPr>
          <w:rFonts w:hint="eastAsia" w:ascii="仿宋_GB2312" w:hAnsi="仿宋_GB2312" w:eastAsia="仿宋_GB2312" w:cs="仿宋_GB2312"/>
          <w:sz w:val="32"/>
          <w:szCs w:val="32"/>
          <w:lang w:val="en-US" w:eastAsia="zh-CN"/>
        </w:rPr>
        <w:t>，梳理工作程序，明确建筑领域监管工作规则，组织开展了</w:t>
      </w:r>
      <w:r>
        <w:rPr>
          <w:rFonts w:hint="eastAsia" w:ascii="仿宋_GB2312" w:hAnsi="仿宋_GB2312" w:eastAsia="仿宋_GB2312" w:cs="仿宋_GB2312"/>
          <w:sz w:val="32"/>
          <w:szCs w:val="32"/>
        </w:rPr>
        <w:t>崖州区2024年度乡村建筑工匠培训班(第一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全面提升监管人员和从业务人员业务能力水平</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（四）企业安全生产责任和整改措施落实。</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加强安全风险分析研判与分级管控。</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17”事故发生后，4月20日项目建设单位和施工单位组织开展了“4·17”起重伤害事故分析会，分析了事故发生的原因，了解事故发生的经过及措施落实情况，分析研判现阶段现场安全风险，制定安全措施，对下阶段安全生产工作进行了详细部署。</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加强安全教育培训和安全技术交底工作。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“4·17</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事故发生后，项目建设单位和施工单位召开了安全专题会议，组织项目施工各班组全体作业人员开展了安全教育培训培训，编制完善项目起重吊装作业安全技术方案，组织开展吊装作业安全技术交底；4月20日印发《开展全员应急演练的通知》，组织开展应急演练活动，4月30日印发《开展安全生产警示会通知》，组织项目全体人员开展安全事故警示教育会，有效提高了从业人员安全意识和应急处置能力。</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明确安全生产责任加强安全隐患排查整治工作。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17”事故发生后，项目建设单位、施工单位建立完善了安全生产责任制，层层签订安全生产责任书，明确了各班组及人员的安全生产责任，4月18日-29日项目组织开展了多轮次隐患排查整治工作，重点检查了吊索具、危险作业、临时用电和机械设备，排查消除了现场事故隐患，有效防范遏制事故发生。</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（五）相关责任单位和责任人的问责处理情况。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17”事故发生后，区政府成立了事故调查组，完成了事故调查报告编制、批复和公示，2024年5月事故调查报告已移送三亚市综合行政执法局依法查处，据三亚市综合行政执法局反馈，目前三亚市综合行政执法局依照事故调查报告要求已对事故立案调查，目前案件正在调查处理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评估发现的问题</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评估组针对“4·17”事故暴露出来的问题和教训，结合查阅资料和近期建筑施工行业领域安全生产检查情况，发现了一些问题，反映出在建筑施工行业领域安全生产方面仍然存在薄弱环节，主要是：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（一）行业监管及执法力度需要进一步加强。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2024年4月以来，区住房和城乡建设局与区安委办联合以季度检查和专项检查的方式在建筑施工行业领域开展了多轮次的隐患排查整治，排查出安全生产事故隐患600余项，移送的违法违规行为线索9条，移送数量较少。“4·17”事故发生后，在建筑施工行业领域仍然发生了高处坠落和火灾事故，从检查情况和事故情况反映企业安全生产责任不落实，部门监管执法不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（二）生产经营单位主体责任需要进一步压实。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17”事故发生后，区安全生产委员会办公室将矿山建设项目纳入重点监管检查范围，2024年4月以来共计检查13次，累计发现各类安全隐患155项，检查发现仍然存在采用吊车吊装自制操作平台送人高处作业，气瓶混放、倒放无防倾倒措施，动火作业未经审批，临时用电不规范，主要负责人带班履职不到位等隐患问题，检查情况表明，生产经营单位主体责任不落实，需要进一步压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（三）重大安全风险隐患排查能力需要进一步提升。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自三年行动开展以来，从建筑施工行业领域专项检查情况来看，部分项目仍然存在起重吊装作业时未按要求配备起重信号司索工和吊物上站人违章起吊等安全风险隐患未得到解决，据2024年4月以来统计数据看，部门检查发发现的重大事故隐患仅49项，企业自查发现的重大事故隐患仅3项，反映出部门和企业排查重大事故隐患能力水平不高，未能做到学好用好重大事故隐患判定标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下一步工作建议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default" w:ascii="楷体" w:hAnsi="楷体" w:eastAsia="楷体" w:cs="楷体"/>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（一）进一步压实安全生产责任。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针对评估发现的问题，崖州区各部门要进一步完善隐患排查责任倒查机制，坚持约束与激励并重、惩戒与教育结合，做到失职追责、尽职免责，以责任到位推动安全监管履职尽责。要严格按照“三管三必须”压实企业主体责任，深刻吸取事故教训，查找安全生产工作存在的短板漏洞，拧紧责任链条，严格监管执法，督促主管行业生产经营单位提升安全管理水平，按照《三亚崖州区有关部门和单位安全生产工作职责清单》落实落细安全责任，维护崖州区安全生产形势稳定。</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（二）提升重大安全风险隐患排查整治能力。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崖州区各部门要结合安全生产治本攻坚三年行动任务和《国务院安委会办公室关于学好用好重大事故隐患判定标准的通知》文件要求，开展行业领域重大事故隐患判定标准宣贯培训和基层监管人员业务培训活动，熟练掌握主管行业领域重大事故隐患判定标准，提升重大安全风险隐患排查治理能力。持续开展建筑施工、非煤矿山、危险化学品、城镇燃气、旅游文体等重点行业领域安全整治，促进重大事故隐患得到系统治理，实现重大事故隐患动态清零，防范遏制重特大生产安全事故发生。</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（三）强化安全生产执法监督工作。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行政执法监督工作体系建设，建立完善安全生产行政执法监督工作机制，推进制度完善，促进保障精准严格执法，推动安全生产行政执法人员履职尽责，保障安全生产行政执法工作严格、规范、高效，全面提升安全生产行政执法能力水平，为做好行业领域安全监管提供助力。</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cr/>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三亚市崖州区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防灾减灾救灾和</w:t>
      </w:r>
      <w:r>
        <w:rPr>
          <w:rFonts w:hint="eastAsia" w:ascii="仿宋_GB2312" w:hAnsi="仿宋_GB2312" w:eastAsia="仿宋_GB2312" w:cs="仿宋_GB2312"/>
          <w:color w:val="000000" w:themeColor="text1"/>
          <w:sz w:val="32"/>
          <w:szCs w:val="32"/>
          <w:lang w:eastAsia="zh-CN"/>
          <w14:textFill>
            <w14:solidFill>
              <w14:schemeClr w14:val="tx1"/>
            </w14:solidFill>
          </w14:textFill>
        </w:rPr>
        <w:t>安全生产委员会办公室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p>
    <w:p>
      <w:pPr>
        <w:pStyle w:val="2"/>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75pt;height:144pt;width:144pt;mso-position-horizontal:outside;mso-position-horizontal-relative:margin;mso-wrap-style:none;z-index:251658240;mso-width-relative:page;mso-height-relative:page;" filled="f" stroked="f" coordsize="21600,21600" o:gfxdata="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fuN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DBAE9"/>
    <w:multiLevelType w:val="singleLevel"/>
    <w:tmpl w:val="9CBDBAE9"/>
    <w:lvl w:ilvl="0" w:tentative="0">
      <w:start w:val="1"/>
      <w:numFmt w:val="decimal"/>
      <w:pStyle w:val="3"/>
      <w:lvlText w:val="%1."/>
      <w:lvlJc w:val="left"/>
      <w:pPr>
        <w:tabs>
          <w:tab w:val="left" w:pos="360"/>
        </w:tabs>
        <w:ind w:left="360" w:hanging="360"/>
      </w:pPr>
    </w:lvl>
  </w:abstractNum>
  <w:abstractNum w:abstractNumId="1">
    <w:nsid w:val="66A1894E"/>
    <w:multiLevelType w:val="singleLevel"/>
    <w:tmpl w:val="66A1894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B3792"/>
    <w:rsid w:val="006201F5"/>
    <w:rsid w:val="00B16971"/>
    <w:rsid w:val="00B87BFE"/>
    <w:rsid w:val="00D84188"/>
    <w:rsid w:val="0210113F"/>
    <w:rsid w:val="021A6245"/>
    <w:rsid w:val="02F91652"/>
    <w:rsid w:val="04972350"/>
    <w:rsid w:val="04DF4D0F"/>
    <w:rsid w:val="068663A5"/>
    <w:rsid w:val="072A161C"/>
    <w:rsid w:val="085D2D09"/>
    <w:rsid w:val="08671674"/>
    <w:rsid w:val="08EC3D4B"/>
    <w:rsid w:val="09453EEC"/>
    <w:rsid w:val="094C7AE5"/>
    <w:rsid w:val="0A3B1D78"/>
    <w:rsid w:val="0AC56BD5"/>
    <w:rsid w:val="0B6E6DB0"/>
    <w:rsid w:val="0B78459B"/>
    <w:rsid w:val="0C227499"/>
    <w:rsid w:val="0C333E9D"/>
    <w:rsid w:val="0C952DA3"/>
    <w:rsid w:val="0C967239"/>
    <w:rsid w:val="0E184ECE"/>
    <w:rsid w:val="0E1F6546"/>
    <w:rsid w:val="0E8B714E"/>
    <w:rsid w:val="0F6A4917"/>
    <w:rsid w:val="0F6F0555"/>
    <w:rsid w:val="0FDC3040"/>
    <w:rsid w:val="10250CF6"/>
    <w:rsid w:val="116407E3"/>
    <w:rsid w:val="11D24FCE"/>
    <w:rsid w:val="120F0D54"/>
    <w:rsid w:val="1273712D"/>
    <w:rsid w:val="131B7B7E"/>
    <w:rsid w:val="1384092F"/>
    <w:rsid w:val="14530843"/>
    <w:rsid w:val="153B4A37"/>
    <w:rsid w:val="16276E46"/>
    <w:rsid w:val="16D403FB"/>
    <w:rsid w:val="17392BE6"/>
    <w:rsid w:val="18873359"/>
    <w:rsid w:val="18BA59F4"/>
    <w:rsid w:val="18CF151F"/>
    <w:rsid w:val="18D1226F"/>
    <w:rsid w:val="18F7251D"/>
    <w:rsid w:val="19575951"/>
    <w:rsid w:val="19AB56F5"/>
    <w:rsid w:val="1A1C2C20"/>
    <w:rsid w:val="1AE84A28"/>
    <w:rsid w:val="1BB33C30"/>
    <w:rsid w:val="1C1F2783"/>
    <w:rsid w:val="1C7D0E21"/>
    <w:rsid w:val="1CD727CA"/>
    <w:rsid w:val="1E7A7529"/>
    <w:rsid w:val="1EF21CF0"/>
    <w:rsid w:val="1F242644"/>
    <w:rsid w:val="1F6C40DC"/>
    <w:rsid w:val="20B42AB5"/>
    <w:rsid w:val="210E079A"/>
    <w:rsid w:val="21135D2A"/>
    <w:rsid w:val="21BA3182"/>
    <w:rsid w:val="22374A74"/>
    <w:rsid w:val="22D4665F"/>
    <w:rsid w:val="2313117B"/>
    <w:rsid w:val="23B31ED2"/>
    <w:rsid w:val="23B56762"/>
    <w:rsid w:val="23F07F30"/>
    <w:rsid w:val="261F72A6"/>
    <w:rsid w:val="27134F32"/>
    <w:rsid w:val="276D119B"/>
    <w:rsid w:val="27E1358A"/>
    <w:rsid w:val="27EB4276"/>
    <w:rsid w:val="27FF4652"/>
    <w:rsid w:val="28356BA1"/>
    <w:rsid w:val="28B07839"/>
    <w:rsid w:val="2A3574A3"/>
    <w:rsid w:val="2A5C7442"/>
    <w:rsid w:val="2AA86D0E"/>
    <w:rsid w:val="2ADB6556"/>
    <w:rsid w:val="2C22479D"/>
    <w:rsid w:val="2C9E331D"/>
    <w:rsid w:val="2CAD1168"/>
    <w:rsid w:val="2CD15846"/>
    <w:rsid w:val="2D9108EB"/>
    <w:rsid w:val="2DFE27FE"/>
    <w:rsid w:val="2E527D9A"/>
    <w:rsid w:val="2E6C6A57"/>
    <w:rsid w:val="2FC34211"/>
    <w:rsid w:val="30CB3792"/>
    <w:rsid w:val="31265924"/>
    <w:rsid w:val="322B00F8"/>
    <w:rsid w:val="32C04F98"/>
    <w:rsid w:val="335F342F"/>
    <w:rsid w:val="33622F9B"/>
    <w:rsid w:val="340677D5"/>
    <w:rsid w:val="3419255A"/>
    <w:rsid w:val="34D36DE5"/>
    <w:rsid w:val="35685584"/>
    <w:rsid w:val="35AB433E"/>
    <w:rsid w:val="35B116A5"/>
    <w:rsid w:val="36141954"/>
    <w:rsid w:val="367129B0"/>
    <w:rsid w:val="372741FD"/>
    <w:rsid w:val="373D046B"/>
    <w:rsid w:val="374713E8"/>
    <w:rsid w:val="378B57F2"/>
    <w:rsid w:val="378D535C"/>
    <w:rsid w:val="37B43839"/>
    <w:rsid w:val="382B4B90"/>
    <w:rsid w:val="383667EA"/>
    <w:rsid w:val="38563700"/>
    <w:rsid w:val="3961325E"/>
    <w:rsid w:val="3A7D75F7"/>
    <w:rsid w:val="3B6F0796"/>
    <w:rsid w:val="3B885562"/>
    <w:rsid w:val="3BAD3D9C"/>
    <w:rsid w:val="3BC36CF4"/>
    <w:rsid w:val="3C76779B"/>
    <w:rsid w:val="3DC01BB6"/>
    <w:rsid w:val="3E562211"/>
    <w:rsid w:val="3FBE14E6"/>
    <w:rsid w:val="4123458C"/>
    <w:rsid w:val="412D1AAB"/>
    <w:rsid w:val="42D86FC8"/>
    <w:rsid w:val="4316056A"/>
    <w:rsid w:val="43EB5021"/>
    <w:rsid w:val="45D948CF"/>
    <w:rsid w:val="45DF3D8F"/>
    <w:rsid w:val="460671C9"/>
    <w:rsid w:val="460A69FE"/>
    <w:rsid w:val="46531672"/>
    <w:rsid w:val="46A033CB"/>
    <w:rsid w:val="46EE4221"/>
    <w:rsid w:val="498654A7"/>
    <w:rsid w:val="49DD4489"/>
    <w:rsid w:val="4A3A34C5"/>
    <w:rsid w:val="4AB01DC0"/>
    <w:rsid w:val="4ABA7C1F"/>
    <w:rsid w:val="4C3A3C93"/>
    <w:rsid w:val="4C3F79D6"/>
    <w:rsid w:val="4C6B179E"/>
    <w:rsid w:val="4CBD4530"/>
    <w:rsid w:val="4CE67D9F"/>
    <w:rsid w:val="4CED28B1"/>
    <w:rsid w:val="4D0A23B4"/>
    <w:rsid w:val="4DB46CA2"/>
    <w:rsid w:val="4DE03A93"/>
    <w:rsid w:val="4E481CEC"/>
    <w:rsid w:val="4EB54146"/>
    <w:rsid w:val="4F0E251F"/>
    <w:rsid w:val="4FD7608C"/>
    <w:rsid w:val="4FFA12B6"/>
    <w:rsid w:val="5053047C"/>
    <w:rsid w:val="5084389D"/>
    <w:rsid w:val="50C84950"/>
    <w:rsid w:val="50EA1953"/>
    <w:rsid w:val="51342980"/>
    <w:rsid w:val="51CB56A3"/>
    <w:rsid w:val="526953CC"/>
    <w:rsid w:val="5310771E"/>
    <w:rsid w:val="533B06B0"/>
    <w:rsid w:val="5535351E"/>
    <w:rsid w:val="55C74C1B"/>
    <w:rsid w:val="56783411"/>
    <w:rsid w:val="5695466B"/>
    <w:rsid w:val="57160C30"/>
    <w:rsid w:val="572225B4"/>
    <w:rsid w:val="572F2B22"/>
    <w:rsid w:val="57582276"/>
    <w:rsid w:val="589C048E"/>
    <w:rsid w:val="58B82655"/>
    <w:rsid w:val="590A192B"/>
    <w:rsid w:val="5A4805B5"/>
    <w:rsid w:val="5ADC7742"/>
    <w:rsid w:val="5DDF0159"/>
    <w:rsid w:val="5E321FAF"/>
    <w:rsid w:val="5E567B7A"/>
    <w:rsid w:val="5F254239"/>
    <w:rsid w:val="5FAB6A0D"/>
    <w:rsid w:val="5FB20543"/>
    <w:rsid w:val="61A83BBA"/>
    <w:rsid w:val="61C244CC"/>
    <w:rsid w:val="62615CD2"/>
    <w:rsid w:val="62B85107"/>
    <w:rsid w:val="62D17A8C"/>
    <w:rsid w:val="636678BE"/>
    <w:rsid w:val="63D453A9"/>
    <w:rsid w:val="64335BD2"/>
    <w:rsid w:val="64516574"/>
    <w:rsid w:val="64F15387"/>
    <w:rsid w:val="65170B2D"/>
    <w:rsid w:val="65626472"/>
    <w:rsid w:val="65C34C4F"/>
    <w:rsid w:val="65C830A0"/>
    <w:rsid w:val="66351212"/>
    <w:rsid w:val="667812B8"/>
    <w:rsid w:val="667A7CE1"/>
    <w:rsid w:val="67FC3C72"/>
    <w:rsid w:val="68022D69"/>
    <w:rsid w:val="689A08D3"/>
    <w:rsid w:val="68A130D0"/>
    <w:rsid w:val="690279D0"/>
    <w:rsid w:val="69192407"/>
    <w:rsid w:val="69A94FB0"/>
    <w:rsid w:val="6BB5282E"/>
    <w:rsid w:val="6D3B1D83"/>
    <w:rsid w:val="6DBC253B"/>
    <w:rsid w:val="6DBD05FD"/>
    <w:rsid w:val="6EE8367C"/>
    <w:rsid w:val="6F7D576F"/>
    <w:rsid w:val="6FC21AA1"/>
    <w:rsid w:val="711A0B91"/>
    <w:rsid w:val="71807E67"/>
    <w:rsid w:val="718B6B29"/>
    <w:rsid w:val="722A6F44"/>
    <w:rsid w:val="72306CB1"/>
    <w:rsid w:val="72762693"/>
    <w:rsid w:val="72942A69"/>
    <w:rsid w:val="72C65336"/>
    <w:rsid w:val="73EF3737"/>
    <w:rsid w:val="740003A4"/>
    <w:rsid w:val="74900BFB"/>
    <w:rsid w:val="75EC28B0"/>
    <w:rsid w:val="769E3B43"/>
    <w:rsid w:val="76D74838"/>
    <w:rsid w:val="76FE46DD"/>
    <w:rsid w:val="775650AB"/>
    <w:rsid w:val="775937EA"/>
    <w:rsid w:val="77ED5327"/>
    <w:rsid w:val="78D626BC"/>
    <w:rsid w:val="7A4914CE"/>
    <w:rsid w:val="7A9913B3"/>
    <w:rsid w:val="7ABC2991"/>
    <w:rsid w:val="7B492B9B"/>
    <w:rsid w:val="7B740A3D"/>
    <w:rsid w:val="7B9618EA"/>
    <w:rsid w:val="7C5C26C5"/>
    <w:rsid w:val="7D257F1B"/>
    <w:rsid w:val="7DE84867"/>
    <w:rsid w:val="7E937AD1"/>
    <w:rsid w:val="7EC762A2"/>
    <w:rsid w:val="7F5D24FC"/>
    <w:rsid w:val="7F8C2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Times New Roman" w:hAnsi="Times New Roman" w:eastAsia="宋体" w:cs="Times New Roman"/>
      <w:kern w:val="2"/>
      <w:sz w:val="21"/>
      <w:lang w:val="en-US" w:eastAsia="zh-CN" w:bidi="ar-SA"/>
    </w:rPr>
  </w:style>
  <w:style w:type="paragraph" w:styleId="3">
    <w:name w:val="List Number"/>
    <w:basedOn w:val="1"/>
    <w:qFormat/>
    <w:uiPriority w:val="0"/>
    <w:pPr>
      <w:numPr>
        <w:ilvl w:val="0"/>
        <w:numId w:val="1"/>
      </w:numPr>
    </w:pPr>
  </w:style>
  <w:style w:type="paragraph" w:styleId="4">
    <w:name w:val="Salutation"/>
    <w:basedOn w:val="1"/>
    <w:next w:val="1"/>
    <w:qFormat/>
    <w:uiPriority w:val="99"/>
    <w:rPr>
      <w:rFonts w:ascii="Times New Roman" w:hAnsi="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Calibri" w:hAnsi="Calibri" w:eastAsia="宋体" w:cs="Times New Roman"/>
      <w:kern w:val="0"/>
      <w:sz w:val="24"/>
      <w:szCs w:val="24"/>
    </w:rPr>
  </w:style>
  <w:style w:type="paragraph" w:customStyle="1" w:styleId="10">
    <w:name w:val="样式1"/>
    <w:basedOn w:val="1"/>
    <w:qFormat/>
    <w:uiPriority w:val="0"/>
    <w:pPr>
      <w:spacing w:before="100" w:beforeAutospacing="1" w:after="100" w:afterAutospacing="1" w:line="520" w:lineRule="exact"/>
      <w:ind w:left="420" w:hanging="420"/>
    </w:pPr>
    <w:rPr>
      <w:rFonts w:ascii="Calibri" w:hAnsi="Calibri"/>
      <w:b/>
      <w:bCs/>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崖州区</Company>
  <Pages>1</Pages>
  <Words>0</Words>
  <Characters>0</Characters>
  <Lines>0</Lines>
  <Paragraphs>0</Paragraphs>
  <TotalTime>142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2022-03-31T10:29:00Z</dcterms:created>
  <dc:creator>四眼仔</dc:creator>
  <cp:lastModifiedBy>Administrator</cp:lastModifiedBy>
  <cp:lastPrinted>2025-05-30T00:29:35Z</cp:lastPrinted>
  <dcterms:modified xsi:type="dcterms:W3CDTF">2025-05-30T03:15:57Z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