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eastAsia="方正小标宋简体" w:cs="Times New Roman"/>
          <w:bCs/>
          <w:color w:val="000000" w:themeColor="text1"/>
          <w:kern w:val="0"/>
          <w:sz w:val="44"/>
          <w:szCs w:val="44"/>
        </w:rPr>
      </w:pPr>
    </w:p>
    <w:p>
      <w:pPr>
        <w:pStyle w:val="2"/>
      </w:pPr>
    </w:p>
    <w:p>
      <w:pPr>
        <w:spacing w:line="578" w:lineRule="exact"/>
        <w:jc w:val="center"/>
        <w:rPr>
          <w:rFonts w:ascii="方正小标宋简体" w:hAnsi="方正小标宋_GBK" w:eastAsia="方正小标宋简体" w:cs="方正小标宋_GBK"/>
          <w:bCs/>
          <w:color w:val="000000" w:themeColor="text1"/>
          <w:kern w:val="0"/>
          <w:sz w:val="44"/>
          <w:szCs w:val="44"/>
        </w:rPr>
      </w:pPr>
      <w:bookmarkStart w:id="0" w:name="_GoBack"/>
      <w:r>
        <w:rPr>
          <w:rFonts w:hint="eastAsia" w:ascii="方正小标宋简体" w:hAnsi="方正小标宋_GBK" w:eastAsia="方正小标宋简体" w:cs="方正小标宋_GBK"/>
          <w:bCs/>
          <w:color w:val="000000" w:themeColor="text1"/>
          <w:kern w:val="0"/>
          <w:sz w:val="44"/>
          <w:szCs w:val="44"/>
        </w:rPr>
        <w:t>三亚市崖州区发展和改革委员会责任清单</w:t>
      </w:r>
    </w:p>
    <w:p>
      <w:pPr>
        <w:spacing w:line="578" w:lineRule="exact"/>
        <w:rPr>
          <w:rFonts w:cs="Times New Roman"/>
          <w:bCs/>
          <w:color w:val="000000" w:themeColor="text1"/>
          <w:kern w:val="0"/>
          <w:sz w:val="28"/>
          <w:szCs w:val="28"/>
        </w:rPr>
      </w:pPr>
    </w:p>
    <w:p>
      <w:pPr>
        <w:spacing w:line="578" w:lineRule="exact"/>
        <w:jc w:val="center"/>
        <w:rPr>
          <w:rFonts w:eastAsia="黑体" w:cs="Times New Roman"/>
          <w:bCs/>
          <w:color w:val="000000" w:themeColor="text1"/>
          <w:kern w:val="0"/>
          <w:szCs w:val="32"/>
        </w:rPr>
      </w:pPr>
      <w:r>
        <w:rPr>
          <w:rFonts w:eastAsia="黑体" w:cs="Times New Roman"/>
          <w:bCs/>
          <w:color w:val="000000" w:themeColor="text1"/>
          <w:kern w:val="0"/>
          <w:szCs w:val="32"/>
        </w:rPr>
        <w:t>目录</w:t>
      </w:r>
    </w:p>
    <w:bookmarkEnd w:id="0"/>
    <w:p>
      <w:pPr>
        <w:spacing w:line="578" w:lineRule="exact"/>
        <w:rPr>
          <w:rFonts w:cs="Times New Roman"/>
          <w:bCs/>
          <w:color w:val="000000" w:themeColor="text1"/>
          <w:kern w:val="0"/>
          <w:szCs w:val="32"/>
        </w:rPr>
      </w:pPr>
      <w:r>
        <w:rPr>
          <w:rFonts w:cs="Times New Roman"/>
          <w:bCs/>
          <w:color w:val="000000" w:themeColor="text1"/>
          <w:kern w:val="0"/>
          <w:szCs w:val="32"/>
        </w:rPr>
        <w:t xml:space="preserve">   </w:t>
      </w:r>
    </w:p>
    <w:p>
      <w:pPr>
        <w:numPr>
          <w:ilvl w:val="0"/>
          <w:numId w:val="1"/>
        </w:numPr>
        <w:spacing w:line="578" w:lineRule="exact"/>
        <w:ind w:firstLine="640" w:firstLineChars="200"/>
        <w:rPr>
          <w:rFonts w:cs="Times New Roman" w:eastAsiaTheme="minorEastAsia"/>
          <w:bCs/>
          <w:color w:val="000000" w:themeColor="text1"/>
          <w:kern w:val="0"/>
          <w:szCs w:val="32"/>
        </w:rPr>
      </w:pPr>
      <w:r>
        <w:rPr>
          <w:rFonts w:cs="Times New Roman" w:eastAsiaTheme="minorEastAsia"/>
          <w:bCs/>
          <w:color w:val="000000" w:themeColor="text1"/>
          <w:kern w:val="0"/>
          <w:szCs w:val="32"/>
        </w:rPr>
        <w:t>部门职责登记表</w:t>
      </w:r>
    </w:p>
    <w:p>
      <w:pPr>
        <w:pStyle w:val="2"/>
      </w:pPr>
      <w:r>
        <w:rPr>
          <w:rFonts w:hint="eastAsia"/>
        </w:rPr>
        <w:t xml:space="preserve">    （按保密要求，不作公开，如有需要请与区委编办联系了解）</w:t>
      </w:r>
    </w:p>
    <w:p>
      <w:pPr>
        <w:spacing w:line="578" w:lineRule="exact"/>
        <w:ind w:firstLine="640" w:firstLineChars="200"/>
        <w:rPr>
          <w:rFonts w:cs="Times New Roman" w:eastAsiaTheme="minorEastAsia"/>
          <w:bCs/>
          <w:color w:val="000000" w:themeColor="text1"/>
          <w:kern w:val="0"/>
          <w:szCs w:val="32"/>
        </w:rPr>
      </w:pPr>
      <w:r>
        <w:rPr>
          <w:rFonts w:cs="Times New Roman" w:eastAsiaTheme="minorEastAsia"/>
          <w:bCs/>
          <w:color w:val="000000" w:themeColor="text1"/>
          <w:kern w:val="0"/>
          <w:szCs w:val="32"/>
        </w:rPr>
        <w:t>二、与相关部门的职责边界表</w:t>
      </w:r>
    </w:p>
    <w:p>
      <w:pPr>
        <w:spacing w:line="578" w:lineRule="exact"/>
        <w:ind w:firstLine="640" w:firstLineChars="200"/>
        <w:rPr>
          <w:rFonts w:cs="Times New Roman" w:eastAsiaTheme="minorEastAsia"/>
          <w:bCs/>
          <w:color w:val="000000" w:themeColor="text1"/>
          <w:kern w:val="0"/>
          <w:szCs w:val="32"/>
        </w:rPr>
      </w:pPr>
      <w:r>
        <w:rPr>
          <w:rFonts w:cs="Times New Roman" w:eastAsiaTheme="minorEastAsia"/>
          <w:bCs/>
          <w:color w:val="000000" w:themeColor="text1"/>
          <w:kern w:val="0"/>
          <w:szCs w:val="32"/>
        </w:rPr>
        <w:t>三、事中事后监管制度</w:t>
      </w:r>
    </w:p>
    <w:p>
      <w:pPr>
        <w:rPr>
          <w:rFonts w:ascii="仿宋_GB2312" w:hAnsi="仿宋_GB2312" w:cs="仿宋_GB2312"/>
          <w:szCs w:val="32"/>
        </w:rPr>
      </w:pPr>
      <w:r>
        <w:rPr>
          <w:rFonts w:hint="eastAsia" w:cs="Times New Roman" w:eastAsiaTheme="minorEastAsia"/>
          <w:bCs/>
          <w:color w:val="000000" w:themeColor="text1"/>
          <w:kern w:val="0"/>
          <w:szCs w:val="32"/>
        </w:rPr>
        <w:t xml:space="preserve">    </w:t>
      </w:r>
      <w:r>
        <w:rPr>
          <w:rFonts w:hint="eastAsia" w:ascii="仿宋_GB2312" w:hAnsi="仿宋_GB2312" w:cs="仿宋_GB2312"/>
          <w:szCs w:val="32"/>
        </w:rPr>
        <w:t>（一）固定资产投资项目的监管</w:t>
      </w:r>
    </w:p>
    <w:p>
      <w:pPr>
        <w:ind w:firstLine="640" w:firstLineChars="200"/>
        <w:rPr>
          <w:rFonts w:ascii="仿宋_GB2312" w:hAnsi="仿宋_GB2312" w:cs="仿宋_GB2312"/>
          <w:szCs w:val="32"/>
        </w:rPr>
      </w:pPr>
      <w:r>
        <w:rPr>
          <w:rFonts w:hint="eastAsia" w:ascii="仿宋_GB2312" w:hAnsi="仿宋_GB2312" w:cs="仿宋_GB2312"/>
          <w:szCs w:val="32"/>
        </w:rPr>
        <w:t xml:space="preserve">（二）区重大项目年度投资计划监管 </w:t>
      </w:r>
    </w:p>
    <w:p>
      <w:pPr>
        <w:ind w:firstLine="640" w:firstLineChars="200"/>
        <w:rPr>
          <w:rFonts w:ascii="仿宋_GB2312" w:hAnsi="仿宋_GB2312" w:cs="仿宋_GB2312"/>
          <w:szCs w:val="32"/>
        </w:rPr>
      </w:pPr>
      <w:r>
        <w:rPr>
          <w:rFonts w:hint="eastAsia" w:ascii="仿宋_GB2312" w:hAnsi="仿宋_GB2312" w:cs="仿宋_GB2312"/>
          <w:szCs w:val="32"/>
        </w:rPr>
        <w:t>（三）工程建设项目招标事项的监督检查</w:t>
      </w:r>
    </w:p>
    <w:p>
      <w:pPr>
        <w:pStyle w:val="2"/>
        <w:ind w:firstLine="640" w:firstLineChars="200"/>
        <w:rPr>
          <w:rFonts w:ascii="仿宋_GB2312" w:hAnsi="仿宋_GB2312" w:cs="仿宋_GB2312"/>
        </w:rPr>
      </w:pPr>
      <w:r>
        <w:rPr>
          <w:rFonts w:hint="eastAsia" w:ascii="仿宋_GB2312" w:hAnsi="仿宋_GB2312" w:cs="仿宋_GB2312"/>
          <w:szCs w:val="32"/>
        </w:rPr>
        <w:t>（四）固定资产投资项目节能评估和审查监管</w:t>
      </w:r>
    </w:p>
    <w:p>
      <w:pPr>
        <w:spacing w:line="578" w:lineRule="exact"/>
        <w:ind w:firstLine="640" w:firstLineChars="200"/>
        <w:rPr>
          <w:rFonts w:cs="Times New Roman" w:eastAsiaTheme="minorEastAsia"/>
          <w:bCs/>
          <w:color w:val="000000" w:themeColor="text1"/>
          <w:kern w:val="0"/>
          <w:szCs w:val="32"/>
        </w:rPr>
      </w:pPr>
      <w:r>
        <w:rPr>
          <w:rFonts w:cs="Times New Roman" w:eastAsiaTheme="minorEastAsia"/>
          <w:bCs/>
          <w:color w:val="000000" w:themeColor="text1"/>
          <w:kern w:val="0"/>
          <w:szCs w:val="32"/>
        </w:rPr>
        <w:t>四、公共服务事项登记表</w:t>
      </w:r>
    </w:p>
    <w:p>
      <w:pPr>
        <w:spacing w:line="578" w:lineRule="exact"/>
        <w:rPr>
          <w:rFonts w:cs="Times New Roman" w:eastAsiaTheme="minorEastAsia"/>
          <w:bCs/>
          <w:color w:val="000000" w:themeColor="text1"/>
          <w:sz w:val="24"/>
          <w:szCs w:val="24"/>
        </w:rPr>
      </w:pPr>
    </w:p>
    <w:p>
      <w:pPr>
        <w:spacing w:line="578" w:lineRule="exact"/>
        <w:rPr>
          <w:rFonts w:eastAsia="黑体" w:cs="Times New Roman"/>
          <w:color w:val="000000"/>
          <w:szCs w:val="32"/>
        </w:rPr>
      </w:pPr>
    </w:p>
    <w:p>
      <w:pPr>
        <w:pStyle w:val="2"/>
        <w:spacing w:line="578" w:lineRule="exact"/>
        <w:rPr>
          <w:rFonts w:eastAsia="黑体" w:cs="Times New Roman"/>
          <w:color w:val="000000"/>
          <w:szCs w:val="32"/>
        </w:rPr>
      </w:pPr>
    </w:p>
    <w:p>
      <w:pPr>
        <w:spacing w:line="578" w:lineRule="exact"/>
        <w:rPr>
          <w:rFonts w:eastAsia="黑体" w:cs="Times New Roman"/>
          <w:color w:val="000000"/>
          <w:szCs w:val="32"/>
        </w:rPr>
      </w:pPr>
    </w:p>
    <w:p>
      <w:pPr>
        <w:pStyle w:val="2"/>
        <w:spacing w:line="578" w:lineRule="exact"/>
        <w:rPr>
          <w:rFonts w:eastAsia="黑体" w:cs="Times New Roman"/>
          <w:color w:val="000000"/>
          <w:szCs w:val="32"/>
        </w:rPr>
      </w:pPr>
    </w:p>
    <w:p>
      <w:pPr>
        <w:spacing w:line="578" w:lineRule="exact"/>
        <w:rPr>
          <w:rFonts w:eastAsia="黑体" w:cs="Times New Roman"/>
          <w:color w:val="000000"/>
          <w:szCs w:val="32"/>
        </w:rPr>
      </w:pPr>
    </w:p>
    <w:p>
      <w:pPr>
        <w:rPr>
          <w:rFonts w:ascii="方正小标宋_GBK" w:hAnsi="方正小标宋_GBK" w:eastAsia="方正小标宋_GBK" w:cs="方正小标宋_GBK"/>
          <w:color w:val="000000"/>
          <w:sz w:val="44"/>
          <w:szCs w:val="44"/>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tbl>
      <w:tblPr>
        <w:tblStyle w:val="6"/>
        <w:tblpPr w:leftFromText="180" w:rightFromText="180" w:vertAnchor="text" w:horzAnchor="page" w:tblpX="1727" w:tblpY="1"/>
        <w:tblOverlap w:val="never"/>
        <w:tblW w:w="12949" w:type="dxa"/>
        <w:tblInd w:w="0" w:type="dxa"/>
        <w:tblLayout w:type="fixed"/>
        <w:tblCellMar>
          <w:top w:w="0" w:type="dxa"/>
          <w:left w:w="108" w:type="dxa"/>
          <w:bottom w:w="0" w:type="dxa"/>
          <w:right w:w="108" w:type="dxa"/>
        </w:tblCellMar>
      </w:tblPr>
      <w:tblGrid>
        <w:gridCol w:w="626"/>
        <w:gridCol w:w="1298"/>
        <w:gridCol w:w="1890"/>
        <w:gridCol w:w="2895"/>
        <w:gridCol w:w="3270"/>
        <w:gridCol w:w="2970"/>
      </w:tblGrid>
      <w:tr>
        <w:tblPrEx>
          <w:tblLayout w:type="fixed"/>
          <w:tblCellMar>
            <w:top w:w="0" w:type="dxa"/>
            <w:left w:w="108" w:type="dxa"/>
            <w:bottom w:w="0" w:type="dxa"/>
            <w:right w:w="108" w:type="dxa"/>
          </w:tblCellMar>
        </w:tblPrEx>
        <w:trPr>
          <w:trHeight w:val="495" w:hRule="atLeast"/>
        </w:trPr>
        <w:tc>
          <w:tcPr>
            <w:tcW w:w="12949" w:type="dxa"/>
            <w:gridSpan w:val="6"/>
            <w:tcBorders>
              <w:top w:val="nil"/>
              <w:left w:val="nil"/>
              <w:bottom w:val="nil"/>
              <w:right w:val="nil"/>
            </w:tcBorders>
            <w:vAlign w:val="center"/>
          </w:tcPr>
          <w:p>
            <w:pPr>
              <w:jc w:val="center"/>
              <w:rPr>
                <w:rFonts w:ascii="方正小标宋简体" w:hAnsi="宋体" w:eastAsia="方正小标宋简体" w:cs="宋体"/>
                <w:color w:val="000000"/>
                <w:sz w:val="36"/>
                <w:szCs w:val="36"/>
              </w:rPr>
            </w:pPr>
            <w:r>
              <w:rPr>
                <w:rFonts w:hint="eastAsia" w:ascii="方正小标宋简体" w:hAnsi="方正小标宋_GBK" w:eastAsia="方正小标宋简体" w:cs="方正小标宋_GBK"/>
                <w:color w:val="000000"/>
                <w:sz w:val="36"/>
                <w:szCs w:val="36"/>
              </w:rPr>
              <w:t>二、与相关部门的职责边界登记表</w:t>
            </w:r>
          </w:p>
        </w:tc>
      </w:tr>
      <w:tr>
        <w:tblPrEx>
          <w:tblLayout w:type="fixed"/>
          <w:tblCellMar>
            <w:top w:w="0" w:type="dxa"/>
            <w:left w:w="108" w:type="dxa"/>
            <w:bottom w:w="0" w:type="dxa"/>
            <w:right w:w="108" w:type="dxa"/>
          </w:tblCellMar>
        </w:tblPrEx>
        <w:trPr>
          <w:trHeight w:val="1065" w:hRule="atLeast"/>
        </w:trPr>
        <w:tc>
          <w:tcPr>
            <w:tcW w:w="626" w:type="dxa"/>
            <w:tcBorders>
              <w:top w:val="single" w:color="auto" w:sz="4" w:space="0"/>
              <w:left w:val="single" w:color="auto" w:sz="4" w:space="0"/>
              <w:bottom w:val="single" w:color="auto" w:sz="4" w:space="0"/>
              <w:right w:val="single" w:color="auto" w:sz="4" w:space="0"/>
            </w:tcBorders>
            <w:vAlign w:val="center"/>
          </w:tcPr>
          <w:p>
            <w:pPr>
              <w:jc w:val="center"/>
              <w:rPr>
                <w:rFonts w:cs="楷体" w:asciiTheme="minorEastAsia" w:hAnsiTheme="minorEastAsia" w:eastAsiaTheme="minorEastAsia"/>
                <w:b/>
                <w:bCs/>
                <w:color w:val="000000"/>
                <w:sz w:val="21"/>
                <w:szCs w:val="21"/>
              </w:rPr>
            </w:pPr>
            <w:r>
              <w:rPr>
                <w:rFonts w:hint="eastAsia" w:cs="楷体" w:asciiTheme="minorEastAsia" w:hAnsiTheme="minorEastAsia" w:eastAsiaTheme="minorEastAsia"/>
                <w:b/>
                <w:bCs/>
                <w:color w:val="000000"/>
                <w:sz w:val="21"/>
                <w:szCs w:val="21"/>
              </w:rPr>
              <w:t>序号</w:t>
            </w:r>
          </w:p>
        </w:tc>
        <w:tc>
          <w:tcPr>
            <w:tcW w:w="1298" w:type="dxa"/>
            <w:tcBorders>
              <w:top w:val="single" w:color="auto" w:sz="4" w:space="0"/>
              <w:left w:val="nil"/>
              <w:bottom w:val="single" w:color="auto" w:sz="4" w:space="0"/>
              <w:right w:val="single" w:color="auto" w:sz="4" w:space="0"/>
            </w:tcBorders>
            <w:vAlign w:val="center"/>
          </w:tcPr>
          <w:p>
            <w:pPr>
              <w:jc w:val="center"/>
              <w:rPr>
                <w:rFonts w:cs="楷体" w:asciiTheme="minorEastAsia" w:hAnsiTheme="minorEastAsia" w:eastAsiaTheme="minorEastAsia"/>
                <w:b/>
                <w:bCs/>
                <w:color w:val="000000"/>
                <w:sz w:val="21"/>
                <w:szCs w:val="21"/>
              </w:rPr>
            </w:pPr>
            <w:r>
              <w:rPr>
                <w:rFonts w:hint="eastAsia" w:cs="楷体" w:asciiTheme="minorEastAsia" w:hAnsiTheme="minorEastAsia" w:eastAsiaTheme="minorEastAsia"/>
                <w:b/>
                <w:bCs/>
                <w:color w:val="000000"/>
                <w:sz w:val="21"/>
                <w:szCs w:val="21"/>
              </w:rPr>
              <w:t>管理事项</w:t>
            </w:r>
          </w:p>
        </w:tc>
        <w:tc>
          <w:tcPr>
            <w:tcW w:w="1890" w:type="dxa"/>
            <w:tcBorders>
              <w:top w:val="single" w:color="auto" w:sz="4" w:space="0"/>
              <w:left w:val="nil"/>
              <w:bottom w:val="single" w:color="auto" w:sz="4" w:space="0"/>
              <w:right w:val="single" w:color="auto" w:sz="4" w:space="0"/>
            </w:tcBorders>
            <w:vAlign w:val="center"/>
          </w:tcPr>
          <w:p>
            <w:pPr>
              <w:jc w:val="center"/>
              <w:rPr>
                <w:rFonts w:cs="楷体" w:asciiTheme="minorEastAsia" w:hAnsiTheme="minorEastAsia" w:eastAsiaTheme="minorEastAsia"/>
                <w:b/>
                <w:bCs/>
                <w:color w:val="000000"/>
                <w:sz w:val="21"/>
                <w:szCs w:val="21"/>
              </w:rPr>
            </w:pPr>
            <w:r>
              <w:rPr>
                <w:rFonts w:hint="eastAsia" w:cs="楷体" w:asciiTheme="minorEastAsia" w:hAnsiTheme="minorEastAsia" w:eastAsiaTheme="minorEastAsia"/>
                <w:b/>
                <w:bCs/>
                <w:color w:val="000000"/>
                <w:sz w:val="21"/>
                <w:szCs w:val="21"/>
              </w:rPr>
              <w:t>相关部门</w:t>
            </w:r>
          </w:p>
        </w:tc>
        <w:tc>
          <w:tcPr>
            <w:tcW w:w="2895" w:type="dxa"/>
            <w:tcBorders>
              <w:top w:val="single" w:color="auto" w:sz="4" w:space="0"/>
              <w:left w:val="nil"/>
              <w:bottom w:val="single" w:color="auto" w:sz="4" w:space="0"/>
              <w:right w:val="single" w:color="auto" w:sz="4" w:space="0"/>
            </w:tcBorders>
            <w:vAlign w:val="center"/>
          </w:tcPr>
          <w:p>
            <w:pPr>
              <w:jc w:val="center"/>
              <w:rPr>
                <w:rFonts w:cs="楷体" w:asciiTheme="minorEastAsia" w:hAnsiTheme="minorEastAsia" w:eastAsiaTheme="minorEastAsia"/>
                <w:b/>
                <w:bCs/>
                <w:color w:val="000000"/>
                <w:sz w:val="21"/>
                <w:szCs w:val="21"/>
              </w:rPr>
            </w:pPr>
            <w:r>
              <w:rPr>
                <w:rFonts w:hint="eastAsia" w:cs="楷体" w:asciiTheme="minorEastAsia" w:hAnsiTheme="minorEastAsia" w:eastAsiaTheme="minorEastAsia"/>
                <w:b/>
                <w:bCs/>
                <w:color w:val="000000"/>
                <w:sz w:val="21"/>
                <w:szCs w:val="21"/>
              </w:rPr>
              <w:t>责任分工</w:t>
            </w:r>
          </w:p>
        </w:tc>
        <w:tc>
          <w:tcPr>
            <w:tcW w:w="3270" w:type="dxa"/>
            <w:tcBorders>
              <w:top w:val="single" w:color="auto" w:sz="4" w:space="0"/>
              <w:left w:val="nil"/>
              <w:bottom w:val="single" w:color="auto" w:sz="4" w:space="0"/>
              <w:right w:val="single" w:color="auto" w:sz="4" w:space="0"/>
            </w:tcBorders>
            <w:vAlign w:val="center"/>
          </w:tcPr>
          <w:p>
            <w:pPr>
              <w:jc w:val="center"/>
              <w:rPr>
                <w:rFonts w:cs="楷体" w:asciiTheme="minorEastAsia" w:hAnsiTheme="minorEastAsia" w:eastAsiaTheme="minorEastAsia"/>
                <w:b/>
                <w:bCs/>
                <w:color w:val="000000"/>
                <w:sz w:val="21"/>
                <w:szCs w:val="21"/>
              </w:rPr>
            </w:pPr>
            <w:r>
              <w:rPr>
                <w:rFonts w:hint="eastAsia" w:cs="楷体" w:asciiTheme="minorEastAsia" w:hAnsiTheme="minorEastAsia" w:eastAsiaTheme="minorEastAsia"/>
                <w:b/>
                <w:bCs/>
                <w:color w:val="000000"/>
                <w:sz w:val="21"/>
                <w:szCs w:val="21"/>
              </w:rPr>
              <w:t>相关依据</w:t>
            </w:r>
          </w:p>
        </w:tc>
        <w:tc>
          <w:tcPr>
            <w:tcW w:w="2970" w:type="dxa"/>
            <w:tcBorders>
              <w:top w:val="single" w:color="auto" w:sz="4" w:space="0"/>
              <w:left w:val="nil"/>
              <w:bottom w:val="single" w:color="auto" w:sz="4" w:space="0"/>
              <w:right w:val="single" w:color="auto" w:sz="4" w:space="0"/>
            </w:tcBorders>
            <w:vAlign w:val="center"/>
          </w:tcPr>
          <w:p>
            <w:pPr>
              <w:jc w:val="center"/>
              <w:rPr>
                <w:rFonts w:cs="楷体" w:asciiTheme="minorEastAsia" w:hAnsiTheme="minorEastAsia" w:eastAsiaTheme="minorEastAsia"/>
                <w:b/>
                <w:bCs/>
                <w:color w:val="000000"/>
                <w:sz w:val="21"/>
                <w:szCs w:val="21"/>
              </w:rPr>
            </w:pPr>
            <w:r>
              <w:rPr>
                <w:rFonts w:hint="eastAsia" w:cs="楷体" w:asciiTheme="minorEastAsia" w:hAnsiTheme="minorEastAsia" w:eastAsiaTheme="minorEastAsia"/>
                <w:b/>
                <w:bCs/>
                <w:color w:val="000000"/>
                <w:sz w:val="21"/>
                <w:szCs w:val="21"/>
              </w:rPr>
              <w:t>案例</w:t>
            </w:r>
          </w:p>
        </w:tc>
      </w:tr>
      <w:tr>
        <w:tblPrEx>
          <w:tblLayout w:type="fixed"/>
          <w:tblCellMar>
            <w:top w:w="0" w:type="dxa"/>
            <w:left w:w="108" w:type="dxa"/>
            <w:bottom w:w="0" w:type="dxa"/>
            <w:right w:w="108" w:type="dxa"/>
          </w:tblCellMar>
        </w:tblPrEx>
        <w:trPr>
          <w:trHeight w:val="1407" w:hRule="atLeast"/>
        </w:trPr>
        <w:tc>
          <w:tcPr>
            <w:tcW w:w="626" w:type="dxa"/>
            <w:vMerge w:val="restart"/>
            <w:tcBorders>
              <w:top w:val="nil"/>
              <w:left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298" w:type="dxa"/>
            <w:vMerge w:val="restart"/>
            <w:tcBorders>
              <w:top w:val="nil"/>
              <w:left w:val="nil"/>
              <w:right w:val="single" w:color="auto" w:sz="4" w:space="0"/>
            </w:tcBorders>
            <w:shd w:val="clear" w:color="000000" w:fill="FFFFFF"/>
            <w:vAlign w:val="center"/>
          </w:tcPr>
          <w:p>
            <w:pPr>
              <w:spacing w:before="75" w:after="75" w:line="330" w:lineRule="atLeast"/>
              <w:ind w:right="75"/>
              <w:rPr>
                <w:rFonts w:cs="宋体" w:asciiTheme="minorEastAsia" w:hAnsiTheme="minorEastAsia" w:eastAsiaTheme="minorEastAsia"/>
                <w:sz w:val="21"/>
                <w:szCs w:val="21"/>
              </w:rPr>
            </w:pPr>
            <w:r>
              <w:rPr>
                <w:rFonts w:cs="宋体" w:asciiTheme="minorEastAsia" w:hAnsiTheme="minorEastAsia" w:eastAsiaTheme="minorEastAsia"/>
                <w:sz w:val="21"/>
                <w:szCs w:val="21"/>
              </w:rPr>
              <w:t>规划编制</w:t>
            </w:r>
          </w:p>
        </w:tc>
        <w:tc>
          <w:tcPr>
            <w:tcW w:w="1890" w:type="dxa"/>
            <w:tcBorders>
              <w:top w:val="nil"/>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区发展和改革委员会</w:t>
            </w:r>
          </w:p>
        </w:tc>
        <w:tc>
          <w:tcPr>
            <w:tcW w:w="2895" w:type="dxa"/>
            <w:tcBorders>
              <w:top w:val="nil"/>
              <w:left w:val="nil"/>
              <w:bottom w:val="single" w:color="auto" w:sz="4" w:space="0"/>
              <w:right w:val="single" w:color="auto" w:sz="4" w:space="0"/>
            </w:tcBorders>
            <w:vAlign w:val="center"/>
          </w:tcPr>
          <w:p>
            <w:pPr>
              <w:spacing w:before="75" w:after="75" w:line="330" w:lineRule="atLeast"/>
              <w:ind w:left="75" w:right="75"/>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负责起草区级</w:t>
            </w:r>
            <w:r>
              <w:rPr>
                <w:rFonts w:cs="宋体" w:asciiTheme="minorEastAsia" w:hAnsiTheme="minorEastAsia" w:eastAsiaTheme="minorEastAsia"/>
                <w:sz w:val="21"/>
                <w:szCs w:val="21"/>
              </w:rPr>
              <w:t>国民经济和社会发展规划</w:t>
            </w:r>
            <w:r>
              <w:rPr>
                <w:rFonts w:hint="eastAsia" w:cs="宋体" w:asciiTheme="minorEastAsia" w:hAnsiTheme="minorEastAsia" w:eastAsiaTheme="minorEastAsia"/>
                <w:sz w:val="21"/>
                <w:szCs w:val="21"/>
              </w:rPr>
              <w:t>等总体规划</w:t>
            </w:r>
            <w:r>
              <w:rPr>
                <w:rFonts w:hint="eastAsia" w:cs="宋体" w:asciiTheme="minorEastAsia" w:hAnsiTheme="minorEastAsia" w:eastAsiaTheme="minorEastAsia"/>
                <w:color w:val="000000"/>
                <w:sz w:val="21"/>
                <w:szCs w:val="21"/>
              </w:rPr>
              <w:t>。</w:t>
            </w:r>
          </w:p>
          <w:p>
            <w:pPr>
              <w:rPr>
                <w:rFonts w:cs="宋体" w:asciiTheme="minorEastAsia" w:hAnsiTheme="minorEastAsia" w:eastAsiaTheme="minorEastAsia"/>
                <w:color w:val="000000"/>
                <w:sz w:val="21"/>
                <w:szCs w:val="21"/>
              </w:rPr>
            </w:pPr>
          </w:p>
        </w:tc>
        <w:tc>
          <w:tcPr>
            <w:tcW w:w="3270" w:type="dxa"/>
            <w:vMerge w:val="restart"/>
            <w:tcBorders>
              <w:top w:val="nil"/>
              <w:left w:val="nil"/>
              <w:right w:val="single" w:color="auto" w:sz="4" w:space="0"/>
            </w:tcBorders>
            <w:vAlign w:val="center"/>
          </w:tcPr>
          <w:p>
            <w:pPr>
              <w:spacing w:before="75" w:after="75" w:line="330" w:lineRule="atLeast"/>
              <w:ind w:left="75" w:right="75"/>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　</w:t>
            </w:r>
            <w:r>
              <w:rPr>
                <w:rFonts w:cs="宋体" w:asciiTheme="minorEastAsia" w:hAnsiTheme="minorEastAsia" w:eastAsiaTheme="minorEastAsia"/>
                <w:sz w:val="21"/>
                <w:szCs w:val="21"/>
              </w:rPr>
              <w:t>《国务院关于加强国民经济和社会发展规划编制工作的若干意见》（国发[2005]33号）</w:t>
            </w:r>
          </w:p>
          <w:p>
            <w:pPr>
              <w:rPr>
                <w:rFonts w:cs="宋体" w:asciiTheme="minorEastAsia" w:hAnsiTheme="minorEastAsia" w:eastAsiaTheme="minorEastAsia"/>
                <w:color w:val="000000"/>
                <w:sz w:val="21"/>
                <w:szCs w:val="21"/>
              </w:rPr>
            </w:pPr>
          </w:p>
        </w:tc>
        <w:tc>
          <w:tcPr>
            <w:tcW w:w="2970" w:type="dxa"/>
            <w:vMerge w:val="restart"/>
            <w:tcBorders>
              <w:top w:val="nil"/>
              <w:left w:val="nil"/>
              <w:right w:val="single" w:color="auto" w:sz="4" w:space="0"/>
            </w:tcBorders>
            <w:vAlign w:val="center"/>
          </w:tcPr>
          <w:p>
            <w:pPr>
              <w:rPr>
                <w:rFonts w:cs="宋体" w:asciiTheme="minorEastAsia" w:hAnsiTheme="minorEastAsia" w:eastAsiaTheme="minorEastAsia"/>
                <w:color w:val="000000"/>
                <w:sz w:val="21"/>
                <w:szCs w:val="21"/>
              </w:rPr>
            </w:pPr>
          </w:p>
        </w:tc>
      </w:tr>
      <w:tr>
        <w:tblPrEx>
          <w:tblLayout w:type="fixed"/>
          <w:tblCellMar>
            <w:top w:w="0" w:type="dxa"/>
            <w:left w:w="108" w:type="dxa"/>
            <w:bottom w:w="0" w:type="dxa"/>
            <w:right w:w="108" w:type="dxa"/>
          </w:tblCellMar>
        </w:tblPrEx>
        <w:trPr>
          <w:trHeight w:val="1554" w:hRule="atLeast"/>
        </w:trPr>
        <w:tc>
          <w:tcPr>
            <w:tcW w:w="626" w:type="dxa"/>
            <w:vMerge w:val="continue"/>
            <w:tcBorders>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p>
        </w:tc>
        <w:tc>
          <w:tcPr>
            <w:tcW w:w="1298" w:type="dxa"/>
            <w:vMerge w:val="continue"/>
            <w:tcBorders>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color w:val="000000"/>
                <w:sz w:val="21"/>
                <w:szCs w:val="21"/>
              </w:rPr>
            </w:pPr>
          </w:p>
        </w:tc>
        <w:tc>
          <w:tcPr>
            <w:tcW w:w="1890"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其他有关部门</w:t>
            </w:r>
          </w:p>
        </w:tc>
        <w:tc>
          <w:tcPr>
            <w:tcW w:w="2895" w:type="dxa"/>
            <w:tcBorders>
              <w:top w:val="single" w:color="auto" w:sz="4" w:space="0"/>
              <w:left w:val="nil"/>
              <w:bottom w:val="single" w:color="auto" w:sz="4" w:space="0"/>
              <w:right w:val="single" w:color="auto" w:sz="4" w:space="0"/>
            </w:tcBorders>
            <w:vAlign w:val="center"/>
          </w:tcPr>
          <w:p>
            <w:pPr>
              <w:spacing w:before="75" w:after="75" w:line="330" w:lineRule="atLeast"/>
              <w:ind w:left="75" w:right="75"/>
              <w:rPr>
                <w:rFonts w:cs="宋体" w:asciiTheme="minorEastAsia" w:hAnsiTheme="minorEastAsia" w:eastAsiaTheme="minorEastAsia"/>
                <w:sz w:val="21"/>
                <w:szCs w:val="21"/>
              </w:rPr>
            </w:pPr>
            <w:r>
              <w:rPr>
                <w:rFonts w:cs="宋体" w:asciiTheme="minorEastAsia" w:hAnsiTheme="minorEastAsia" w:eastAsiaTheme="minorEastAsia"/>
                <w:sz w:val="21"/>
                <w:szCs w:val="21"/>
              </w:rPr>
              <w:t>负责依据国民经济和社会发展规划组织编制所分管领域内</w:t>
            </w:r>
            <w:r>
              <w:rPr>
                <w:rFonts w:hint="eastAsia" w:cs="宋体" w:asciiTheme="minorEastAsia" w:hAnsiTheme="minorEastAsia" w:eastAsiaTheme="minorEastAsia"/>
                <w:color w:val="000000"/>
                <w:sz w:val="21"/>
                <w:szCs w:val="21"/>
              </w:rPr>
              <w:t>农村经济、能源、交通、旅游、高技术产业、服务业等专项规划</w:t>
            </w:r>
            <w:r>
              <w:rPr>
                <w:rFonts w:cs="宋体" w:asciiTheme="minorEastAsia" w:hAnsiTheme="minorEastAsia" w:eastAsiaTheme="minorEastAsia"/>
                <w:sz w:val="21"/>
                <w:szCs w:val="21"/>
              </w:rPr>
              <w:t>。</w:t>
            </w:r>
          </w:p>
          <w:p>
            <w:pPr>
              <w:rPr>
                <w:rFonts w:cs="宋体" w:asciiTheme="minorEastAsia" w:hAnsiTheme="minorEastAsia" w:eastAsiaTheme="minorEastAsia"/>
                <w:color w:val="000000"/>
                <w:sz w:val="21"/>
                <w:szCs w:val="21"/>
              </w:rPr>
            </w:pPr>
          </w:p>
        </w:tc>
        <w:tc>
          <w:tcPr>
            <w:tcW w:w="3270" w:type="dxa"/>
            <w:vMerge w:val="continue"/>
            <w:tcBorders>
              <w:left w:val="nil"/>
              <w:bottom w:val="single" w:color="auto" w:sz="4" w:space="0"/>
              <w:right w:val="single" w:color="auto" w:sz="4" w:space="0"/>
            </w:tcBorders>
            <w:vAlign w:val="center"/>
          </w:tcPr>
          <w:p>
            <w:pPr>
              <w:spacing w:before="75" w:after="75" w:line="330" w:lineRule="atLeast"/>
              <w:ind w:left="75" w:right="75"/>
              <w:rPr>
                <w:rFonts w:cs="宋体" w:asciiTheme="minorEastAsia" w:hAnsiTheme="minorEastAsia" w:eastAsiaTheme="minorEastAsia"/>
                <w:color w:val="000000"/>
                <w:sz w:val="21"/>
                <w:szCs w:val="21"/>
              </w:rPr>
            </w:pPr>
          </w:p>
        </w:tc>
        <w:tc>
          <w:tcPr>
            <w:tcW w:w="2970" w:type="dxa"/>
            <w:vMerge w:val="continue"/>
            <w:tcBorders>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p>
        </w:tc>
      </w:tr>
      <w:tr>
        <w:tblPrEx>
          <w:tblLayout w:type="fixed"/>
          <w:tblCellMar>
            <w:top w:w="0" w:type="dxa"/>
            <w:left w:w="108" w:type="dxa"/>
            <w:bottom w:w="0" w:type="dxa"/>
            <w:right w:w="108" w:type="dxa"/>
          </w:tblCellMar>
        </w:tblPrEx>
        <w:trPr>
          <w:trHeight w:val="2009" w:hRule="atLeast"/>
        </w:trPr>
        <w:tc>
          <w:tcPr>
            <w:tcW w:w="626" w:type="dxa"/>
            <w:vMerge w:val="restart"/>
            <w:tcBorders>
              <w:top w:val="single" w:color="auto" w:sz="4" w:space="0"/>
              <w:left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p>
        </w:tc>
        <w:tc>
          <w:tcPr>
            <w:tcW w:w="1298" w:type="dxa"/>
            <w:vMerge w:val="restart"/>
            <w:tcBorders>
              <w:top w:val="single" w:color="auto" w:sz="4" w:space="0"/>
              <w:left w:val="nil"/>
              <w:right w:val="single" w:color="auto" w:sz="4" w:space="0"/>
            </w:tcBorders>
            <w:shd w:val="clear" w:color="000000" w:fill="FFFFFF"/>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区级管理权限内政府投资项目审批</w:t>
            </w:r>
          </w:p>
        </w:tc>
        <w:tc>
          <w:tcPr>
            <w:tcW w:w="1890"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区发展和改革委员会</w:t>
            </w:r>
          </w:p>
        </w:tc>
        <w:tc>
          <w:tcPr>
            <w:tcW w:w="2895" w:type="dxa"/>
            <w:tcBorders>
              <w:top w:val="single" w:color="auto" w:sz="4" w:space="0"/>
              <w:left w:val="nil"/>
              <w:bottom w:val="single" w:color="auto" w:sz="4" w:space="0"/>
              <w:right w:val="single" w:color="auto" w:sz="4" w:space="0"/>
            </w:tcBorders>
            <w:vAlign w:val="center"/>
          </w:tcPr>
          <w:p>
            <w:pPr>
              <w:spacing w:before="75" w:after="75" w:line="330" w:lineRule="atLeast"/>
              <w:ind w:left="75" w:right="75"/>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负责权限内政府投资项目建议书、可行性研究报告、初步设计与概算的审批工作</w:t>
            </w:r>
          </w:p>
        </w:tc>
        <w:tc>
          <w:tcPr>
            <w:tcW w:w="3270" w:type="dxa"/>
            <w:vMerge w:val="restart"/>
            <w:tcBorders>
              <w:top w:val="single" w:color="auto" w:sz="4" w:space="0"/>
              <w:left w:val="nil"/>
              <w:right w:val="single" w:color="auto" w:sz="4" w:space="0"/>
            </w:tcBorders>
            <w:vAlign w:val="center"/>
          </w:tcPr>
          <w:p>
            <w:pPr>
              <w:spacing w:before="75" w:after="75" w:line="330" w:lineRule="atLeast"/>
              <w:ind w:left="75" w:right="75"/>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1、《三亚市政府投资项目管理规定》（三府[2013]112号）；2、《崖州区政府投资项目管理暂行办法》（崖州办发[2016]12号）。</w:t>
            </w:r>
          </w:p>
          <w:p>
            <w:pPr>
              <w:spacing w:before="75" w:after="75" w:line="330" w:lineRule="atLeast"/>
              <w:ind w:left="75" w:right="75"/>
              <w:rPr>
                <w:rFonts w:cs="宋体" w:asciiTheme="minorEastAsia" w:hAnsiTheme="minorEastAsia" w:eastAsiaTheme="minorEastAsia"/>
                <w:color w:val="000000"/>
                <w:sz w:val="21"/>
                <w:szCs w:val="21"/>
              </w:rPr>
            </w:pPr>
          </w:p>
        </w:tc>
        <w:tc>
          <w:tcPr>
            <w:tcW w:w="2970" w:type="dxa"/>
            <w:vMerge w:val="restart"/>
            <w:tcBorders>
              <w:top w:val="single" w:color="auto" w:sz="4" w:space="0"/>
              <w:left w:val="nil"/>
              <w:right w:val="single" w:color="auto" w:sz="4" w:space="0"/>
            </w:tcBorders>
            <w:vAlign w:val="center"/>
          </w:tcPr>
          <w:p>
            <w:pPr>
              <w:rPr>
                <w:rFonts w:cs="宋体" w:asciiTheme="minorEastAsia" w:hAnsiTheme="minorEastAsia" w:eastAsiaTheme="minorEastAsia"/>
                <w:color w:val="000000"/>
                <w:sz w:val="21"/>
                <w:szCs w:val="21"/>
              </w:rPr>
            </w:pPr>
          </w:p>
        </w:tc>
      </w:tr>
      <w:tr>
        <w:tblPrEx>
          <w:tblLayout w:type="fixed"/>
          <w:tblCellMar>
            <w:top w:w="0" w:type="dxa"/>
            <w:left w:w="108" w:type="dxa"/>
            <w:bottom w:w="0" w:type="dxa"/>
            <w:right w:w="108" w:type="dxa"/>
          </w:tblCellMar>
        </w:tblPrEx>
        <w:trPr>
          <w:trHeight w:val="1687" w:hRule="atLeast"/>
        </w:trPr>
        <w:tc>
          <w:tcPr>
            <w:tcW w:w="626"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p>
        </w:tc>
        <w:tc>
          <w:tcPr>
            <w:tcW w:w="1298" w:type="dxa"/>
            <w:vMerge w:val="continue"/>
            <w:tcBorders>
              <w:left w:val="nil"/>
              <w:right w:val="single" w:color="auto" w:sz="4" w:space="0"/>
            </w:tcBorders>
            <w:shd w:val="clear" w:color="000000" w:fill="FFFFFF"/>
            <w:vAlign w:val="center"/>
          </w:tcPr>
          <w:p>
            <w:pPr>
              <w:rPr>
                <w:rFonts w:cs="宋体" w:asciiTheme="minorEastAsia" w:hAnsiTheme="minorEastAsia" w:eastAsiaTheme="minorEastAsia"/>
                <w:color w:val="000000"/>
                <w:sz w:val="21"/>
                <w:szCs w:val="21"/>
              </w:rPr>
            </w:pPr>
          </w:p>
        </w:tc>
        <w:tc>
          <w:tcPr>
            <w:tcW w:w="1890"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市自然资源规划局崖州规划服务中心</w:t>
            </w:r>
          </w:p>
        </w:tc>
        <w:tc>
          <w:tcPr>
            <w:tcW w:w="2895" w:type="dxa"/>
            <w:tcBorders>
              <w:top w:val="single" w:color="auto" w:sz="4" w:space="0"/>
              <w:left w:val="nil"/>
              <w:bottom w:val="single" w:color="auto" w:sz="4" w:space="0"/>
              <w:right w:val="single" w:color="auto" w:sz="4" w:space="0"/>
            </w:tcBorders>
            <w:vAlign w:val="center"/>
          </w:tcPr>
          <w:p>
            <w:pPr>
              <w:spacing w:before="75" w:after="75" w:line="330" w:lineRule="atLeast"/>
              <w:ind w:left="75" w:right="75"/>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配合市</w:t>
            </w:r>
            <w:r>
              <w:rPr>
                <w:rFonts w:hint="eastAsia" w:cs="宋体" w:asciiTheme="minorEastAsia" w:hAnsiTheme="minorEastAsia" w:eastAsiaTheme="minorEastAsia"/>
                <w:color w:val="000000"/>
                <w:sz w:val="21"/>
                <w:szCs w:val="21"/>
              </w:rPr>
              <w:t>自然资源</w:t>
            </w:r>
            <w:r>
              <w:rPr>
                <w:rFonts w:hint="eastAsia" w:cs="宋体" w:asciiTheme="minorEastAsia" w:hAnsiTheme="minorEastAsia" w:eastAsiaTheme="minorEastAsia"/>
                <w:sz w:val="21"/>
                <w:szCs w:val="21"/>
              </w:rPr>
              <w:t>规划局做好审批《建设项目用地预审与选址意见书》</w:t>
            </w:r>
          </w:p>
        </w:tc>
        <w:tc>
          <w:tcPr>
            <w:tcW w:w="3270" w:type="dxa"/>
            <w:vMerge w:val="continue"/>
            <w:tcBorders>
              <w:left w:val="nil"/>
              <w:right w:val="single" w:color="auto" w:sz="4" w:space="0"/>
            </w:tcBorders>
            <w:vAlign w:val="center"/>
          </w:tcPr>
          <w:p>
            <w:pPr>
              <w:spacing w:before="75" w:after="75" w:line="330" w:lineRule="atLeast"/>
              <w:ind w:left="75" w:right="75"/>
              <w:rPr>
                <w:rFonts w:cs="宋体" w:asciiTheme="minorEastAsia" w:hAnsiTheme="minorEastAsia" w:eastAsiaTheme="minorEastAsia"/>
                <w:color w:val="000000"/>
                <w:sz w:val="21"/>
                <w:szCs w:val="21"/>
              </w:rPr>
            </w:pPr>
          </w:p>
        </w:tc>
        <w:tc>
          <w:tcPr>
            <w:tcW w:w="2970" w:type="dxa"/>
            <w:vMerge w:val="continue"/>
            <w:tcBorders>
              <w:left w:val="nil"/>
              <w:right w:val="single" w:color="auto" w:sz="4" w:space="0"/>
            </w:tcBorders>
            <w:vAlign w:val="center"/>
          </w:tcPr>
          <w:p>
            <w:pPr>
              <w:rPr>
                <w:rFonts w:cs="宋体" w:asciiTheme="minorEastAsia" w:hAnsiTheme="minorEastAsia" w:eastAsiaTheme="minorEastAsia"/>
                <w:color w:val="000000"/>
                <w:sz w:val="21"/>
                <w:szCs w:val="21"/>
              </w:rPr>
            </w:pPr>
          </w:p>
        </w:tc>
      </w:tr>
      <w:tr>
        <w:tblPrEx>
          <w:tblLayout w:type="fixed"/>
          <w:tblCellMar>
            <w:top w:w="0" w:type="dxa"/>
            <w:left w:w="108" w:type="dxa"/>
            <w:bottom w:w="0" w:type="dxa"/>
            <w:right w:w="108" w:type="dxa"/>
          </w:tblCellMar>
        </w:tblPrEx>
        <w:trPr>
          <w:trHeight w:val="1389" w:hRule="atLeast"/>
        </w:trPr>
        <w:tc>
          <w:tcPr>
            <w:tcW w:w="626"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p>
        </w:tc>
        <w:tc>
          <w:tcPr>
            <w:tcW w:w="1298" w:type="dxa"/>
            <w:vMerge w:val="continue"/>
            <w:tcBorders>
              <w:left w:val="nil"/>
              <w:right w:val="single" w:color="auto" w:sz="4" w:space="0"/>
            </w:tcBorders>
            <w:shd w:val="clear" w:color="000000" w:fill="FFFFFF"/>
            <w:vAlign w:val="center"/>
          </w:tcPr>
          <w:p>
            <w:pPr>
              <w:rPr>
                <w:rFonts w:cs="宋体" w:asciiTheme="minorEastAsia" w:hAnsiTheme="minorEastAsia" w:eastAsiaTheme="minorEastAsia"/>
                <w:color w:val="000000"/>
                <w:sz w:val="21"/>
                <w:szCs w:val="21"/>
              </w:rPr>
            </w:pPr>
          </w:p>
        </w:tc>
        <w:tc>
          <w:tcPr>
            <w:tcW w:w="1890"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市自然资源规划局崖州分局</w:t>
            </w:r>
          </w:p>
        </w:tc>
        <w:tc>
          <w:tcPr>
            <w:tcW w:w="2895" w:type="dxa"/>
            <w:tcBorders>
              <w:top w:val="single" w:color="auto" w:sz="4" w:space="0"/>
              <w:left w:val="nil"/>
              <w:bottom w:val="single" w:color="auto" w:sz="4" w:space="0"/>
              <w:right w:val="single" w:color="auto" w:sz="4" w:space="0"/>
            </w:tcBorders>
            <w:vAlign w:val="center"/>
          </w:tcPr>
          <w:p>
            <w:pPr>
              <w:spacing w:before="75" w:after="75" w:line="330" w:lineRule="atLeast"/>
              <w:ind w:left="75" w:right="75"/>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配合市</w:t>
            </w:r>
            <w:r>
              <w:rPr>
                <w:rFonts w:hint="eastAsia" w:cs="宋体" w:asciiTheme="minorEastAsia" w:hAnsiTheme="minorEastAsia" w:eastAsiaTheme="minorEastAsia"/>
                <w:color w:val="000000"/>
                <w:sz w:val="21"/>
                <w:szCs w:val="21"/>
              </w:rPr>
              <w:t>自然资源规划局做好</w:t>
            </w:r>
            <w:r>
              <w:rPr>
                <w:rFonts w:hint="eastAsia" w:cs="宋体" w:asciiTheme="minorEastAsia" w:hAnsiTheme="minorEastAsia" w:eastAsiaTheme="minorEastAsia"/>
                <w:sz w:val="21"/>
                <w:szCs w:val="21"/>
              </w:rPr>
              <w:t>审批用地预审意见书</w:t>
            </w:r>
          </w:p>
        </w:tc>
        <w:tc>
          <w:tcPr>
            <w:tcW w:w="3270" w:type="dxa"/>
            <w:vMerge w:val="continue"/>
            <w:tcBorders>
              <w:left w:val="nil"/>
              <w:right w:val="single" w:color="auto" w:sz="4" w:space="0"/>
            </w:tcBorders>
            <w:vAlign w:val="center"/>
          </w:tcPr>
          <w:p>
            <w:pPr>
              <w:spacing w:before="75" w:after="75" w:line="330" w:lineRule="atLeast"/>
              <w:ind w:left="75" w:right="75"/>
              <w:rPr>
                <w:rFonts w:cs="宋体" w:asciiTheme="minorEastAsia" w:hAnsiTheme="minorEastAsia" w:eastAsiaTheme="minorEastAsia"/>
                <w:color w:val="000000"/>
                <w:sz w:val="21"/>
                <w:szCs w:val="21"/>
              </w:rPr>
            </w:pPr>
          </w:p>
        </w:tc>
        <w:tc>
          <w:tcPr>
            <w:tcW w:w="2970" w:type="dxa"/>
            <w:vMerge w:val="continue"/>
            <w:tcBorders>
              <w:left w:val="nil"/>
              <w:right w:val="single" w:color="auto" w:sz="4" w:space="0"/>
            </w:tcBorders>
            <w:vAlign w:val="center"/>
          </w:tcPr>
          <w:p>
            <w:pPr>
              <w:rPr>
                <w:rFonts w:cs="宋体" w:asciiTheme="minorEastAsia" w:hAnsiTheme="minorEastAsia" w:eastAsiaTheme="minorEastAsia"/>
                <w:color w:val="000000"/>
                <w:sz w:val="21"/>
                <w:szCs w:val="21"/>
              </w:rPr>
            </w:pPr>
          </w:p>
        </w:tc>
      </w:tr>
      <w:tr>
        <w:tblPrEx>
          <w:tblLayout w:type="fixed"/>
          <w:tblCellMar>
            <w:top w:w="0" w:type="dxa"/>
            <w:left w:w="108" w:type="dxa"/>
            <w:bottom w:w="0" w:type="dxa"/>
            <w:right w:w="108" w:type="dxa"/>
          </w:tblCellMar>
        </w:tblPrEx>
        <w:trPr>
          <w:trHeight w:val="1650" w:hRule="atLeast"/>
        </w:trPr>
        <w:tc>
          <w:tcPr>
            <w:tcW w:w="626"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p>
        </w:tc>
        <w:tc>
          <w:tcPr>
            <w:tcW w:w="1298" w:type="dxa"/>
            <w:vMerge w:val="continue"/>
            <w:tcBorders>
              <w:left w:val="nil"/>
              <w:right w:val="single" w:color="auto" w:sz="4" w:space="0"/>
            </w:tcBorders>
            <w:shd w:val="clear" w:color="000000" w:fill="FFFFFF"/>
            <w:vAlign w:val="center"/>
          </w:tcPr>
          <w:p>
            <w:pPr>
              <w:rPr>
                <w:rFonts w:cs="宋体" w:asciiTheme="minorEastAsia" w:hAnsiTheme="minorEastAsia" w:eastAsiaTheme="minorEastAsia"/>
                <w:color w:val="000000"/>
                <w:sz w:val="21"/>
                <w:szCs w:val="21"/>
              </w:rPr>
            </w:pPr>
          </w:p>
        </w:tc>
        <w:tc>
          <w:tcPr>
            <w:tcW w:w="1890"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市生态环境局崖州分局</w:t>
            </w:r>
          </w:p>
        </w:tc>
        <w:tc>
          <w:tcPr>
            <w:tcW w:w="2895" w:type="dxa"/>
            <w:tcBorders>
              <w:top w:val="single" w:color="auto" w:sz="4" w:space="0"/>
              <w:left w:val="nil"/>
              <w:bottom w:val="single" w:color="auto" w:sz="4" w:space="0"/>
              <w:right w:val="single" w:color="auto" w:sz="4" w:space="0"/>
            </w:tcBorders>
            <w:vAlign w:val="center"/>
          </w:tcPr>
          <w:p>
            <w:pPr>
              <w:spacing w:before="75" w:after="75" w:line="330" w:lineRule="atLeast"/>
              <w:ind w:left="75" w:right="75"/>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负责做好环境影响评价登记表的登记备案工作，做好环境影响评价报告表的事中事后监管</w:t>
            </w:r>
          </w:p>
        </w:tc>
        <w:tc>
          <w:tcPr>
            <w:tcW w:w="3270" w:type="dxa"/>
            <w:vMerge w:val="continue"/>
            <w:tcBorders>
              <w:left w:val="nil"/>
              <w:right w:val="single" w:color="auto" w:sz="4" w:space="0"/>
            </w:tcBorders>
            <w:vAlign w:val="center"/>
          </w:tcPr>
          <w:p>
            <w:pPr>
              <w:spacing w:before="75" w:after="75" w:line="330" w:lineRule="atLeast"/>
              <w:ind w:left="75" w:right="75"/>
              <w:rPr>
                <w:rFonts w:cs="宋体" w:asciiTheme="minorEastAsia" w:hAnsiTheme="minorEastAsia" w:eastAsiaTheme="minorEastAsia"/>
                <w:color w:val="000000"/>
                <w:sz w:val="21"/>
                <w:szCs w:val="21"/>
              </w:rPr>
            </w:pPr>
          </w:p>
        </w:tc>
        <w:tc>
          <w:tcPr>
            <w:tcW w:w="2970" w:type="dxa"/>
            <w:vMerge w:val="continue"/>
            <w:tcBorders>
              <w:left w:val="nil"/>
              <w:right w:val="single" w:color="auto" w:sz="4" w:space="0"/>
            </w:tcBorders>
            <w:vAlign w:val="center"/>
          </w:tcPr>
          <w:p>
            <w:pPr>
              <w:rPr>
                <w:rFonts w:cs="宋体" w:asciiTheme="minorEastAsia" w:hAnsiTheme="minorEastAsia" w:eastAsiaTheme="minorEastAsia"/>
                <w:color w:val="000000"/>
                <w:sz w:val="21"/>
                <w:szCs w:val="21"/>
              </w:rPr>
            </w:pPr>
          </w:p>
        </w:tc>
      </w:tr>
      <w:tr>
        <w:tblPrEx>
          <w:tblLayout w:type="fixed"/>
          <w:tblCellMar>
            <w:top w:w="0" w:type="dxa"/>
            <w:left w:w="108" w:type="dxa"/>
            <w:bottom w:w="0" w:type="dxa"/>
            <w:right w:w="108" w:type="dxa"/>
          </w:tblCellMar>
        </w:tblPrEx>
        <w:trPr>
          <w:trHeight w:val="1053" w:hRule="atLeast"/>
        </w:trPr>
        <w:tc>
          <w:tcPr>
            <w:tcW w:w="626" w:type="dxa"/>
            <w:vMerge w:val="continue"/>
            <w:tcBorders>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p>
        </w:tc>
        <w:tc>
          <w:tcPr>
            <w:tcW w:w="1298" w:type="dxa"/>
            <w:vMerge w:val="continue"/>
            <w:tcBorders>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color w:val="000000"/>
                <w:sz w:val="21"/>
                <w:szCs w:val="21"/>
              </w:rPr>
            </w:pPr>
          </w:p>
        </w:tc>
        <w:tc>
          <w:tcPr>
            <w:tcW w:w="1890"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区住房和城乡建设局</w:t>
            </w:r>
          </w:p>
        </w:tc>
        <w:tc>
          <w:tcPr>
            <w:tcW w:w="2895" w:type="dxa"/>
            <w:tcBorders>
              <w:top w:val="single" w:color="auto" w:sz="4" w:space="0"/>
              <w:left w:val="nil"/>
              <w:bottom w:val="single" w:color="auto" w:sz="4" w:space="0"/>
              <w:right w:val="single" w:color="auto" w:sz="4" w:space="0"/>
            </w:tcBorders>
            <w:vAlign w:val="center"/>
          </w:tcPr>
          <w:p>
            <w:pPr>
              <w:spacing w:before="75" w:after="75" w:line="330" w:lineRule="atLeast"/>
              <w:ind w:left="75" w:right="75"/>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负责节能评估和审查</w:t>
            </w:r>
          </w:p>
        </w:tc>
        <w:tc>
          <w:tcPr>
            <w:tcW w:w="3270" w:type="dxa"/>
            <w:vMerge w:val="continue"/>
            <w:tcBorders>
              <w:left w:val="nil"/>
              <w:bottom w:val="single" w:color="auto" w:sz="4" w:space="0"/>
              <w:right w:val="single" w:color="auto" w:sz="4" w:space="0"/>
            </w:tcBorders>
            <w:vAlign w:val="center"/>
          </w:tcPr>
          <w:p>
            <w:pPr>
              <w:spacing w:before="75" w:after="75" w:line="330" w:lineRule="atLeast"/>
              <w:ind w:left="75" w:right="75"/>
              <w:rPr>
                <w:rFonts w:cs="宋体" w:asciiTheme="minorEastAsia" w:hAnsiTheme="minorEastAsia" w:eastAsiaTheme="minorEastAsia"/>
                <w:color w:val="000000"/>
                <w:sz w:val="21"/>
                <w:szCs w:val="21"/>
              </w:rPr>
            </w:pPr>
          </w:p>
        </w:tc>
        <w:tc>
          <w:tcPr>
            <w:tcW w:w="2970" w:type="dxa"/>
            <w:vMerge w:val="continue"/>
            <w:tcBorders>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p>
        </w:tc>
      </w:tr>
      <w:tr>
        <w:tblPrEx>
          <w:tblLayout w:type="fixed"/>
          <w:tblCellMar>
            <w:top w:w="0" w:type="dxa"/>
            <w:left w:w="108" w:type="dxa"/>
            <w:bottom w:w="0" w:type="dxa"/>
            <w:right w:w="108" w:type="dxa"/>
          </w:tblCellMar>
        </w:tblPrEx>
        <w:trPr>
          <w:trHeight w:val="2546" w:hRule="atLeast"/>
        </w:trPr>
        <w:tc>
          <w:tcPr>
            <w:tcW w:w="626" w:type="dxa"/>
            <w:vMerge w:val="restart"/>
            <w:tcBorders>
              <w:top w:val="single" w:color="auto" w:sz="4" w:space="0"/>
              <w:left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w:t>
            </w:r>
          </w:p>
        </w:tc>
        <w:tc>
          <w:tcPr>
            <w:tcW w:w="1298" w:type="dxa"/>
            <w:vMerge w:val="restart"/>
            <w:tcBorders>
              <w:top w:val="single" w:color="auto" w:sz="4" w:space="0"/>
              <w:left w:val="nil"/>
              <w:right w:val="single" w:color="auto" w:sz="4" w:space="0"/>
            </w:tcBorders>
            <w:shd w:val="clear" w:color="000000" w:fill="FFFFFF"/>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r>
              <w:rPr>
                <w:rFonts w:hint="eastAsia" w:cs="Arial" w:asciiTheme="minorEastAsia" w:hAnsiTheme="minorEastAsia" w:eastAsiaTheme="minorEastAsia"/>
                <w:color w:val="000000"/>
                <w:sz w:val="21"/>
                <w:szCs w:val="21"/>
              </w:rPr>
              <w:t>政府投资项目代建制管理</w:t>
            </w:r>
          </w:p>
        </w:tc>
        <w:tc>
          <w:tcPr>
            <w:tcW w:w="1890"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区发展和改革委员会</w:t>
            </w:r>
          </w:p>
        </w:tc>
        <w:tc>
          <w:tcPr>
            <w:tcW w:w="2895"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负责监管代建单位行为和代建项目实施、项目实施过程的协调和监督管理</w:t>
            </w:r>
          </w:p>
        </w:tc>
        <w:tc>
          <w:tcPr>
            <w:tcW w:w="3270" w:type="dxa"/>
            <w:vMerge w:val="restart"/>
            <w:tcBorders>
              <w:top w:val="single" w:color="auto" w:sz="4" w:space="0"/>
              <w:left w:val="nil"/>
              <w:right w:val="single" w:color="auto" w:sz="4" w:space="0"/>
            </w:tcBorders>
            <w:vAlign w:val="center"/>
          </w:tcPr>
          <w:p>
            <w:pPr>
              <w:spacing w:before="75" w:after="75" w:line="330" w:lineRule="atLeast"/>
              <w:ind w:left="75" w:right="75"/>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　1、《国务院关于投资体制改革的决定》（国发[2004]20号）；2、《三亚市政府投资建设项目代建制管理办法》（三府办[2015]40号）。</w:t>
            </w:r>
          </w:p>
          <w:p>
            <w:pPr>
              <w:rPr>
                <w:rFonts w:cs="宋体" w:asciiTheme="minorEastAsia" w:hAnsiTheme="minorEastAsia" w:eastAsiaTheme="minorEastAsia"/>
                <w:color w:val="000000"/>
                <w:sz w:val="21"/>
                <w:szCs w:val="21"/>
              </w:rPr>
            </w:pPr>
          </w:p>
        </w:tc>
        <w:tc>
          <w:tcPr>
            <w:tcW w:w="2970" w:type="dxa"/>
            <w:vMerge w:val="restart"/>
            <w:tcBorders>
              <w:top w:val="single" w:color="auto" w:sz="4" w:space="0"/>
              <w:left w:val="nil"/>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blPrEx>
          <w:tblLayout w:type="fixed"/>
          <w:tblCellMar>
            <w:top w:w="0" w:type="dxa"/>
            <w:left w:w="108" w:type="dxa"/>
            <w:bottom w:w="0" w:type="dxa"/>
            <w:right w:w="108" w:type="dxa"/>
          </w:tblCellMar>
        </w:tblPrEx>
        <w:trPr>
          <w:trHeight w:val="1894" w:hRule="atLeast"/>
        </w:trPr>
        <w:tc>
          <w:tcPr>
            <w:tcW w:w="626"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p>
        </w:tc>
        <w:tc>
          <w:tcPr>
            <w:tcW w:w="1298" w:type="dxa"/>
            <w:vMerge w:val="continue"/>
            <w:tcBorders>
              <w:left w:val="nil"/>
              <w:right w:val="single" w:color="auto" w:sz="4" w:space="0"/>
            </w:tcBorders>
            <w:shd w:val="clear" w:color="000000" w:fill="FFFFFF"/>
            <w:vAlign w:val="center"/>
          </w:tcPr>
          <w:p>
            <w:pPr>
              <w:rPr>
                <w:rFonts w:cs="宋体" w:asciiTheme="minorEastAsia" w:hAnsiTheme="minorEastAsia" w:eastAsiaTheme="minorEastAsia"/>
                <w:color w:val="000000"/>
                <w:sz w:val="21"/>
                <w:szCs w:val="21"/>
              </w:rPr>
            </w:pPr>
          </w:p>
        </w:tc>
        <w:tc>
          <w:tcPr>
            <w:tcW w:w="1890"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区财政局</w:t>
            </w:r>
          </w:p>
        </w:tc>
        <w:tc>
          <w:tcPr>
            <w:tcW w:w="2895"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负责政府投资代建项目资金使用的监督管理</w:t>
            </w:r>
          </w:p>
        </w:tc>
        <w:tc>
          <w:tcPr>
            <w:tcW w:w="3270" w:type="dxa"/>
            <w:vMerge w:val="continue"/>
            <w:tcBorders>
              <w:left w:val="nil"/>
              <w:right w:val="single" w:color="auto" w:sz="4" w:space="0"/>
            </w:tcBorders>
            <w:vAlign w:val="center"/>
          </w:tcPr>
          <w:p>
            <w:pPr>
              <w:rPr>
                <w:rFonts w:cs="宋体" w:asciiTheme="minorEastAsia" w:hAnsiTheme="minorEastAsia" w:eastAsiaTheme="minorEastAsia"/>
                <w:color w:val="000000"/>
                <w:sz w:val="21"/>
                <w:szCs w:val="21"/>
              </w:rPr>
            </w:pPr>
          </w:p>
        </w:tc>
        <w:tc>
          <w:tcPr>
            <w:tcW w:w="2970" w:type="dxa"/>
            <w:vMerge w:val="continue"/>
            <w:tcBorders>
              <w:left w:val="nil"/>
              <w:right w:val="single" w:color="auto" w:sz="4" w:space="0"/>
            </w:tcBorders>
            <w:vAlign w:val="center"/>
          </w:tcPr>
          <w:p>
            <w:pPr>
              <w:rPr>
                <w:rFonts w:cs="宋体" w:asciiTheme="minorEastAsia" w:hAnsiTheme="minorEastAsia" w:eastAsiaTheme="minorEastAsia"/>
                <w:color w:val="000000"/>
                <w:sz w:val="21"/>
                <w:szCs w:val="21"/>
              </w:rPr>
            </w:pPr>
          </w:p>
        </w:tc>
      </w:tr>
      <w:tr>
        <w:tblPrEx>
          <w:tblLayout w:type="fixed"/>
          <w:tblCellMar>
            <w:top w:w="0" w:type="dxa"/>
            <w:left w:w="108" w:type="dxa"/>
            <w:bottom w:w="0" w:type="dxa"/>
            <w:right w:w="108" w:type="dxa"/>
          </w:tblCellMar>
        </w:tblPrEx>
        <w:trPr>
          <w:trHeight w:val="1906" w:hRule="atLeast"/>
        </w:trPr>
        <w:tc>
          <w:tcPr>
            <w:tcW w:w="626" w:type="dxa"/>
            <w:vMerge w:val="continue"/>
            <w:tcBorders>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1"/>
                <w:szCs w:val="21"/>
              </w:rPr>
            </w:pPr>
          </w:p>
        </w:tc>
        <w:tc>
          <w:tcPr>
            <w:tcW w:w="1298" w:type="dxa"/>
            <w:vMerge w:val="continue"/>
            <w:tcBorders>
              <w:left w:val="nil"/>
              <w:bottom w:val="single" w:color="auto" w:sz="4" w:space="0"/>
              <w:right w:val="single" w:color="auto" w:sz="4" w:space="0"/>
            </w:tcBorders>
            <w:shd w:val="clear" w:color="000000" w:fill="FFFFFF"/>
            <w:vAlign w:val="center"/>
          </w:tcPr>
          <w:p>
            <w:pPr>
              <w:rPr>
                <w:rFonts w:cs="宋体" w:asciiTheme="minorEastAsia" w:hAnsiTheme="minorEastAsia" w:eastAsiaTheme="minorEastAsia"/>
                <w:color w:val="000000"/>
                <w:sz w:val="21"/>
                <w:szCs w:val="21"/>
              </w:rPr>
            </w:pPr>
          </w:p>
        </w:tc>
        <w:tc>
          <w:tcPr>
            <w:tcW w:w="1890"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区住房和城乡建设局</w:t>
            </w:r>
          </w:p>
        </w:tc>
        <w:tc>
          <w:tcPr>
            <w:tcW w:w="2895" w:type="dxa"/>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负责区本级政府投资代建项目工程质量、安全等建设的监督管理</w:t>
            </w:r>
          </w:p>
        </w:tc>
        <w:tc>
          <w:tcPr>
            <w:tcW w:w="3270" w:type="dxa"/>
            <w:vMerge w:val="continue"/>
            <w:tcBorders>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p>
        </w:tc>
        <w:tc>
          <w:tcPr>
            <w:tcW w:w="2970" w:type="dxa"/>
            <w:vMerge w:val="continue"/>
            <w:tcBorders>
              <w:left w:val="nil"/>
              <w:bottom w:val="single" w:color="auto" w:sz="4" w:space="0"/>
              <w:right w:val="single" w:color="auto" w:sz="4" w:space="0"/>
            </w:tcBorders>
            <w:vAlign w:val="center"/>
          </w:tcPr>
          <w:p>
            <w:pPr>
              <w:rPr>
                <w:rFonts w:cs="宋体" w:asciiTheme="minorEastAsia" w:hAnsiTheme="minorEastAsia" w:eastAsiaTheme="minorEastAsia"/>
                <w:color w:val="000000"/>
                <w:sz w:val="21"/>
                <w:szCs w:val="21"/>
              </w:rPr>
            </w:pPr>
          </w:p>
        </w:tc>
      </w:tr>
    </w:tbl>
    <w:p>
      <w:pPr>
        <w:pStyle w:val="2"/>
        <w:spacing w:line="578" w:lineRule="exact"/>
        <w:rPr>
          <w:rFonts w:cs="Times New Roman" w:asciiTheme="minorEastAsia" w:hAnsiTheme="minorEastAsia" w:eastAsiaTheme="minorEastAsia"/>
          <w:color w:val="000000"/>
          <w:sz w:val="21"/>
          <w:szCs w:val="21"/>
        </w:rPr>
        <w:sectPr>
          <w:pgSz w:w="16838" w:h="11906" w:orient="landscape"/>
          <w:pgMar w:top="1587" w:right="2098" w:bottom="1474" w:left="1984" w:header="851" w:footer="992" w:gutter="0"/>
          <w:pgNumType w:fmt="numberInDash"/>
          <w:cols w:space="425" w:num="1"/>
          <w:docGrid w:type="lines" w:linePitch="312" w:charSpace="0"/>
        </w:sectPr>
      </w:pPr>
    </w:p>
    <w:tbl>
      <w:tblPr>
        <w:tblStyle w:val="6"/>
        <w:tblW w:w="8095" w:type="dxa"/>
        <w:tblInd w:w="93" w:type="dxa"/>
        <w:tblLayout w:type="fixed"/>
        <w:tblCellMar>
          <w:top w:w="0" w:type="dxa"/>
          <w:left w:w="108" w:type="dxa"/>
          <w:bottom w:w="0" w:type="dxa"/>
          <w:right w:w="108" w:type="dxa"/>
        </w:tblCellMar>
      </w:tblPr>
      <w:tblGrid>
        <w:gridCol w:w="1024"/>
        <w:gridCol w:w="1517"/>
        <w:gridCol w:w="2235"/>
        <w:gridCol w:w="1760"/>
        <w:gridCol w:w="1559"/>
      </w:tblGrid>
      <w:tr>
        <w:tblPrEx>
          <w:tblLayout w:type="fixed"/>
          <w:tblCellMar>
            <w:top w:w="0" w:type="dxa"/>
            <w:left w:w="108" w:type="dxa"/>
            <w:bottom w:w="0" w:type="dxa"/>
            <w:right w:w="108" w:type="dxa"/>
          </w:tblCellMar>
        </w:tblPrEx>
        <w:trPr>
          <w:trHeight w:val="13879" w:hRule="atLeast"/>
        </w:trPr>
        <w:tc>
          <w:tcPr>
            <w:tcW w:w="8095" w:type="dxa"/>
            <w:gridSpan w:val="5"/>
            <w:tcBorders>
              <w:top w:val="nil"/>
              <w:left w:val="nil"/>
              <w:bottom w:val="nil"/>
              <w:right w:val="nil"/>
            </w:tcBorders>
            <w:vAlign w:val="center"/>
          </w:tcPr>
          <w:p>
            <w:pPr>
              <w:jc w:val="center"/>
              <w:rPr>
                <w:rFonts w:ascii="方正小标宋简体" w:hAnsi="方正小标宋_GBK" w:eastAsia="方正小标宋简体" w:cs="方正小标宋_GBK"/>
                <w:b/>
                <w:bCs/>
                <w:color w:val="000000"/>
                <w:sz w:val="36"/>
                <w:szCs w:val="36"/>
              </w:rPr>
            </w:pPr>
            <w:r>
              <w:rPr>
                <w:rFonts w:hint="eastAsia" w:ascii="方正小标宋简体" w:hAnsi="方正小标宋_GBK" w:eastAsia="方正小标宋简体" w:cs="方正小标宋_GBK"/>
                <w:bCs/>
                <w:color w:val="000000"/>
                <w:sz w:val="36"/>
                <w:szCs w:val="36"/>
              </w:rPr>
              <w:t>三、事中事后监管制度</w:t>
            </w:r>
          </w:p>
          <w:p>
            <w:pPr>
              <w:spacing w:line="560" w:lineRule="exact"/>
              <w:ind w:firstLine="630" w:firstLineChars="196"/>
              <w:rPr>
                <w:rFonts w:ascii="楷体_GB2312" w:hAnsi="楷体" w:eastAsia="楷体_GB2312" w:cs="黑体"/>
                <w:b/>
                <w:bCs/>
                <w:color w:val="000000"/>
                <w:szCs w:val="32"/>
              </w:rPr>
            </w:pPr>
            <w:r>
              <w:rPr>
                <w:rFonts w:hint="eastAsia" w:ascii="楷体_GB2312" w:hAnsi="楷体" w:eastAsia="楷体_GB2312" w:cs="黑体"/>
                <w:b/>
                <w:bCs/>
                <w:color w:val="000000"/>
                <w:szCs w:val="32"/>
              </w:rPr>
              <w:t>（一）对我委审批、核准、备案的固定资产投资项目的监管</w:t>
            </w:r>
          </w:p>
          <w:p>
            <w:pPr>
              <w:spacing w:line="560" w:lineRule="exact"/>
              <w:rPr>
                <w:rFonts w:ascii="仿宋_GB2312" w:hAnsi="楷体" w:cs="楷体"/>
                <w:b/>
                <w:bCs/>
                <w:color w:val="000000"/>
                <w:szCs w:val="32"/>
              </w:rPr>
            </w:pPr>
            <w:r>
              <w:rPr>
                <w:rFonts w:hint="eastAsia" w:ascii="仿宋_GB2312" w:hAnsi="仿宋_GB2312" w:cs="仿宋_GB2312"/>
                <w:b/>
                <w:color w:val="000000"/>
                <w:szCs w:val="32"/>
              </w:rPr>
              <w:t xml:space="preserve">   </w:t>
            </w:r>
            <w:r>
              <w:rPr>
                <w:rFonts w:hint="eastAsia" w:ascii="仿宋_GB2312" w:hAnsi="楷体" w:cs="楷体"/>
                <w:b/>
                <w:bCs/>
                <w:color w:val="000000"/>
                <w:szCs w:val="32"/>
              </w:rPr>
              <w:t xml:space="preserve"> 1.监督检查对象</w:t>
            </w:r>
          </w:p>
          <w:p>
            <w:pPr>
              <w:spacing w:line="560" w:lineRule="exact"/>
              <w:rPr>
                <w:rFonts w:ascii="仿宋_GB2312" w:hAnsi="仿宋_GB2312" w:cs="仿宋_GB2312"/>
                <w:bCs/>
                <w:color w:val="000000"/>
                <w:szCs w:val="32"/>
              </w:rPr>
            </w:pPr>
            <w:r>
              <w:rPr>
                <w:rFonts w:hint="eastAsia" w:ascii="仿宋_GB2312" w:hAnsi="仿宋_GB2312" w:cs="仿宋_GB2312"/>
                <w:color w:val="000000"/>
                <w:szCs w:val="32"/>
              </w:rPr>
              <w:t xml:space="preserve">    项目申报单位、行业管理部门、项目单位</w:t>
            </w:r>
          </w:p>
          <w:p>
            <w:pPr>
              <w:spacing w:line="560" w:lineRule="exact"/>
              <w:rPr>
                <w:rFonts w:ascii="仿宋_GB2312" w:hAnsi="仿宋_GB2312" w:cs="仿宋_GB2312"/>
                <w:b/>
                <w:bCs/>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bCs/>
                <w:color w:val="000000"/>
                <w:szCs w:val="32"/>
              </w:rPr>
              <w:t xml:space="preserve"> 2.监督检查内容</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项目的合法性及报批或报核程序执行情况：</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（1）项目是否符合法律法规规章要求，是否列入规划或符合规划精神；</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（2）检查项目申报及审批、核准、备案的合规性；</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（3）项目建议书及可行性研究报告（或项目申请报告）编制是否符合规范并达到深度要求；</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（4）项目选址审查、用地审批、节能审查、环评审批等资料和审批文件是否符合有关规定；</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（5）项目法人责任制是否完善，项目法人各项规章制度是否健全；</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（6）建设资金承诺或拼盘方案是否合理；</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（7）党委、政府及项目主管部门的决策情况，包括有关项目建设的决定、会议纪要及其它文件情况；</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（8）项目建议书及可行性研究批复或项目申请报告核准是否符合程序规范。</w:t>
            </w:r>
          </w:p>
          <w:p>
            <w:pPr>
              <w:spacing w:line="560" w:lineRule="exact"/>
              <w:rPr>
                <w:rFonts w:ascii="仿宋_GB2312" w:hAnsi="仿宋_GB2312" w:cs="仿宋_GB2312"/>
                <w:b/>
                <w:bCs/>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
                <w:color w:val="000000"/>
                <w:szCs w:val="32"/>
              </w:rPr>
              <w:t xml:space="preserve"> </w:t>
            </w:r>
            <w:r>
              <w:rPr>
                <w:rFonts w:hint="eastAsia" w:ascii="仿宋_GB2312" w:hAnsi="楷体" w:cs="楷体"/>
                <w:b/>
                <w:bCs/>
                <w:color w:val="000000"/>
                <w:szCs w:val="32"/>
              </w:rPr>
              <w:t>3.监督检查方式</w:t>
            </w:r>
          </w:p>
          <w:p>
            <w:pPr>
              <w:spacing w:line="560" w:lineRule="exact"/>
              <w:rPr>
                <w:rFonts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Cs/>
                <w:color w:val="000000"/>
                <w:szCs w:val="32"/>
              </w:rPr>
              <w:t>（1）</w:t>
            </w:r>
            <w:r>
              <w:rPr>
                <w:rFonts w:hint="eastAsia" w:ascii="仿宋_GB2312" w:hAnsi="仿宋_GB2312" w:cs="仿宋_GB2312"/>
                <w:color w:val="000000"/>
                <w:szCs w:val="32"/>
              </w:rPr>
              <w:t>定期检查；</w:t>
            </w:r>
          </w:p>
          <w:p>
            <w:pPr>
              <w:spacing w:line="560" w:lineRule="exact"/>
              <w:rPr>
                <w:rFonts w:ascii="仿宋_GB2312" w:hAnsi="仿宋_GB2312" w:cs="仿宋_GB2312"/>
                <w:bCs/>
                <w:color w:val="000000"/>
                <w:szCs w:val="32"/>
              </w:rPr>
            </w:pPr>
            <w:r>
              <w:rPr>
                <w:rFonts w:hint="eastAsia" w:ascii="仿宋_GB2312" w:hAnsi="仿宋_GB2312" w:cs="仿宋_GB2312"/>
                <w:color w:val="000000"/>
                <w:szCs w:val="32"/>
              </w:rPr>
              <w:t xml:space="preserve">    </w:t>
            </w:r>
            <w:r>
              <w:rPr>
                <w:rFonts w:hint="eastAsia" w:ascii="仿宋_GB2312" w:hAnsi="仿宋_GB2312" w:cs="仿宋_GB2312"/>
                <w:bCs/>
                <w:color w:val="000000"/>
                <w:szCs w:val="32"/>
              </w:rPr>
              <w:t>（2）</w:t>
            </w:r>
            <w:r>
              <w:rPr>
                <w:rFonts w:hint="eastAsia" w:ascii="仿宋_GB2312" w:hAnsi="仿宋_GB2312" w:cs="仿宋_GB2312"/>
                <w:color w:val="000000"/>
                <w:szCs w:val="32"/>
              </w:rPr>
              <w:t>不定期检查。</w:t>
            </w:r>
          </w:p>
          <w:p>
            <w:pPr>
              <w:spacing w:line="560" w:lineRule="exact"/>
              <w:rPr>
                <w:rFonts w:ascii="仿宋_GB2312" w:hAnsi="仿宋_GB2312" w:cs="仿宋_GB2312"/>
                <w:b/>
                <w:bCs/>
                <w:color w:val="000000"/>
                <w:szCs w:val="32"/>
              </w:rPr>
            </w:pPr>
            <w:r>
              <w:rPr>
                <w:rFonts w:hint="eastAsia" w:ascii="仿宋_GB2312" w:hAnsi="仿宋_GB2312" w:cs="仿宋_GB2312"/>
                <w:bCs/>
                <w:color w:val="000000"/>
                <w:szCs w:val="32"/>
              </w:rPr>
              <w:t xml:space="preserve">  </w:t>
            </w:r>
            <w:r>
              <w:rPr>
                <w:rFonts w:hint="eastAsia" w:ascii="仿宋_GB2312" w:hAnsi="仿宋_GB2312" w:cs="仿宋_GB2312"/>
                <w:b/>
                <w:bCs/>
                <w:color w:val="000000"/>
                <w:szCs w:val="32"/>
              </w:rPr>
              <w:t xml:space="preserve">  4.</w:t>
            </w:r>
            <w:r>
              <w:rPr>
                <w:rFonts w:hint="eastAsia" w:ascii="仿宋_GB2312" w:hAnsi="仿宋_GB2312" w:cs="仿宋_GB2312"/>
                <w:b/>
                <w:color w:val="000000"/>
                <w:szCs w:val="32"/>
              </w:rPr>
              <w:t>监督检查程序</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项目监督检查要先行制定检查方案，通常按以下程序进行：</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（1）选择检查对象；</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（2）下发通知；</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（3）听取介绍；</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（4）查阅台帐；</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（5）实地勘察；</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（6）面谈询问；</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（7）情况汇总；</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（8）反馈意见，通报检查结果，对需要协调解决的事项提出建议意见。</w:t>
            </w:r>
          </w:p>
          <w:p>
            <w:pPr>
              <w:spacing w:line="560" w:lineRule="exact"/>
              <w:rPr>
                <w:rFonts w:ascii="仿宋_GB2312" w:hAnsi="仿宋_GB2312" w:cs="仿宋_GB2312"/>
                <w:b/>
                <w:bCs/>
                <w:color w:val="000000"/>
                <w:szCs w:val="32"/>
              </w:rPr>
            </w:pPr>
            <w:r>
              <w:rPr>
                <w:rFonts w:hint="eastAsia" w:ascii="仿宋_GB2312" w:hAnsi="仿宋_GB2312" w:cs="仿宋_GB2312"/>
                <w:bCs/>
                <w:color w:val="000000"/>
                <w:szCs w:val="32"/>
              </w:rPr>
              <w:t xml:space="preserve">   </w:t>
            </w:r>
            <w:r>
              <w:rPr>
                <w:rFonts w:hint="eastAsia" w:ascii="楷体" w:hAnsi="楷体" w:eastAsia="楷体" w:cs="楷体"/>
                <w:b/>
                <w:color w:val="000000"/>
                <w:szCs w:val="32"/>
              </w:rPr>
              <w:t xml:space="preserve"> </w:t>
            </w:r>
            <w:r>
              <w:rPr>
                <w:rFonts w:hint="eastAsia" w:ascii="仿宋_GB2312" w:hAnsi="楷体" w:cs="楷体"/>
                <w:b/>
                <w:color w:val="000000"/>
                <w:szCs w:val="32"/>
              </w:rPr>
              <w:t>5.监督检查措施</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（1）定期检查一般一年一次，可结合项目稽察开展普查或抽查；</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（2）不定期检查一般根据上级工作部署、投诉举报及领导指示等实际需要组织检查，通常采用抽查、暗查、交叉检查等方式。</w:t>
            </w:r>
          </w:p>
          <w:p>
            <w:pPr>
              <w:spacing w:line="560" w:lineRule="exact"/>
              <w:rPr>
                <w:rFonts w:ascii="仿宋_GB2312" w:hAnsi="仿宋_GB2312" w:cs="仿宋_GB2312"/>
                <w:b/>
                <w:bCs/>
                <w:color w:val="000000"/>
                <w:szCs w:val="32"/>
              </w:rPr>
            </w:pPr>
            <w:r>
              <w:rPr>
                <w:rFonts w:hint="eastAsia" w:ascii="仿宋_GB2312" w:hAnsi="仿宋_GB2312" w:cs="仿宋_GB2312"/>
                <w:bCs/>
                <w:color w:val="000000"/>
                <w:szCs w:val="32"/>
              </w:rPr>
              <w:t xml:space="preserve">   </w:t>
            </w:r>
            <w:r>
              <w:rPr>
                <w:rFonts w:hint="eastAsia" w:ascii="仿宋_GB2312" w:hAnsi="楷体" w:cs="楷体"/>
                <w:b/>
                <w:color w:val="000000"/>
                <w:szCs w:val="32"/>
              </w:rPr>
              <w:t xml:space="preserve"> 6.监督检查处理</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对违法违规行为，分别对相对人进行以下处置：</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（1）依法不予审批、核准、备案；</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（2）依法撤销审批、核准、备案文件；</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（3）依法责令停止建设；</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（4）依法纳入不良信用记录；</w:t>
            </w:r>
          </w:p>
          <w:p>
            <w:pPr>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 xml:space="preserve">   （5）对行政机关有关责任人给予行政纪律处分或依法追究法律责任，对项目有关责任人员依法追究法律责任。</w:t>
            </w:r>
          </w:p>
          <w:p>
            <w:pPr>
              <w:spacing w:line="560" w:lineRule="exact"/>
              <w:ind w:firstLine="630" w:firstLineChars="196"/>
              <w:rPr>
                <w:rFonts w:ascii="楷体_GB2312" w:hAnsi="楷体" w:eastAsia="楷体_GB2312" w:cs="黑体"/>
                <w:b/>
                <w:bCs/>
                <w:color w:val="000000"/>
                <w:szCs w:val="32"/>
              </w:rPr>
            </w:pPr>
          </w:p>
          <w:p>
            <w:pPr>
              <w:spacing w:line="560" w:lineRule="exact"/>
              <w:ind w:firstLine="630" w:firstLineChars="196"/>
              <w:rPr>
                <w:rFonts w:ascii="楷体_GB2312" w:hAnsi="楷体" w:eastAsia="楷体_GB2312" w:cs="黑体"/>
                <w:b/>
                <w:bCs/>
                <w:color w:val="000000"/>
                <w:szCs w:val="32"/>
              </w:rPr>
            </w:pPr>
            <w:r>
              <w:rPr>
                <w:rFonts w:hint="eastAsia" w:ascii="楷体_GB2312" w:hAnsi="楷体" w:eastAsia="楷体_GB2312" w:cs="黑体"/>
                <w:b/>
                <w:bCs/>
                <w:color w:val="000000"/>
                <w:szCs w:val="32"/>
              </w:rPr>
              <w:t>（二）区重大项目年度投资计划监管</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为加强重大建设项目的监督管理，健全重大项目稽察制度，规范重大建设项目稽察行为，保证工程质量和资金安全,提高投资效益，特制定如下监管制度：</w:t>
            </w:r>
          </w:p>
          <w:p>
            <w:pPr>
              <w:spacing w:line="560" w:lineRule="exact"/>
              <w:rPr>
                <w:rFonts w:ascii="仿宋_GB2312" w:hAnsi="楷体" w:cs="楷体"/>
                <w:b/>
                <w:color w:val="000000"/>
                <w:szCs w:val="32"/>
              </w:rPr>
            </w:pPr>
            <w:r>
              <w:rPr>
                <w:rFonts w:hint="eastAsia" w:ascii="仿宋_GB2312" w:hAnsi="仿宋_GB2312" w:cs="仿宋_GB2312"/>
                <w:bCs/>
                <w:color w:val="000000"/>
                <w:szCs w:val="32"/>
              </w:rPr>
              <w:t xml:space="preserve">    </w:t>
            </w:r>
            <w:r>
              <w:rPr>
                <w:rFonts w:hint="eastAsia" w:ascii="仿宋_GB2312" w:hAnsi="楷体" w:cs="楷体"/>
                <w:b/>
                <w:color w:val="000000"/>
                <w:szCs w:val="32"/>
              </w:rPr>
              <w:t>1.</w:t>
            </w:r>
            <w:r>
              <w:rPr>
                <w:rFonts w:hint="eastAsia" w:ascii="仿宋_GB2312" w:hAnsi="楷体" w:cs="楷体"/>
                <w:b/>
                <w:color w:val="333333"/>
                <w:szCs w:val="32"/>
              </w:rPr>
              <w:t>监督检查对象</w:t>
            </w:r>
          </w:p>
          <w:p>
            <w:pPr>
              <w:spacing w:line="560" w:lineRule="exact"/>
              <w:ind w:firstLine="640" w:firstLineChars="200"/>
              <w:rPr>
                <w:rFonts w:ascii="仿宋_GB2312" w:hAnsi="仿宋_GB2312" w:cs="仿宋_GB2312"/>
                <w:bCs/>
                <w:color w:val="000000"/>
                <w:szCs w:val="32"/>
              </w:rPr>
            </w:pPr>
            <w:r>
              <w:rPr>
                <w:rFonts w:hint="eastAsia" w:ascii="仿宋_GB2312" w:hAnsi="仿宋_GB2312" w:cs="仿宋_GB2312"/>
                <w:color w:val="000000"/>
                <w:szCs w:val="32"/>
              </w:rPr>
              <w:t>项目已经区政府批准纳入区重大项目年度投资计划，包括拟建成项目、在建项目、新开工项目和前期项目。</w:t>
            </w:r>
          </w:p>
          <w:p>
            <w:pPr>
              <w:spacing w:line="560" w:lineRule="exact"/>
              <w:rPr>
                <w:rFonts w:ascii="仿宋_GB2312" w:hAnsi="仿宋_GB2312" w:cs="仿宋_GB2312"/>
                <w:b/>
                <w:bCs/>
                <w:color w:val="000000"/>
                <w:szCs w:val="32"/>
              </w:rPr>
            </w:pPr>
            <w:r>
              <w:rPr>
                <w:rFonts w:hint="eastAsia" w:ascii="仿宋_GB2312" w:hAnsi="仿宋_GB2312" w:cs="仿宋_GB2312"/>
                <w:bCs/>
                <w:color w:val="000000"/>
                <w:szCs w:val="32"/>
              </w:rPr>
              <w:t xml:space="preserve">   </w:t>
            </w:r>
            <w:r>
              <w:rPr>
                <w:rFonts w:hint="eastAsia" w:ascii="楷体" w:hAnsi="楷体" w:eastAsia="楷体" w:cs="楷体"/>
                <w:b/>
                <w:color w:val="000000"/>
                <w:szCs w:val="32"/>
              </w:rPr>
              <w:t xml:space="preserve"> </w:t>
            </w:r>
            <w:r>
              <w:rPr>
                <w:rFonts w:hint="eastAsia" w:ascii="仿宋_GB2312" w:hAnsi="楷体" w:cs="楷体"/>
                <w:b/>
                <w:color w:val="000000"/>
                <w:szCs w:val="32"/>
              </w:rPr>
              <w:t>2.监督检查内容</w:t>
            </w:r>
          </w:p>
          <w:p>
            <w:pPr>
              <w:spacing w:line="560" w:lineRule="exact"/>
              <w:ind w:firstLine="640" w:firstLineChars="200"/>
              <w:rPr>
                <w:rFonts w:ascii="仿宋_GB2312" w:hAnsi="仿宋_GB2312" w:cs="仿宋_GB2312"/>
                <w:bCs/>
                <w:color w:val="000000"/>
                <w:szCs w:val="32"/>
              </w:rPr>
            </w:pPr>
            <w:r>
              <w:rPr>
                <w:rFonts w:hint="eastAsia" w:ascii="仿宋_GB2312" w:hAnsi="仿宋_GB2312" w:cs="仿宋_GB2312"/>
                <w:bCs/>
                <w:color w:val="000000"/>
                <w:szCs w:val="32"/>
              </w:rPr>
              <w:t>（1）各有关单位是否按照年度投资计划要求按期完成项目投资任务，是否加强项目实施的进度、质量、资金和安全生产管理；</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（2）是否按照计划形象进度要求推进，是否完成年度投资计划任务，是否按年度投资计划要求如期开工建设；</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（3）各类项目是否按季及时、如实填报项目进展、存在问题、对策建议等情况，并及时上报全区重大项目监测系统。</w:t>
            </w:r>
          </w:p>
          <w:p>
            <w:pPr>
              <w:spacing w:line="560" w:lineRule="exact"/>
              <w:ind w:firstLine="630" w:firstLineChars="196"/>
              <w:rPr>
                <w:rFonts w:ascii="仿宋_GB2312" w:hAnsi="楷体" w:cs="楷体"/>
                <w:b/>
                <w:bCs/>
                <w:color w:val="000000"/>
                <w:szCs w:val="32"/>
              </w:rPr>
            </w:pPr>
            <w:r>
              <w:rPr>
                <w:rFonts w:hint="eastAsia" w:ascii="仿宋_GB2312" w:hAnsi="楷体" w:cs="楷体"/>
                <w:b/>
                <w:bCs/>
                <w:color w:val="000000"/>
                <w:szCs w:val="32"/>
              </w:rPr>
              <w:t>3.监督检查方式</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color w:val="000000"/>
                <w:szCs w:val="32"/>
              </w:rPr>
              <w:t>现场察看，查阅资料数据。必要时可委托具有相应资质、经验的独立第三方中介机构开展监测评估。</w:t>
            </w:r>
          </w:p>
          <w:p>
            <w:pPr>
              <w:spacing w:line="560" w:lineRule="exact"/>
              <w:ind w:firstLine="630" w:firstLineChars="196"/>
              <w:rPr>
                <w:rFonts w:ascii="仿宋_GB2312" w:hAnsi="楷体" w:cs="楷体"/>
                <w:b/>
                <w:color w:val="000000"/>
                <w:szCs w:val="32"/>
              </w:rPr>
            </w:pPr>
            <w:r>
              <w:rPr>
                <w:rFonts w:hint="eastAsia" w:ascii="仿宋_GB2312" w:hAnsi="楷体" w:cs="楷体"/>
                <w:b/>
                <w:color w:val="000000"/>
                <w:szCs w:val="32"/>
              </w:rPr>
              <w:t>4.监督检查程序</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（1）项目列入区重大项目年度投资计划后，下发通知给有关单位，要求填报项目进展情况；</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（2）项目业主按通知要求定期报送项目实施进展情况；</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（3）受委托的第三方监测机构按季开展监测，监测报告送区发改委。</w:t>
            </w:r>
          </w:p>
          <w:p>
            <w:pPr>
              <w:spacing w:line="560" w:lineRule="exact"/>
              <w:ind w:firstLine="630" w:firstLineChars="196"/>
              <w:rPr>
                <w:rFonts w:ascii="仿宋_GB2312" w:hAnsi="楷体" w:cs="楷体"/>
                <w:b/>
                <w:bCs/>
                <w:color w:val="000000"/>
                <w:szCs w:val="32"/>
              </w:rPr>
            </w:pPr>
            <w:r>
              <w:rPr>
                <w:rFonts w:hint="eastAsia" w:ascii="仿宋_GB2312" w:hAnsi="楷体" w:cs="楷体"/>
                <w:b/>
                <w:bCs/>
                <w:color w:val="000000"/>
                <w:szCs w:val="32"/>
              </w:rPr>
              <w:t>5.监督检查措施</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（1）年度投资计划内项目定期上报项目进展情况；</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（2）纳入年度考核。</w:t>
            </w:r>
          </w:p>
          <w:p>
            <w:pPr>
              <w:spacing w:line="560" w:lineRule="exact"/>
              <w:ind w:firstLine="630" w:firstLineChars="196"/>
              <w:rPr>
                <w:rFonts w:ascii="仿宋_GB2312" w:hAnsi="楷体" w:cs="楷体"/>
                <w:b/>
                <w:bCs/>
                <w:color w:val="000000"/>
                <w:szCs w:val="32"/>
              </w:rPr>
            </w:pPr>
            <w:r>
              <w:rPr>
                <w:rFonts w:hint="eastAsia" w:ascii="仿宋_GB2312" w:hAnsi="楷体" w:cs="楷体"/>
                <w:b/>
                <w:bCs/>
                <w:color w:val="000000"/>
                <w:szCs w:val="32"/>
              </w:rPr>
              <w:t>6.监督检查处理</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（1）对年度考核差的单位，以及发现弄虚作假，以瞒报、谎报等方式填报项目进展情况的单位，予以通报批评；</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（2）对年度考核为优秀的单位，报经区政府同意后，予以通报表扬，并给予适当财政资金奖励。</w:t>
            </w:r>
          </w:p>
          <w:p>
            <w:pPr>
              <w:spacing w:line="560" w:lineRule="exact"/>
              <w:ind w:firstLine="630" w:firstLineChars="196"/>
              <w:rPr>
                <w:rFonts w:ascii="楷体_GB2312" w:hAnsi="楷体" w:eastAsia="楷体_GB2312" w:cs="黑体"/>
                <w:b/>
                <w:bCs/>
                <w:color w:val="000000"/>
                <w:szCs w:val="32"/>
              </w:rPr>
            </w:pPr>
          </w:p>
          <w:p>
            <w:pPr>
              <w:spacing w:line="560" w:lineRule="exact"/>
              <w:ind w:firstLine="630" w:firstLineChars="196"/>
              <w:rPr>
                <w:rFonts w:ascii="楷体_GB2312" w:hAnsi="楷体" w:eastAsia="楷体_GB2312" w:cs="黑体"/>
                <w:b/>
                <w:bCs/>
                <w:color w:val="000000"/>
                <w:szCs w:val="32"/>
              </w:rPr>
            </w:pPr>
          </w:p>
          <w:p>
            <w:pPr>
              <w:spacing w:line="560" w:lineRule="exact"/>
              <w:ind w:firstLine="630" w:firstLineChars="196"/>
              <w:rPr>
                <w:rFonts w:ascii="楷体_GB2312" w:hAnsi="楷体" w:eastAsia="楷体_GB2312" w:cs="黑体"/>
                <w:b/>
                <w:bCs/>
                <w:color w:val="000000"/>
                <w:szCs w:val="32"/>
              </w:rPr>
            </w:pPr>
            <w:r>
              <w:rPr>
                <w:rFonts w:hint="eastAsia" w:ascii="楷体_GB2312" w:hAnsi="楷体" w:eastAsia="楷体_GB2312" w:cs="黑体"/>
                <w:b/>
                <w:bCs/>
                <w:color w:val="000000"/>
                <w:szCs w:val="32"/>
              </w:rPr>
              <w:t>（三）工程建设项目招标事项的监督检查</w:t>
            </w:r>
          </w:p>
          <w:p>
            <w:pPr>
              <w:spacing w:line="560" w:lineRule="exact"/>
              <w:ind w:firstLine="793" w:firstLineChars="247"/>
              <w:rPr>
                <w:rFonts w:ascii="仿宋_GB2312" w:hAnsi="楷体" w:cs="楷体"/>
                <w:b/>
                <w:bCs/>
                <w:color w:val="000000"/>
                <w:szCs w:val="32"/>
              </w:rPr>
            </w:pPr>
            <w:r>
              <w:rPr>
                <w:rFonts w:hint="eastAsia" w:ascii="仿宋_GB2312" w:hAnsi="楷体" w:cs="楷体"/>
                <w:b/>
                <w:bCs/>
                <w:color w:val="333333"/>
                <w:szCs w:val="32"/>
              </w:rPr>
              <w:t>1.监督检查对象</w:t>
            </w:r>
          </w:p>
          <w:p>
            <w:pPr>
              <w:spacing w:line="560" w:lineRule="exact"/>
              <w:ind w:firstLine="640" w:firstLineChars="200"/>
              <w:rPr>
                <w:rFonts w:ascii="仿宋_GB2312" w:hAnsi="仿宋_GB2312" w:cs="仿宋_GB2312"/>
                <w:bCs/>
                <w:color w:val="000000"/>
                <w:szCs w:val="32"/>
              </w:rPr>
            </w:pPr>
            <w:r>
              <w:rPr>
                <w:rFonts w:hint="eastAsia" w:ascii="仿宋_GB2312" w:hAnsi="仿宋_GB2312" w:cs="仿宋_GB2312"/>
                <w:color w:val="000000"/>
                <w:szCs w:val="32"/>
              </w:rPr>
              <w:t>区发改委核准、审批的建设项目单位</w:t>
            </w:r>
          </w:p>
          <w:p>
            <w:pPr>
              <w:spacing w:line="560" w:lineRule="exact"/>
              <w:ind w:firstLine="797" w:firstLineChars="248"/>
              <w:rPr>
                <w:rFonts w:ascii="仿宋_GB2312" w:hAnsi="楷体" w:cs="楷体"/>
                <w:b/>
                <w:bCs/>
                <w:color w:val="000000"/>
                <w:szCs w:val="32"/>
              </w:rPr>
            </w:pPr>
            <w:r>
              <w:rPr>
                <w:rFonts w:hint="eastAsia" w:ascii="仿宋_GB2312" w:hAnsi="楷体" w:cs="楷体"/>
                <w:b/>
                <w:bCs/>
                <w:color w:val="000000"/>
                <w:szCs w:val="32"/>
              </w:rPr>
              <w:t>2.监督检查内容</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color w:val="000000"/>
                <w:szCs w:val="32"/>
              </w:rPr>
              <w:t>按规定对建设项目的招标范围、招标方式、招标组织形式进行审查核准。</w:t>
            </w:r>
          </w:p>
          <w:p>
            <w:pPr>
              <w:spacing w:line="560" w:lineRule="exact"/>
              <w:ind w:firstLine="800" w:firstLineChars="249"/>
              <w:rPr>
                <w:rFonts w:ascii="仿宋_GB2312" w:hAnsi="楷体" w:cs="楷体"/>
                <w:b/>
                <w:bCs/>
                <w:color w:val="000000"/>
                <w:szCs w:val="32"/>
              </w:rPr>
            </w:pPr>
            <w:r>
              <w:rPr>
                <w:rFonts w:hint="eastAsia" w:ascii="仿宋_GB2312" w:hAnsi="楷体" w:cs="楷体"/>
                <w:b/>
                <w:bCs/>
                <w:color w:val="000000"/>
                <w:szCs w:val="32"/>
              </w:rPr>
              <w:t>3.监督检查方式</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color w:val="000000"/>
                <w:szCs w:val="32"/>
              </w:rPr>
              <w:t>定时开展检查，或者接受有关的投诉、举报，监督对招标事项核准的执行情况。</w:t>
            </w:r>
          </w:p>
          <w:p>
            <w:pPr>
              <w:spacing w:line="560" w:lineRule="exact"/>
              <w:ind w:firstLine="800" w:firstLineChars="249"/>
              <w:rPr>
                <w:rFonts w:ascii="仿宋_GB2312" w:hAnsi="楷体" w:cs="楷体"/>
                <w:b/>
                <w:color w:val="000000"/>
                <w:szCs w:val="32"/>
              </w:rPr>
            </w:pPr>
            <w:r>
              <w:rPr>
                <w:rFonts w:hint="eastAsia" w:ascii="仿宋_GB2312" w:hAnsi="楷体" w:cs="楷体"/>
                <w:b/>
                <w:color w:val="000000"/>
                <w:szCs w:val="32"/>
              </w:rPr>
              <w:t>4.监督检查程序</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（1）选定监督检查对象，下达监督检查通知；</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（2）组织专业人员进行现场察看、查阅文件资料等；</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（3）根据情况作出相应处理。</w:t>
            </w:r>
          </w:p>
          <w:p>
            <w:pPr>
              <w:spacing w:line="560" w:lineRule="exact"/>
              <w:ind w:firstLine="800" w:firstLineChars="249"/>
              <w:rPr>
                <w:rFonts w:ascii="仿宋_GB2312" w:hAnsi="楷体" w:cs="楷体"/>
                <w:b/>
                <w:color w:val="000000"/>
                <w:szCs w:val="32"/>
              </w:rPr>
            </w:pPr>
            <w:r>
              <w:rPr>
                <w:rFonts w:hint="eastAsia" w:ascii="仿宋_GB2312" w:hAnsi="楷体" w:cs="楷体"/>
                <w:b/>
                <w:color w:val="000000"/>
                <w:szCs w:val="32"/>
              </w:rPr>
              <w:t>5.监督检查措施</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color w:val="000000"/>
                <w:szCs w:val="32"/>
              </w:rPr>
              <w:t>在对建设项目的日常监督中检查招标行为是否符合审批的内容。</w:t>
            </w:r>
          </w:p>
          <w:p>
            <w:pPr>
              <w:spacing w:line="560" w:lineRule="exact"/>
              <w:ind w:firstLine="845" w:firstLineChars="263"/>
              <w:rPr>
                <w:rFonts w:ascii="仿宋_GB2312" w:hAnsi="楷体" w:cs="楷体"/>
                <w:b/>
                <w:color w:val="000000"/>
                <w:szCs w:val="32"/>
              </w:rPr>
            </w:pPr>
            <w:r>
              <w:rPr>
                <w:rFonts w:hint="eastAsia" w:ascii="仿宋_GB2312" w:hAnsi="楷体" w:cs="楷体"/>
                <w:b/>
                <w:color w:val="000000"/>
                <w:szCs w:val="32"/>
              </w:rPr>
              <w:t>6.监督检查处理</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color w:val="000000"/>
                <w:szCs w:val="32"/>
              </w:rPr>
              <w:t>违反招标事项核准内容进行招标或不招标、未经核准进行招标以及违反中央投资项目招标代理资格管理规定的，按规定进行纠正，并依法进行查处、实施行政处罚。涉嫌违纪、犯罪的，移交纪检、司法部门。</w:t>
            </w:r>
          </w:p>
          <w:p>
            <w:pPr>
              <w:spacing w:line="560" w:lineRule="exact"/>
              <w:ind w:firstLine="630" w:firstLineChars="196"/>
              <w:rPr>
                <w:rFonts w:ascii="楷体_GB2312" w:hAnsi="楷体" w:eastAsia="楷体_GB2312" w:cs="黑体"/>
                <w:b/>
                <w:bCs/>
                <w:color w:val="000000"/>
                <w:szCs w:val="32"/>
              </w:rPr>
            </w:pPr>
          </w:p>
          <w:p>
            <w:pPr>
              <w:spacing w:line="560" w:lineRule="exact"/>
              <w:ind w:firstLine="630" w:firstLineChars="196"/>
              <w:rPr>
                <w:rFonts w:ascii="楷体_GB2312" w:hAnsi="楷体" w:eastAsia="楷体_GB2312" w:cs="黑体"/>
                <w:b/>
                <w:bCs/>
                <w:color w:val="000000"/>
                <w:szCs w:val="32"/>
              </w:rPr>
            </w:pPr>
            <w:r>
              <w:rPr>
                <w:rFonts w:hint="eastAsia" w:ascii="楷体_GB2312" w:hAnsi="楷体" w:eastAsia="楷体_GB2312" w:cs="黑体"/>
                <w:b/>
                <w:bCs/>
                <w:color w:val="000000"/>
                <w:szCs w:val="32"/>
              </w:rPr>
              <w:t>(四)固定资产投资项目节能评估和审查监管</w:t>
            </w:r>
          </w:p>
          <w:p>
            <w:pPr>
              <w:spacing w:line="560" w:lineRule="exact"/>
              <w:ind w:firstLine="793" w:firstLineChars="247"/>
              <w:rPr>
                <w:rFonts w:ascii="仿宋_GB2312" w:hAnsi="楷体" w:cs="楷体"/>
                <w:b/>
                <w:color w:val="000000"/>
                <w:szCs w:val="32"/>
              </w:rPr>
            </w:pPr>
            <w:r>
              <w:rPr>
                <w:rFonts w:hint="eastAsia" w:ascii="仿宋_GB2312" w:hAnsi="楷体" w:cs="楷体"/>
                <w:b/>
                <w:color w:val="333333"/>
                <w:szCs w:val="32"/>
              </w:rPr>
              <w:t>1.监督检查对象</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color w:val="000000"/>
                <w:szCs w:val="32"/>
              </w:rPr>
              <w:t>项目建设单位、中介机构</w:t>
            </w:r>
          </w:p>
          <w:p>
            <w:pPr>
              <w:spacing w:line="560" w:lineRule="exact"/>
              <w:ind w:firstLine="797" w:firstLineChars="248"/>
              <w:rPr>
                <w:rFonts w:ascii="仿宋_GB2312" w:hAnsi="楷体" w:cs="楷体"/>
                <w:b/>
                <w:color w:val="000000"/>
                <w:szCs w:val="32"/>
              </w:rPr>
            </w:pPr>
            <w:r>
              <w:rPr>
                <w:rFonts w:hint="eastAsia" w:ascii="仿宋_GB2312" w:hAnsi="楷体" w:cs="楷体"/>
                <w:b/>
                <w:color w:val="000000"/>
                <w:szCs w:val="32"/>
              </w:rPr>
              <w:t>2.监督检查内容</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根据《中华人民共和国节约能源法》、《固定资产投资项目节能评估和审查暂行办法》（国家发改委令2010年第6号），对固定资产投资项目节能评估和审查制度落实情况进行监管。</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（1）项目是否按规定进行了节能评估审查，并获得通过；</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（2）项目节能评估报告是否符合规范并达到深度要求；</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（3）项目设计、施工及投入使用过程中，节能评估文件及其节能审查意见、节能登记表及其登记备案意见是否得到落实。</w:t>
            </w:r>
          </w:p>
          <w:p>
            <w:pPr>
              <w:spacing w:line="560" w:lineRule="exact"/>
              <w:ind w:firstLine="800" w:firstLineChars="249"/>
              <w:rPr>
                <w:rFonts w:ascii="仿宋_GB2312" w:hAnsi="楷体" w:cs="楷体"/>
                <w:b/>
                <w:color w:val="000000"/>
                <w:szCs w:val="32"/>
              </w:rPr>
            </w:pPr>
            <w:r>
              <w:rPr>
                <w:rFonts w:hint="eastAsia" w:ascii="仿宋_GB2312" w:hAnsi="楷体" w:cs="楷体"/>
                <w:b/>
                <w:color w:val="000000"/>
                <w:szCs w:val="32"/>
              </w:rPr>
              <w:t>3.监督检查方式</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color w:val="000000"/>
                <w:szCs w:val="32"/>
              </w:rPr>
              <w:t>委托相关机构进行检查。</w:t>
            </w:r>
          </w:p>
          <w:p>
            <w:pPr>
              <w:spacing w:line="560" w:lineRule="exact"/>
              <w:ind w:firstLine="800" w:firstLineChars="249"/>
              <w:rPr>
                <w:rFonts w:ascii="仿宋_GB2312" w:hAnsi="楷体" w:cs="楷体"/>
                <w:b/>
                <w:color w:val="000000"/>
                <w:szCs w:val="32"/>
              </w:rPr>
            </w:pPr>
            <w:r>
              <w:rPr>
                <w:rFonts w:hint="eastAsia" w:ascii="仿宋_GB2312" w:hAnsi="楷体" w:cs="楷体"/>
                <w:b/>
                <w:color w:val="000000"/>
                <w:szCs w:val="32"/>
              </w:rPr>
              <w:t>4.监督检查程序</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（1）选择检查对象，下发检查通知，听取介绍，查阅台帐，实地勘察，面谈询问，情况汇总，反馈意见，通报监察结果，根据需要采取进一步措施；</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（2）高耗能项目建成并正常运行3个月以上后，项目申报单位提出验收申请，提交自评报告，节能审查机关组织或委托第三方机构组织进行现场验收。</w:t>
            </w:r>
          </w:p>
          <w:p>
            <w:pPr>
              <w:spacing w:line="560" w:lineRule="exact"/>
              <w:ind w:firstLine="800" w:firstLineChars="249"/>
              <w:rPr>
                <w:rFonts w:ascii="仿宋_GB2312" w:hAnsi="楷体" w:cs="楷体"/>
                <w:b/>
                <w:color w:val="000000"/>
                <w:szCs w:val="32"/>
              </w:rPr>
            </w:pPr>
            <w:r>
              <w:rPr>
                <w:rFonts w:hint="eastAsia" w:ascii="仿宋_GB2312" w:hAnsi="楷体" w:cs="楷体"/>
                <w:b/>
                <w:color w:val="000000"/>
                <w:szCs w:val="32"/>
              </w:rPr>
              <w:t>5.监督检查措施</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（1）对已建成的高耗能项目进行节能验收；</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（2）根据上级工作部署、投诉举报等实际需要组织现场检查。</w:t>
            </w:r>
          </w:p>
          <w:p>
            <w:pPr>
              <w:spacing w:line="560" w:lineRule="exact"/>
              <w:ind w:firstLine="845" w:firstLineChars="263"/>
              <w:rPr>
                <w:rFonts w:ascii="仿宋_GB2312" w:hAnsi="楷体" w:cs="楷体"/>
                <w:b/>
                <w:bCs/>
                <w:color w:val="000000"/>
                <w:szCs w:val="32"/>
              </w:rPr>
            </w:pPr>
            <w:r>
              <w:rPr>
                <w:rFonts w:hint="eastAsia" w:ascii="仿宋_GB2312" w:hAnsi="楷体" w:cs="楷体"/>
                <w:b/>
                <w:bCs/>
                <w:color w:val="000000"/>
                <w:szCs w:val="32"/>
              </w:rPr>
              <w:t>6.监督检查处理</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对违法违规行为，分别对相对人进行以下处置：</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（1）项目建设单位以拆分项目、提供虚假材料等不正当手段通过节能审查的，撤销对项目的节能审查意见或节能登记备案意见，由项目审批、核准机关撤销对项目的审批或核准；</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（2）节能评估编制机构弄虚作假，导致节能评估文件内容失实的，责令改正；</w:t>
            </w:r>
          </w:p>
          <w:p>
            <w:pPr>
              <w:spacing w:line="560" w:lineRule="exact"/>
              <w:ind w:firstLine="627" w:firstLineChars="196"/>
              <w:rPr>
                <w:rFonts w:ascii="仿宋_GB2312" w:hAnsi="仿宋_GB2312" w:cs="仿宋_GB2312"/>
                <w:bCs/>
                <w:color w:val="000000"/>
                <w:szCs w:val="32"/>
              </w:rPr>
            </w:pPr>
            <w:r>
              <w:rPr>
                <w:rFonts w:hint="eastAsia" w:ascii="仿宋_GB2312" w:hAnsi="仿宋_GB2312" w:cs="仿宋_GB2312"/>
                <w:bCs/>
                <w:color w:val="000000"/>
                <w:szCs w:val="32"/>
              </w:rPr>
              <w:t>（3）未按规定进行节能评估和审查，或节能审查未获通过，擅自开工建设或擅自投入生产、使用的固定资产投资项目，责令停止建设或停止生产、使用，限期改造；不能改造或预期不改造的生产性项目，报请区人民政府按照国务院规定的权限责令关闭；并依法追究有关责任人的责任。</w:t>
            </w:r>
          </w:p>
          <w:p>
            <w:pPr>
              <w:spacing w:line="560" w:lineRule="exact"/>
              <w:rPr>
                <w:rFonts w:ascii="宋体" w:hAnsi="宋体" w:cs="宋体"/>
                <w:bCs/>
                <w:color w:val="000000"/>
                <w:sz w:val="30"/>
                <w:szCs w:val="30"/>
              </w:rPr>
            </w:pPr>
          </w:p>
        </w:tc>
      </w:tr>
      <w:tr>
        <w:tblPrEx>
          <w:tblLayout w:type="fixed"/>
          <w:tblCellMar>
            <w:top w:w="0" w:type="dxa"/>
            <w:left w:w="108" w:type="dxa"/>
            <w:bottom w:w="0" w:type="dxa"/>
            <w:right w:w="108" w:type="dxa"/>
          </w:tblCellMar>
        </w:tblPrEx>
        <w:trPr>
          <w:trHeight w:val="930" w:hRule="atLeast"/>
        </w:trPr>
        <w:tc>
          <w:tcPr>
            <w:tcW w:w="8095" w:type="dxa"/>
            <w:gridSpan w:val="5"/>
            <w:tcBorders>
              <w:top w:val="nil"/>
              <w:left w:val="nil"/>
              <w:bottom w:val="single" w:color="auto" w:sz="4" w:space="0"/>
              <w:right w:val="nil"/>
            </w:tcBorders>
            <w:vAlign w:val="center"/>
          </w:tcPr>
          <w:p>
            <w:pPr>
              <w:jc w:val="center"/>
              <w:rPr>
                <w:rFonts w:ascii="方正小标宋简体" w:hAnsi="宋体" w:eastAsia="方正小标宋简体" w:cs="宋体"/>
                <w:color w:val="000000"/>
                <w:sz w:val="36"/>
                <w:szCs w:val="36"/>
              </w:rPr>
            </w:pPr>
            <w:r>
              <w:rPr>
                <w:rFonts w:hint="eastAsia" w:ascii="方正小标宋简体" w:hAnsi="方正小标宋_GBK" w:eastAsia="方正小标宋简体" w:cs="方正小标宋_GBK"/>
                <w:color w:val="000000"/>
                <w:sz w:val="36"/>
                <w:szCs w:val="36"/>
              </w:rPr>
              <w:t>四、公共服务事项登记表</w:t>
            </w:r>
          </w:p>
        </w:tc>
      </w:tr>
      <w:tr>
        <w:tblPrEx>
          <w:tblLayout w:type="fixed"/>
          <w:tblCellMar>
            <w:top w:w="0" w:type="dxa"/>
            <w:left w:w="108" w:type="dxa"/>
            <w:bottom w:w="0" w:type="dxa"/>
            <w:right w:w="108" w:type="dxa"/>
          </w:tblCellMar>
        </w:tblPrEx>
        <w:trPr>
          <w:trHeight w:val="945" w:hRule="atLeast"/>
        </w:trPr>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b/>
                <w:color w:val="000000"/>
                <w:sz w:val="21"/>
                <w:szCs w:val="21"/>
              </w:rPr>
            </w:pPr>
            <w:r>
              <w:rPr>
                <w:rFonts w:hint="eastAsia" w:cs="仿宋_GB2312" w:asciiTheme="minorEastAsia" w:hAnsiTheme="minorEastAsia" w:eastAsiaTheme="minorEastAsia"/>
                <w:b/>
                <w:color w:val="000000"/>
                <w:sz w:val="21"/>
                <w:szCs w:val="21"/>
              </w:rPr>
              <w:t>序号</w:t>
            </w:r>
          </w:p>
        </w:tc>
        <w:tc>
          <w:tcPr>
            <w:tcW w:w="1517" w:type="dxa"/>
            <w:tcBorders>
              <w:top w:val="single" w:color="auto" w:sz="4" w:space="0"/>
              <w:left w:val="nil"/>
              <w:bottom w:val="single" w:color="auto" w:sz="4" w:space="0"/>
              <w:right w:val="single" w:color="auto" w:sz="4" w:space="0"/>
            </w:tcBorders>
            <w:vAlign w:val="center"/>
          </w:tcPr>
          <w:p>
            <w:pPr>
              <w:jc w:val="center"/>
              <w:rPr>
                <w:rFonts w:cs="仿宋_GB2312" w:asciiTheme="minorEastAsia" w:hAnsiTheme="minorEastAsia" w:eastAsiaTheme="minorEastAsia"/>
                <w:b/>
                <w:color w:val="000000"/>
                <w:sz w:val="21"/>
                <w:szCs w:val="21"/>
              </w:rPr>
            </w:pPr>
            <w:r>
              <w:rPr>
                <w:rFonts w:hint="eastAsia" w:cs="仿宋_GB2312" w:asciiTheme="minorEastAsia" w:hAnsiTheme="minorEastAsia" w:eastAsiaTheme="minorEastAsia"/>
                <w:b/>
                <w:color w:val="000000"/>
                <w:sz w:val="21"/>
                <w:szCs w:val="21"/>
              </w:rPr>
              <w:t>服务事项</w:t>
            </w:r>
          </w:p>
        </w:tc>
        <w:tc>
          <w:tcPr>
            <w:tcW w:w="2235" w:type="dxa"/>
            <w:tcBorders>
              <w:top w:val="single" w:color="auto" w:sz="4" w:space="0"/>
              <w:left w:val="nil"/>
              <w:bottom w:val="single" w:color="auto" w:sz="4" w:space="0"/>
              <w:right w:val="single" w:color="auto" w:sz="4" w:space="0"/>
            </w:tcBorders>
            <w:vAlign w:val="center"/>
          </w:tcPr>
          <w:p>
            <w:pPr>
              <w:jc w:val="center"/>
              <w:rPr>
                <w:rFonts w:cs="仿宋_GB2312" w:asciiTheme="minorEastAsia" w:hAnsiTheme="minorEastAsia" w:eastAsiaTheme="minorEastAsia"/>
                <w:b/>
                <w:color w:val="000000"/>
                <w:sz w:val="21"/>
                <w:szCs w:val="21"/>
              </w:rPr>
            </w:pPr>
            <w:r>
              <w:rPr>
                <w:rFonts w:hint="eastAsia" w:cs="仿宋_GB2312" w:asciiTheme="minorEastAsia" w:hAnsiTheme="minorEastAsia" w:eastAsiaTheme="minorEastAsia"/>
                <w:b/>
                <w:color w:val="000000"/>
                <w:sz w:val="21"/>
                <w:szCs w:val="21"/>
              </w:rPr>
              <w:t>主要内容</w:t>
            </w:r>
          </w:p>
        </w:tc>
        <w:tc>
          <w:tcPr>
            <w:tcW w:w="1760" w:type="dxa"/>
            <w:tcBorders>
              <w:top w:val="single" w:color="auto" w:sz="4" w:space="0"/>
              <w:left w:val="nil"/>
              <w:bottom w:val="single" w:color="auto" w:sz="4" w:space="0"/>
              <w:right w:val="single" w:color="auto" w:sz="4" w:space="0"/>
            </w:tcBorders>
            <w:vAlign w:val="center"/>
          </w:tcPr>
          <w:p>
            <w:pPr>
              <w:jc w:val="center"/>
              <w:rPr>
                <w:rFonts w:cs="仿宋_GB2312" w:asciiTheme="minorEastAsia" w:hAnsiTheme="minorEastAsia" w:eastAsiaTheme="minorEastAsia"/>
                <w:b/>
                <w:color w:val="000000"/>
                <w:sz w:val="21"/>
                <w:szCs w:val="21"/>
              </w:rPr>
            </w:pPr>
            <w:r>
              <w:rPr>
                <w:rFonts w:hint="eastAsia" w:cs="仿宋_GB2312" w:asciiTheme="minorEastAsia" w:hAnsiTheme="minorEastAsia" w:eastAsiaTheme="minorEastAsia"/>
                <w:b/>
                <w:color w:val="000000"/>
                <w:sz w:val="21"/>
                <w:szCs w:val="21"/>
              </w:rPr>
              <w:t>承办机构</w:t>
            </w:r>
          </w:p>
        </w:tc>
        <w:tc>
          <w:tcPr>
            <w:tcW w:w="1559" w:type="dxa"/>
            <w:tcBorders>
              <w:top w:val="single" w:color="auto" w:sz="4" w:space="0"/>
              <w:left w:val="nil"/>
              <w:bottom w:val="single" w:color="auto" w:sz="4" w:space="0"/>
              <w:right w:val="single" w:color="auto" w:sz="4" w:space="0"/>
            </w:tcBorders>
            <w:vAlign w:val="center"/>
          </w:tcPr>
          <w:p>
            <w:pPr>
              <w:jc w:val="center"/>
              <w:rPr>
                <w:rFonts w:cs="仿宋_GB2312" w:asciiTheme="minorEastAsia" w:hAnsiTheme="minorEastAsia" w:eastAsiaTheme="minorEastAsia"/>
                <w:b/>
                <w:color w:val="000000"/>
                <w:sz w:val="21"/>
                <w:szCs w:val="21"/>
              </w:rPr>
            </w:pPr>
            <w:r>
              <w:rPr>
                <w:rFonts w:hint="eastAsia" w:cs="仿宋_GB2312" w:asciiTheme="minorEastAsia" w:hAnsiTheme="minorEastAsia" w:eastAsiaTheme="minorEastAsia"/>
                <w:b/>
                <w:color w:val="000000"/>
                <w:sz w:val="21"/>
                <w:szCs w:val="21"/>
              </w:rPr>
              <w:t>联系电话</w:t>
            </w:r>
          </w:p>
        </w:tc>
      </w:tr>
      <w:tr>
        <w:tblPrEx>
          <w:tblLayout w:type="fixed"/>
          <w:tblCellMar>
            <w:top w:w="0" w:type="dxa"/>
            <w:left w:w="108" w:type="dxa"/>
            <w:bottom w:w="0" w:type="dxa"/>
            <w:right w:w="108" w:type="dxa"/>
          </w:tblCellMar>
        </w:tblPrEx>
        <w:trPr>
          <w:trHeight w:val="2780" w:hRule="atLeast"/>
        </w:trPr>
        <w:tc>
          <w:tcPr>
            <w:tcW w:w="1024" w:type="dxa"/>
            <w:tcBorders>
              <w:top w:val="nil"/>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w:t>
            </w:r>
          </w:p>
        </w:tc>
        <w:tc>
          <w:tcPr>
            <w:tcW w:w="1517" w:type="dxa"/>
            <w:tcBorders>
              <w:top w:val="nil"/>
              <w:left w:val="nil"/>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全区固定资产投资状况分析预测与解释</w:t>
            </w:r>
          </w:p>
        </w:tc>
        <w:tc>
          <w:tcPr>
            <w:tcW w:w="2235" w:type="dxa"/>
            <w:tcBorders>
              <w:top w:val="nil"/>
              <w:left w:val="nil"/>
              <w:bottom w:val="single" w:color="auto" w:sz="4" w:space="0"/>
              <w:right w:val="single" w:color="auto" w:sz="4" w:space="0"/>
            </w:tcBorders>
            <w:vAlign w:val="center"/>
          </w:tcPr>
          <w:p>
            <w:pPr>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对全区固定资产投资运行状况进行监测分析，对未来运行趋势进行研判，对有关情况进行解释说明</w:t>
            </w:r>
          </w:p>
        </w:tc>
        <w:tc>
          <w:tcPr>
            <w:tcW w:w="1760" w:type="dxa"/>
            <w:tcBorders>
              <w:top w:val="nil"/>
              <w:left w:val="nil"/>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崖州区发展和改革委员会</w:t>
            </w:r>
          </w:p>
        </w:tc>
        <w:tc>
          <w:tcPr>
            <w:tcW w:w="1559" w:type="dxa"/>
            <w:tcBorders>
              <w:top w:val="nil"/>
              <w:left w:val="nil"/>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88822092</w:t>
            </w:r>
          </w:p>
        </w:tc>
      </w:tr>
      <w:tr>
        <w:tblPrEx>
          <w:tblLayout w:type="fixed"/>
          <w:tblCellMar>
            <w:top w:w="0" w:type="dxa"/>
            <w:left w:w="108" w:type="dxa"/>
            <w:bottom w:w="0" w:type="dxa"/>
            <w:right w:w="108" w:type="dxa"/>
          </w:tblCellMar>
        </w:tblPrEx>
        <w:trPr>
          <w:trHeight w:val="2394" w:hRule="atLeast"/>
        </w:trPr>
        <w:tc>
          <w:tcPr>
            <w:tcW w:w="1024" w:type="dxa"/>
            <w:tcBorders>
              <w:top w:val="nil"/>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2</w:t>
            </w:r>
          </w:p>
        </w:tc>
        <w:tc>
          <w:tcPr>
            <w:tcW w:w="1517" w:type="dxa"/>
            <w:tcBorders>
              <w:top w:val="nil"/>
              <w:left w:val="nil"/>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提供价格公共服务</w:t>
            </w:r>
          </w:p>
        </w:tc>
        <w:tc>
          <w:tcPr>
            <w:tcW w:w="2235" w:type="dxa"/>
            <w:tcBorders>
              <w:top w:val="nil"/>
              <w:left w:val="nil"/>
              <w:bottom w:val="single" w:color="auto" w:sz="4" w:space="0"/>
              <w:right w:val="single" w:color="auto" w:sz="4" w:space="0"/>
            </w:tcBorders>
            <w:vAlign w:val="center"/>
          </w:tcPr>
          <w:p>
            <w:pPr>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做好价格政务公开、价格监测和成本调查信息的发布、指导企业价格自律等</w:t>
            </w:r>
          </w:p>
        </w:tc>
        <w:tc>
          <w:tcPr>
            <w:tcW w:w="1760" w:type="dxa"/>
            <w:tcBorders>
              <w:top w:val="nil"/>
              <w:left w:val="nil"/>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崖州区发展和改革委员会</w:t>
            </w:r>
          </w:p>
        </w:tc>
        <w:tc>
          <w:tcPr>
            <w:tcW w:w="1559" w:type="dxa"/>
            <w:tcBorders>
              <w:top w:val="nil"/>
              <w:left w:val="nil"/>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88822092</w:t>
            </w:r>
          </w:p>
        </w:tc>
      </w:tr>
    </w:tbl>
    <w:p>
      <w:pPr>
        <w:pStyle w:val="2"/>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dVpA6wAQAA&#10;TgMAAA4AAAAAAAAAAQAgAAAAHgEAAGRycy9lMm9Eb2MueG1sUEsFBgAAAAAGAAYAWQEAAEAFAAAA&#10;AA==&#10;">
          <v:path/>
          <v:fill on="f" focussize="0,0"/>
          <v:stroke on="f" joinstyle="miter"/>
          <v:imagedata o:title=""/>
          <o:lock v:ext="edit"/>
          <v:textbox inset="0mm,0mm,0mm,0mm" style="mso-fit-shape-to-text:t;">
            <w:txbxContent>
              <w:p>
                <w:pPr>
                  <w:snapToGrid w:val="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asciiTheme="minorEastAsia" w:hAnsiTheme="minorEastAsia" w:eastAsiaTheme="minorEastAsia" w:cstheme="minorEastAsia"/>
                    <w:sz w:val="28"/>
                    <w:szCs w:val="40"/>
                  </w:rPr>
                  <w:t>- 9 -</w:t>
                </w:r>
                <w:r>
                  <w:rPr>
                    <w:rFonts w:hint="eastAsia" w:asciiTheme="minorEastAsia" w:hAnsiTheme="minorEastAsia" w:eastAsiaTheme="minorEastAsia" w:cstheme="minorEastAsia"/>
                    <w:sz w:val="28"/>
                    <w:szCs w:val="40"/>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C31EC"/>
    <w:multiLevelType w:val="singleLevel"/>
    <w:tmpl w:val="4CBC31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307E"/>
    <w:rsid w:val="000305BE"/>
    <w:rsid w:val="00040AB1"/>
    <w:rsid w:val="000B2274"/>
    <w:rsid w:val="002F67C1"/>
    <w:rsid w:val="00432699"/>
    <w:rsid w:val="004E2502"/>
    <w:rsid w:val="004E42F6"/>
    <w:rsid w:val="00561EC3"/>
    <w:rsid w:val="005B307E"/>
    <w:rsid w:val="00671CD0"/>
    <w:rsid w:val="00954EAF"/>
    <w:rsid w:val="00A230D1"/>
    <w:rsid w:val="00A5389F"/>
    <w:rsid w:val="00B619D5"/>
    <w:rsid w:val="00BA53E4"/>
    <w:rsid w:val="00C029C3"/>
    <w:rsid w:val="00C16764"/>
    <w:rsid w:val="00C67358"/>
    <w:rsid w:val="00D64F0A"/>
    <w:rsid w:val="00E52E87"/>
    <w:rsid w:val="00E66DD1"/>
    <w:rsid w:val="00FC38F4"/>
    <w:rsid w:val="00FF3315"/>
    <w:rsid w:val="01546A5A"/>
    <w:rsid w:val="02C04414"/>
    <w:rsid w:val="038C1C4C"/>
    <w:rsid w:val="04046400"/>
    <w:rsid w:val="04D84057"/>
    <w:rsid w:val="05F97E29"/>
    <w:rsid w:val="066B1319"/>
    <w:rsid w:val="06970489"/>
    <w:rsid w:val="08EF55B8"/>
    <w:rsid w:val="0BB005D6"/>
    <w:rsid w:val="0FE66161"/>
    <w:rsid w:val="115C410F"/>
    <w:rsid w:val="12F81701"/>
    <w:rsid w:val="14FF70D9"/>
    <w:rsid w:val="19006D44"/>
    <w:rsid w:val="19CC140B"/>
    <w:rsid w:val="19FB65B5"/>
    <w:rsid w:val="1A7E6B05"/>
    <w:rsid w:val="1ABB268D"/>
    <w:rsid w:val="1C165512"/>
    <w:rsid w:val="1D9C4C7C"/>
    <w:rsid w:val="1E14315F"/>
    <w:rsid w:val="1EC53339"/>
    <w:rsid w:val="1F576EA3"/>
    <w:rsid w:val="1FDC258E"/>
    <w:rsid w:val="20672FD6"/>
    <w:rsid w:val="23082725"/>
    <w:rsid w:val="26125CFE"/>
    <w:rsid w:val="26BC1631"/>
    <w:rsid w:val="27B6002E"/>
    <w:rsid w:val="2879640A"/>
    <w:rsid w:val="28C94636"/>
    <w:rsid w:val="2A153C94"/>
    <w:rsid w:val="2B4757D2"/>
    <w:rsid w:val="2C74066E"/>
    <w:rsid w:val="2D9C2201"/>
    <w:rsid w:val="2E8A5A97"/>
    <w:rsid w:val="302653D6"/>
    <w:rsid w:val="307916BF"/>
    <w:rsid w:val="31054F6A"/>
    <w:rsid w:val="3289357E"/>
    <w:rsid w:val="34F71425"/>
    <w:rsid w:val="36934425"/>
    <w:rsid w:val="397B0046"/>
    <w:rsid w:val="3AEB2DD4"/>
    <w:rsid w:val="3DE67A0F"/>
    <w:rsid w:val="3F694C9C"/>
    <w:rsid w:val="415F09FC"/>
    <w:rsid w:val="4223267E"/>
    <w:rsid w:val="424372E0"/>
    <w:rsid w:val="42606481"/>
    <w:rsid w:val="46645C30"/>
    <w:rsid w:val="48CF2C82"/>
    <w:rsid w:val="4968669E"/>
    <w:rsid w:val="4AA80BD0"/>
    <w:rsid w:val="4FC0348D"/>
    <w:rsid w:val="50E33898"/>
    <w:rsid w:val="53484562"/>
    <w:rsid w:val="538A6088"/>
    <w:rsid w:val="558636C1"/>
    <w:rsid w:val="57C51086"/>
    <w:rsid w:val="5A3203AE"/>
    <w:rsid w:val="5AC33EE3"/>
    <w:rsid w:val="5EF33294"/>
    <w:rsid w:val="602A37A0"/>
    <w:rsid w:val="61EC77DF"/>
    <w:rsid w:val="62C40281"/>
    <w:rsid w:val="63B75454"/>
    <w:rsid w:val="685C1E23"/>
    <w:rsid w:val="68D06D08"/>
    <w:rsid w:val="6AC00F08"/>
    <w:rsid w:val="70746E88"/>
    <w:rsid w:val="713820A0"/>
    <w:rsid w:val="73F47604"/>
    <w:rsid w:val="74283E20"/>
    <w:rsid w:val="75DC31CD"/>
    <w:rsid w:val="78AC6FD9"/>
    <w:rsid w:val="7A4F4F66"/>
    <w:rsid w:val="7B7122DB"/>
    <w:rsid w:val="7CFA3218"/>
    <w:rsid w:val="7E434DFB"/>
    <w:rsid w:val="7EF2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3"/>
    <w:next w:val="1"/>
    <w:unhideWhenUsed/>
    <w:qFormat/>
    <w:uiPriority w:val="0"/>
    <w:pPr>
      <w:keepNext/>
      <w:keepLines/>
      <w:widowControl w:val="0"/>
      <w:spacing w:line="413" w:lineRule="auto"/>
      <w:jc w:val="both"/>
      <w:outlineLvl w:val="2"/>
    </w:pPr>
    <w:rPr>
      <w:rFonts w:ascii="Times New Roman" w:hAnsi="Times New Roman" w:eastAsia="宋体" w:cs="Times New Roman"/>
      <w:b/>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8">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602</Words>
  <Characters>3437</Characters>
  <Lines>28</Lines>
  <Paragraphs>8</Paragraphs>
  <TotalTime>51</TotalTime>
  <ScaleCrop>false</ScaleCrop>
  <LinksUpToDate>false</LinksUpToDate>
  <CharactersWithSpaces>4031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2021-10-19T05:42:00Z</dcterms:created>
  <dc:creator>JOHN</dc:creator>
  <cp:lastModifiedBy>水先生</cp:lastModifiedBy>
  <cp:lastPrinted>2021-10-19T06:13:00Z</cp:lastPrinted>
  <dcterms:modified xsi:type="dcterms:W3CDTF">2021-10-20T03:29:10Z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