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三亚市崖州区应急联动中心责任清单编制说明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《中共三亚市崖州区委员会关于印发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三亚市崖州区“制度建设年”行动方案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（崖州委〔2021〕181号）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精神，我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cs="Times New Roman"/>
          <w:szCs w:val="32"/>
          <w:lang w:eastAsia="zh-CN"/>
        </w:rPr>
        <w:t>三亚市崖州区应急联动中心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委、</w:t>
      </w:r>
      <w:r>
        <w:rPr>
          <w:rFonts w:hint="eastAsia" w:cs="Times New Roman"/>
          <w:bCs/>
          <w:color w:val="auto"/>
          <w:kern w:val="0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bCs/>
          <w:color w:val="auto"/>
          <w:kern w:val="0"/>
          <w:szCs w:val="32"/>
        </w:rPr>
        <w:t>政府核定“三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定”规定（或设立方案等），我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无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三、事中事后监管制度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无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四、公共服务事项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139BF"/>
    <w:rsid w:val="17613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2021-10-14T03:25:00Z</dcterms:created>
  <dc:creator>水先生</dc:creator>
  <cp:lastModifiedBy>水先生</cp:lastModifiedBy>
  <dcterms:modified xsi:type="dcterms:W3CDTF">2021-10-14T03:26:01Z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