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三亚市崖州区行政审批服务局责任清单</w:t>
      </w:r>
    </w:p>
    <w:p>
      <w:pPr>
        <w:spacing w:line="560" w:lineRule="exact"/>
        <w:rPr>
          <w:rFonts w:ascii="方正小标宋简体" w:eastAsia="方正小标宋简体"/>
          <w:sz w:val="32"/>
          <w:szCs w:val="32"/>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目录</w:t>
      </w:r>
    </w:p>
    <w:p>
      <w:pPr>
        <w:spacing w:line="560" w:lineRule="exact"/>
        <w:jc w:val="center"/>
        <w:rPr>
          <w:rFonts w:ascii="方正小标宋简体" w:eastAsia="方正小标宋简体"/>
          <w:sz w:val="36"/>
          <w:szCs w:val="36"/>
        </w:rPr>
      </w:pPr>
    </w:p>
    <w:bookmarkEnd w:id="0"/>
    <w:p>
      <w:pPr>
        <w:spacing w:line="560" w:lineRule="exact"/>
        <w:rPr>
          <w:rFonts w:asciiTheme="minorEastAsia" w:hAnsiTheme="minorEastAsia" w:cstheme="minorEastAsia"/>
          <w:sz w:val="32"/>
          <w:szCs w:val="32"/>
        </w:rPr>
      </w:pPr>
      <w:r>
        <w:rPr>
          <w:rFonts w:hint="eastAsia" w:asciiTheme="minorEastAsia" w:hAnsiTheme="minorEastAsia" w:cstheme="minorEastAsia"/>
          <w:sz w:val="32"/>
          <w:szCs w:val="32"/>
        </w:rPr>
        <w:t>一、部门职责登记表</w:t>
      </w:r>
    </w:p>
    <w:p>
      <w:pPr>
        <w:spacing w:line="560" w:lineRule="exact"/>
        <w:rPr>
          <w:rFonts w:asciiTheme="minorEastAsia" w:hAnsiTheme="minorEastAsia" w:cstheme="minorEastAsia"/>
          <w:sz w:val="32"/>
          <w:szCs w:val="32"/>
        </w:rPr>
      </w:pPr>
      <w:r>
        <w:rPr>
          <w:rFonts w:hint="eastAsia" w:asciiTheme="minorEastAsia" w:hAnsiTheme="minorEastAsia" w:cstheme="minorEastAsia"/>
          <w:sz w:val="32"/>
          <w:szCs w:val="32"/>
        </w:rPr>
        <w:t>二、与相关部门的职责边界登记表</w:t>
      </w:r>
    </w:p>
    <w:p>
      <w:pPr>
        <w:spacing w:line="460" w:lineRule="exact"/>
        <w:jc w:val="center"/>
        <w:rPr>
          <w:rFonts w:asciiTheme="minorEastAsia" w:hAnsiTheme="minorEastAsia" w:cstheme="minorEastAsia"/>
          <w:sz w:val="44"/>
          <w:szCs w:val="44"/>
        </w:rPr>
      </w:pPr>
    </w:p>
    <w:p>
      <w:pPr>
        <w:spacing w:line="460" w:lineRule="exact"/>
        <w:jc w:val="center"/>
        <w:rPr>
          <w:rFonts w:asciiTheme="minorEastAsia" w:hAnsiTheme="minorEastAsia" w:cstheme="minorEastAsia"/>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spacing w:line="460" w:lineRule="exact"/>
        <w:jc w:val="center"/>
        <w:rPr>
          <w:rFonts w:ascii="方正小标宋_GBK" w:hAnsi="方正小标宋_GBK" w:eastAsia="方正小标宋_GBK" w:cs="方正小标宋_GBK"/>
          <w:sz w:val="44"/>
          <w:szCs w:val="44"/>
        </w:rPr>
      </w:pPr>
    </w:p>
    <w:p>
      <w:pPr>
        <w:pStyle w:val="2"/>
        <w:rPr>
          <w:rFonts w:ascii="方正小标宋_GBK" w:hAnsi="方正小标宋_GBK" w:eastAsia="方正小标宋_GBK" w:cs="方正小标宋_GBK"/>
          <w:sz w:val="44"/>
          <w:szCs w:val="44"/>
        </w:rPr>
      </w:pPr>
    </w:p>
    <w:p/>
    <w:p>
      <w:pPr>
        <w:spacing w:line="460" w:lineRule="exact"/>
        <w:jc w:val="center"/>
        <w:rPr>
          <w:rFonts w:ascii="方正小标宋_GBK" w:hAnsi="方正小标宋_GBK" w:eastAsia="方正小标宋_GBK" w:cs="方正小标宋_GBK"/>
          <w:sz w:val="44"/>
          <w:szCs w:val="44"/>
        </w:rPr>
      </w:pPr>
    </w:p>
    <w:p>
      <w:pPr>
        <w:pStyle w:val="2"/>
      </w:pPr>
    </w:p>
    <w:p/>
    <w:p>
      <w:pPr>
        <w:pStyle w:val="2"/>
      </w:pPr>
    </w:p>
    <w:p/>
    <w:p>
      <w:pPr>
        <w:pStyle w:val="2"/>
      </w:pPr>
    </w:p>
    <w:p>
      <w:pPr>
        <w:spacing w:line="460" w:lineRule="exact"/>
        <w:rPr>
          <w:rFonts w:ascii="方正小标宋_GBK" w:hAnsi="方正小标宋_GBK" w:eastAsia="方正小标宋_GBK" w:cs="方正小标宋_GBK"/>
          <w:sz w:val="44"/>
          <w:szCs w:val="44"/>
        </w:rPr>
      </w:pPr>
    </w:p>
    <w:p>
      <w:pPr>
        <w:spacing w:line="460" w:lineRule="exact"/>
        <w:jc w:val="center"/>
        <w:rPr>
          <w:rFonts w:hint="eastAsia" w:ascii="方正小标宋简体" w:eastAsia="方正小标宋简体"/>
          <w:sz w:val="36"/>
          <w:szCs w:val="36"/>
        </w:rPr>
      </w:pPr>
      <w:r>
        <w:rPr>
          <w:rFonts w:hint="eastAsia" w:ascii="方正小标宋简体" w:hAnsi="方正小标宋_GBK" w:eastAsia="方正小标宋简体" w:cs="方正小标宋_GBK"/>
          <w:sz w:val="36"/>
          <w:szCs w:val="36"/>
        </w:rPr>
        <w:t>一、部门职责登记表</w:t>
      </w:r>
    </w:p>
    <w:tbl>
      <w:tblPr>
        <w:tblStyle w:val="7"/>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706"/>
        <w:gridCol w:w="546"/>
        <w:gridCol w:w="3386"/>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392" w:type="dxa"/>
            <w:vAlign w:val="center"/>
          </w:tcPr>
          <w:p>
            <w:pPr>
              <w:spacing w:line="460" w:lineRule="exact"/>
              <w:jc w:val="center"/>
              <w:rPr>
                <w:rFonts w:cs="仿宋_GB2312" w:asciiTheme="minorEastAsia" w:hAnsiTheme="minorEastAsia"/>
                <w:b/>
                <w:bCs/>
                <w:szCs w:val="21"/>
              </w:rPr>
            </w:pPr>
            <w:r>
              <w:rPr>
                <w:rFonts w:hint="eastAsia" w:cs="仿宋_GB2312" w:asciiTheme="minorEastAsia" w:hAnsiTheme="minorEastAsia"/>
                <w:b/>
                <w:bCs/>
                <w:szCs w:val="21"/>
              </w:rPr>
              <w:t>序号</w:t>
            </w:r>
          </w:p>
        </w:tc>
        <w:tc>
          <w:tcPr>
            <w:tcW w:w="3706" w:type="dxa"/>
            <w:vAlign w:val="center"/>
          </w:tcPr>
          <w:p>
            <w:pPr>
              <w:spacing w:line="460" w:lineRule="exact"/>
              <w:jc w:val="center"/>
              <w:rPr>
                <w:rFonts w:cs="仿宋_GB2312" w:asciiTheme="minorEastAsia" w:hAnsiTheme="minorEastAsia"/>
                <w:b/>
                <w:bCs/>
                <w:szCs w:val="21"/>
              </w:rPr>
            </w:pPr>
            <w:r>
              <w:rPr>
                <w:rFonts w:hint="eastAsia" w:cs="仿宋_GB2312" w:asciiTheme="minorEastAsia" w:hAnsiTheme="minorEastAsia"/>
                <w:b/>
                <w:bCs/>
                <w:szCs w:val="21"/>
              </w:rPr>
              <w:t>主要职责</w:t>
            </w:r>
          </w:p>
        </w:tc>
        <w:tc>
          <w:tcPr>
            <w:tcW w:w="546" w:type="dxa"/>
            <w:vAlign w:val="center"/>
          </w:tcPr>
          <w:p>
            <w:pPr>
              <w:jc w:val="center"/>
              <w:rPr>
                <w:rFonts w:asciiTheme="minorEastAsia" w:hAnsiTheme="minorEastAsia" w:cstheme="minorEastAsia"/>
                <w:b/>
                <w:kern w:val="0"/>
                <w:szCs w:val="21"/>
              </w:rPr>
            </w:pPr>
            <w:r>
              <w:rPr>
                <w:rFonts w:hint="eastAsia" w:cs="宋体" w:asciiTheme="minorEastAsia" w:hAnsiTheme="minorEastAsia"/>
                <w:b/>
                <w:color w:val="000000"/>
                <w:szCs w:val="21"/>
              </w:rPr>
              <w:t>序号</w:t>
            </w:r>
          </w:p>
        </w:tc>
        <w:tc>
          <w:tcPr>
            <w:tcW w:w="3386" w:type="dxa"/>
            <w:vAlign w:val="center"/>
          </w:tcPr>
          <w:p>
            <w:pPr>
              <w:spacing w:line="460" w:lineRule="exact"/>
              <w:jc w:val="center"/>
              <w:rPr>
                <w:rFonts w:cs="仿宋_GB2312" w:asciiTheme="minorEastAsia" w:hAnsiTheme="minorEastAsia"/>
                <w:b/>
                <w:bCs/>
                <w:szCs w:val="21"/>
              </w:rPr>
            </w:pPr>
            <w:r>
              <w:rPr>
                <w:rFonts w:hint="eastAsia" w:cs="仿宋_GB2312" w:asciiTheme="minorEastAsia" w:hAnsiTheme="minorEastAsia"/>
                <w:b/>
                <w:bCs/>
                <w:szCs w:val="21"/>
              </w:rPr>
              <w:t>具体工作事项</w:t>
            </w:r>
          </w:p>
        </w:tc>
        <w:tc>
          <w:tcPr>
            <w:tcW w:w="852" w:type="dxa"/>
            <w:vAlign w:val="center"/>
          </w:tcPr>
          <w:p>
            <w:pPr>
              <w:spacing w:line="460" w:lineRule="exact"/>
              <w:jc w:val="center"/>
              <w:rPr>
                <w:rFonts w:cs="仿宋_GB2312" w:asciiTheme="minorEastAsia" w:hAnsiTheme="minorEastAsia"/>
                <w:b/>
                <w:bCs/>
                <w:szCs w:val="21"/>
              </w:rPr>
            </w:pPr>
            <w:r>
              <w:rPr>
                <w:rFonts w:hint="eastAsia" w:cs="仿宋_GB2312" w:asciiTheme="minorEastAsia" w:hAnsi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392" w:type="dxa"/>
            <w:vMerge w:val="restart"/>
            <w:vAlign w:val="center"/>
          </w:tcPr>
          <w:p>
            <w:pPr>
              <w:widowControl/>
              <w:spacing w:line="300" w:lineRule="exact"/>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w:t>
            </w:r>
          </w:p>
        </w:tc>
        <w:tc>
          <w:tcPr>
            <w:tcW w:w="3706"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贯彻落实党和国家、省市有关行政审批工作的方针政策、相关法律法规和中国(海南)自由贸易试验区、中国特色自由贸易港的政策措施。执行市委市政府、区委区政府的决策部署。</w:t>
            </w: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认真贯彻落实党和国家、省市有关行政审批工作的方针政策、相关法律法规。</w:t>
            </w:r>
          </w:p>
        </w:tc>
        <w:tc>
          <w:tcPr>
            <w:tcW w:w="852" w:type="dxa"/>
            <w:vMerge w:val="restart"/>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2</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认真做好高质量高标准建设海南自由贸易港的任务落实。</w:t>
            </w:r>
          </w:p>
        </w:tc>
        <w:tc>
          <w:tcPr>
            <w:tcW w:w="852" w:type="dxa"/>
            <w:vMerge w:val="continue"/>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3</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负责执行市委市政府、区委区政府有关本部门本领域的决策部署。</w:t>
            </w:r>
          </w:p>
        </w:tc>
        <w:tc>
          <w:tcPr>
            <w:tcW w:w="852" w:type="dxa"/>
            <w:vMerge w:val="continue"/>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392" w:type="dxa"/>
            <w:vMerge w:val="restart"/>
            <w:vAlign w:val="center"/>
          </w:tcPr>
          <w:p>
            <w:pPr>
              <w:widowControl/>
              <w:spacing w:line="300" w:lineRule="exact"/>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w:t>
            </w:r>
          </w:p>
        </w:tc>
        <w:tc>
          <w:tcPr>
            <w:tcW w:w="3706"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负责建立健全区行政审批工作机制并组织实施。研究提出区推进中国(海南)自由贸易试验区、中国特色自由贸易港建设有关行政审批方面的意见和建议。</w:t>
            </w: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4</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研究提出全区有关行政审批发展战略和政策措施。</w:t>
            </w:r>
          </w:p>
        </w:tc>
        <w:tc>
          <w:tcPr>
            <w:tcW w:w="852" w:type="dxa"/>
            <w:vMerge w:val="restart"/>
            <w:vAlign w:val="center"/>
          </w:tcPr>
          <w:p>
            <w:pPr>
              <w:widowControl/>
              <w:spacing w:line="300" w:lineRule="exact"/>
              <w:jc w:val="left"/>
              <w:rPr>
                <w:rFonts w:ascii="仿宋_GB2312" w:hAnsi="仿宋_GB2312" w:eastAsia="仿宋_GB2312" w:cs="仿宋_GB2312"/>
                <w:bCs/>
                <w:kern w:val="0"/>
                <w:szCs w:val="21"/>
              </w:rPr>
            </w:pPr>
          </w:p>
          <w:p>
            <w:pPr>
              <w:widowControl/>
              <w:spacing w:line="300" w:lineRule="exact"/>
              <w:jc w:val="left"/>
              <w:rPr>
                <w:rFonts w:ascii="仿宋_GB2312" w:hAnsi="仿宋_GB2312" w:eastAsia="仿宋_GB2312" w:cs="仿宋_GB2312"/>
                <w:bCs/>
                <w:kern w:val="0"/>
                <w:szCs w:val="21"/>
              </w:rPr>
            </w:pPr>
          </w:p>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5</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拟</w:t>
            </w:r>
            <w:r>
              <w:rPr>
                <w:rFonts w:hint="eastAsia" w:ascii="仿宋_GB2312" w:hAnsi="仿宋_GB2312" w:cs="仿宋_GB2312"/>
                <w:bCs/>
                <w:kern w:val="0"/>
                <w:szCs w:val="21"/>
              </w:rPr>
              <w:t>订</w:t>
            </w:r>
            <w:r>
              <w:rPr>
                <w:rFonts w:hint="eastAsia" w:ascii="仿宋_GB2312" w:hAnsi="仿宋_GB2312" w:eastAsia="仿宋_GB2312" w:cs="仿宋_GB2312"/>
                <w:bCs/>
                <w:kern w:val="0"/>
                <w:szCs w:val="21"/>
              </w:rPr>
              <w:t>全区有关行政审批工作规范性文件草案。</w:t>
            </w:r>
          </w:p>
        </w:tc>
        <w:tc>
          <w:tcPr>
            <w:tcW w:w="852" w:type="dxa"/>
            <w:vMerge w:val="continue"/>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6</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结合国内其他城市有关行政审批方面的先进经验，研究提出本区符合海南自由贸易港建设要求的优化行政审批相关建议。</w:t>
            </w:r>
          </w:p>
        </w:tc>
        <w:tc>
          <w:tcPr>
            <w:tcW w:w="852" w:type="dxa"/>
            <w:vMerge w:val="continue"/>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392" w:type="dxa"/>
            <w:vMerge w:val="restart"/>
            <w:vAlign w:val="center"/>
          </w:tcPr>
          <w:p>
            <w:pPr>
              <w:widowControl/>
              <w:spacing w:line="300" w:lineRule="exact"/>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w:t>
            </w:r>
          </w:p>
        </w:tc>
        <w:tc>
          <w:tcPr>
            <w:tcW w:w="3706"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研究探索区行政审批制度改革、                 规范审批行为，建立和完善政务服务机制。</w:t>
            </w: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7</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负责对接落实上级部门明确的行政审批制度改革工作任务，研究推进区行政审批制度改革。</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8</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负责区级行政审批服务事项标准化建设、审批流程再造、审批环节优化等相关工作体系、体制机制创新和完善工作。</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9</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组织区各职能局对“6+1”类政务服务事项进行环节优化、压缩时限、推进审批服务便民化、标准化建设。</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392" w:type="dxa"/>
            <w:vMerge w:val="restart"/>
            <w:vAlign w:val="center"/>
          </w:tcPr>
          <w:p>
            <w:pPr>
              <w:widowControl/>
              <w:spacing w:line="300" w:lineRule="exact"/>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w:t>
            </w:r>
          </w:p>
        </w:tc>
        <w:tc>
          <w:tcPr>
            <w:tcW w:w="3706"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履行区级各职能部门划转的行政审批及有关行政服务事项。</w:t>
            </w: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10</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负责区级各职能部门划转的行政审批及有关行政服务事项的受理、审批、制证及结果的送达。</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11</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负责落实取消行政审批及有关行政服务事项，负责上级下放到区级行政许可事项的承接办理。</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12</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负责及时向行政主管部门推送行政审批服务事项决定信息。</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392" w:type="dxa"/>
            <w:vMerge w:val="restart"/>
            <w:vAlign w:val="center"/>
          </w:tcPr>
          <w:p>
            <w:pPr>
              <w:widowControl/>
              <w:spacing w:line="300" w:lineRule="exact"/>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5</w:t>
            </w:r>
          </w:p>
        </w:tc>
        <w:tc>
          <w:tcPr>
            <w:tcW w:w="3706"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负责指导区政务大厅、社区(村、居)便民服务站的审批服务工作，推进行政审批和行政服务标准化建设，优化行政审批服务事项流程，解决政务服务事项办理中存在的问题。</w:t>
            </w: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13</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负责指导区政务大厅、社区(村、居)便民服务站的审批服务工作。</w:t>
            </w:r>
          </w:p>
        </w:tc>
        <w:tc>
          <w:tcPr>
            <w:tcW w:w="852" w:type="dxa"/>
            <w:vMerge w:val="restart"/>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14</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推进政务服务规范化建设。</w:t>
            </w:r>
          </w:p>
        </w:tc>
        <w:tc>
          <w:tcPr>
            <w:tcW w:w="852" w:type="dxa"/>
            <w:vMerge w:val="continue"/>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15</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研究压缩行政审批事项办理时限、减少行政审批服务事项申请材料、优化行政审批服务事项审批流程。</w:t>
            </w:r>
          </w:p>
        </w:tc>
        <w:tc>
          <w:tcPr>
            <w:tcW w:w="852" w:type="dxa"/>
            <w:vMerge w:val="continue"/>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16</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协调解决政务服务事项办理中一体化平台系统及行政审批辅助系统的问题。</w:t>
            </w:r>
          </w:p>
        </w:tc>
        <w:tc>
          <w:tcPr>
            <w:tcW w:w="852" w:type="dxa"/>
            <w:vMerge w:val="continue"/>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392" w:type="dxa"/>
            <w:vMerge w:val="restart"/>
            <w:vAlign w:val="center"/>
          </w:tcPr>
          <w:p>
            <w:pPr>
              <w:widowControl/>
              <w:spacing w:line="300" w:lineRule="exact"/>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6</w:t>
            </w:r>
          </w:p>
        </w:tc>
        <w:tc>
          <w:tcPr>
            <w:tcW w:w="3706"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负责政务服务效能监督工作，统一受理全区政务服务方面的投诉、咨询和信访工作。</w:t>
            </w: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17</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依托一体化平台对全区政务服务效能进行监督跟踪督办审批事项办理进展情况。</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392" w:type="dxa"/>
            <w:vMerge w:val="continue"/>
            <w:vAlign w:val="center"/>
          </w:tcPr>
          <w:p>
            <w:pPr>
              <w:widowControl/>
              <w:spacing w:line="300" w:lineRule="exact"/>
              <w:jc w:val="center"/>
              <w:rPr>
                <w:rFonts w:ascii="仿宋_GB2312" w:hAnsi="仿宋_GB2312" w:eastAsia="仿宋_GB2312" w:cs="仿宋_GB2312"/>
                <w:bCs/>
                <w:kern w:val="0"/>
                <w:szCs w:val="21"/>
              </w:rPr>
            </w:pPr>
          </w:p>
        </w:tc>
        <w:tc>
          <w:tcPr>
            <w:tcW w:w="37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18</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受理全区政务服务方面的投诉、咨询和信访工作，并协调督促有关行政主管部门依法进行查处。</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392" w:type="dxa"/>
            <w:vAlign w:val="center"/>
          </w:tcPr>
          <w:p>
            <w:pPr>
              <w:widowControl/>
              <w:spacing w:line="300" w:lineRule="exact"/>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7</w:t>
            </w:r>
          </w:p>
        </w:tc>
        <w:tc>
          <w:tcPr>
            <w:tcW w:w="370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负责组织实施及协调涉及行政审批、公共服务类事项的现场勘查、技术论证和社会听证等工作。</w:t>
            </w: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19</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负责组织实施及协调划转事项的现场勘查、技术论证和社会听证等工作。</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392" w:type="dxa"/>
            <w:vAlign w:val="center"/>
          </w:tcPr>
          <w:p>
            <w:pPr>
              <w:widowControl/>
              <w:spacing w:line="300" w:lineRule="exact"/>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8</w:t>
            </w:r>
          </w:p>
        </w:tc>
        <w:tc>
          <w:tcPr>
            <w:tcW w:w="370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完成区委、区政府和上级部门交办的其他工作任务。</w:t>
            </w: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20</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办理区委、区政府和上级部门交办本部门的其他工作任务。</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widowControl/>
              <w:spacing w:line="300" w:lineRule="exact"/>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9</w:t>
            </w:r>
          </w:p>
        </w:tc>
        <w:tc>
          <w:tcPr>
            <w:tcW w:w="370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有关职责分工。按照“谁审批、谁负责”“谁主管、谁监管”的原则，区行政审批服务局对本部门所负责的行政审批、公共服务类事项的受理、审查、决定等环节承担主体责任，相关职能部门承担审批后监管主体责任。</w:t>
            </w:r>
          </w:p>
        </w:tc>
        <w:tc>
          <w:tcPr>
            <w:tcW w:w="546" w:type="dxa"/>
            <w:vAlign w:val="center"/>
          </w:tcPr>
          <w:p>
            <w:pPr>
              <w:spacing w:line="560" w:lineRule="exact"/>
              <w:jc w:val="center"/>
              <w:rPr>
                <w:rFonts w:asciiTheme="minorEastAsia" w:hAnsiTheme="minorEastAsia" w:cstheme="minorEastAsia"/>
                <w:szCs w:val="21"/>
              </w:rPr>
            </w:pPr>
            <w:r>
              <w:rPr>
                <w:rFonts w:hint="eastAsia" w:asciiTheme="minorEastAsia" w:hAnsiTheme="minorEastAsia" w:cstheme="minorEastAsia"/>
                <w:color w:val="000000"/>
                <w:szCs w:val="21"/>
              </w:rPr>
              <w:t>21</w:t>
            </w:r>
          </w:p>
        </w:tc>
        <w:tc>
          <w:tcPr>
            <w:tcW w:w="3386"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对本部门所负责的行政审批、公共服务类事项的受理、审查、决定等环节承担主体责任。</w:t>
            </w:r>
          </w:p>
        </w:tc>
        <w:tc>
          <w:tcPr>
            <w:tcW w:w="852" w:type="dxa"/>
            <w:vAlign w:val="center"/>
          </w:tcPr>
          <w:p>
            <w:pPr>
              <w:widowControl/>
              <w:spacing w:line="300" w:lineRule="exact"/>
              <w:jc w:val="left"/>
              <w:rPr>
                <w:rFonts w:ascii="仿宋_GB2312" w:hAnsi="仿宋_GB2312" w:eastAsia="仿宋_GB2312" w:cs="仿宋_GB2312"/>
                <w:bCs/>
                <w:kern w:val="0"/>
                <w:szCs w:val="21"/>
              </w:rPr>
            </w:pPr>
          </w:p>
        </w:tc>
      </w:tr>
    </w:tbl>
    <w:p>
      <w:pPr>
        <w:spacing w:line="460" w:lineRule="exact"/>
        <w:jc w:val="left"/>
        <w:rPr>
          <w:rFonts w:ascii="仿宋" w:hAnsi="仿宋" w:eastAsia="仿宋" w:cs="仿宋"/>
          <w:color w:val="000000" w:themeColor="text1"/>
          <w:sz w:val="28"/>
          <w:szCs w:val="28"/>
        </w:rPr>
      </w:pPr>
    </w:p>
    <w:p>
      <w:pPr>
        <w:spacing w:line="460" w:lineRule="exact"/>
        <w:rPr>
          <w:rFonts w:ascii="仿宋" w:hAnsi="仿宋" w:eastAsia="仿宋" w:cs="仿宋"/>
          <w:color w:val="000000" w:themeColor="text1"/>
          <w:sz w:val="28"/>
          <w:szCs w:val="28"/>
        </w:rPr>
      </w:pPr>
    </w:p>
    <w:p>
      <w:pPr>
        <w:spacing w:line="460" w:lineRule="exact"/>
        <w:rPr>
          <w:rFonts w:ascii="仿宋" w:hAnsi="仿宋" w:eastAsia="仿宋" w:cs="仿宋"/>
          <w:color w:val="000000" w:themeColor="text1"/>
          <w:sz w:val="28"/>
          <w:szCs w:val="28"/>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2"/>
      </w:pPr>
    </w:p>
    <w:p>
      <w:pPr>
        <w:spacing w:line="460" w:lineRule="exact"/>
        <w:rPr>
          <w:rFonts w:ascii="仿宋" w:hAnsi="仿宋" w:eastAsia="仿宋" w:cs="仿宋"/>
          <w:color w:val="000000" w:themeColor="text1"/>
          <w:sz w:val="28"/>
          <w:szCs w:val="28"/>
        </w:rPr>
        <w:sectPr>
          <w:type w:val="continuous"/>
          <w:pgSz w:w="11906" w:h="16838"/>
          <w:pgMar w:top="1440" w:right="1800" w:bottom="1440" w:left="1800" w:header="851" w:footer="992" w:gutter="0"/>
          <w:pgNumType w:fmt="numberInDash"/>
          <w:cols w:space="425" w:num="1"/>
          <w:docGrid w:type="lines" w:linePitch="312" w:charSpace="0"/>
        </w:sectPr>
      </w:pPr>
    </w:p>
    <w:p>
      <w:pPr>
        <w:spacing w:line="578" w:lineRule="exact"/>
        <w:rPr>
          <w:rFonts w:ascii="Times New Roman" w:hAnsi="Times New Roman" w:eastAsia="方正小标宋简体" w:cs="Times New Roman"/>
          <w:sz w:val="36"/>
          <w:szCs w:val="36"/>
        </w:rPr>
        <w:sectPr>
          <w:type w:val="continuous"/>
          <w:pgSz w:w="11906" w:h="16838"/>
          <w:pgMar w:top="1440" w:right="1800" w:bottom="1440" w:left="1800" w:header="851" w:footer="992" w:gutter="0"/>
          <w:pgNumType w:fmt="numberInDash"/>
          <w:cols w:space="425" w:num="1"/>
          <w:docGrid w:type="lines" w:linePitch="312" w:charSpace="0"/>
        </w:sectPr>
      </w:pPr>
    </w:p>
    <w:p>
      <w:pPr>
        <w:spacing w:line="578"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二、</w:t>
      </w:r>
      <w:r>
        <w:rPr>
          <w:rFonts w:ascii="Times New Roman" w:hAnsi="Times New Roman" w:eastAsia="方正小标宋简体" w:cs="Times New Roman"/>
          <w:sz w:val="36"/>
          <w:szCs w:val="36"/>
        </w:rPr>
        <w:t>与相关部门的职责边界登记</w:t>
      </w:r>
    </w:p>
    <w:p>
      <w:pPr>
        <w:pStyle w:val="2"/>
      </w:pPr>
    </w:p>
    <w:tbl>
      <w:tblPr>
        <w:tblStyle w:val="7"/>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250"/>
        <w:gridCol w:w="1471"/>
        <w:gridCol w:w="4961"/>
        <w:gridCol w:w="19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06"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125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管理事项</w:t>
            </w:r>
          </w:p>
        </w:tc>
        <w:tc>
          <w:tcPr>
            <w:tcW w:w="1471"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相关部门</w:t>
            </w:r>
          </w:p>
        </w:tc>
        <w:tc>
          <w:tcPr>
            <w:tcW w:w="4961"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职责分工</w:t>
            </w:r>
          </w:p>
        </w:tc>
        <w:tc>
          <w:tcPr>
            <w:tcW w:w="1985"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相关依据</w:t>
            </w:r>
          </w:p>
        </w:tc>
        <w:tc>
          <w:tcPr>
            <w:tcW w:w="3827"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506"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w:t>
            </w:r>
          </w:p>
        </w:tc>
        <w:tc>
          <w:tcPr>
            <w:tcW w:w="1250"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校车使用许可</w:t>
            </w:r>
          </w:p>
        </w:tc>
        <w:tc>
          <w:tcPr>
            <w:tcW w:w="1471"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区行政审批服务局</w:t>
            </w:r>
          </w:p>
        </w:tc>
        <w:tc>
          <w:tcPr>
            <w:tcW w:w="4961"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1.负责该申报事项的受理、审批、制证及结果物的送达；</w:t>
            </w:r>
          </w:p>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2.以“审批决定的作出”为我局与监管部门的职责边界。</w:t>
            </w:r>
          </w:p>
        </w:tc>
        <w:tc>
          <w:tcPr>
            <w:tcW w:w="1985"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szCs w:val="21"/>
              </w:rPr>
              <w:t>1.</w:t>
            </w:r>
            <w:r>
              <w:rPr>
                <w:rFonts w:hint="eastAsia" w:ascii="仿宋_GB2312" w:hAnsi="仿宋_GB2312" w:eastAsia="仿宋_GB2312" w:cs="仿宋_GB2312"/>
                <w:bCs/>
                <w:kern w:val="0"/>
                <w:szCs w:val="21"/>
              </w:rPr>
              <w:t>《校车安全管理条例》</w:t>
            </w:r>
          </w:p>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第十四条</w:t>
            </w:r>
          </w:p>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第十五条</w:t>
            </w:r>
          </w:p>
          <w:p>
            <w:pPr>
              <w:pStyle w:val="2"/>
              <w:rPr>
                <w:rFonts w:ascii="仿宋_GB2312" w:hAnsi="仿宋_GB2312" w:eastAsia="仿宋_GB2312" w:cs="仿宋_GB2312"/>
                <w:szCs w:val="21"/>
              </w:rPr>
            </w:pPr>
            <w:r>
              <w:rPr>
                <w:rFonts w:hint="eastAsia" w:ascii="仿宋_GB2312" w:hAnsi="仿宋_GB2312" w:eastAsia="仿宋_GB2312" w:cs="仿宋_GB2312"/>
                <w:bCs/>
                <w:kern w:val="0"/>
                <w:szCs w:val="21"/>
              </w:rPr>
              <w:t>2.《三亚市崖州区“ 一枚印章管审批”改革实施方案》(崖州办发〔2020〕46号)</w:t>
            </w:r>
          </w:p>
        </w:tc>
        <w:tc>
          <w:tcPr>
            <w:tcW w:w="3827"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某校需增加校车。1.申请人先到区行政审批服务局递交申请。2.区行政审批服务局报市交通局  3.区行政审批服务局报市交警支队  4.联合现场踏勘.5.区行政审批服务局报送区政府批准6.办结7.区行政审批服务局及时将办结结果相关信息推送至区教育局。8.区教育局对校车使用进行事中事后指导监督。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1250"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1471"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区教育局</w:t>
            </w:r>
          </w:p>
        </w:tc>
        <w:tc>
          <w:tcPr>
            <w:tcW w:w="4961"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 负责对该事项审批项目的事中需监管环节进行监管；</w:t>
            </w:r>
          </w:p>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2.负责对该事项审批结果产生的主体进行事后指导监督。</w:t>
            </w:r>
          </w:p>
        </w:tc>
        <w:tc>
          <w:tcPr>
            <w:tcW w:w="1985"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3827" w:type="dxa"/>
            <w:vMerge w:val="continue"/>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5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1250"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1471"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市交通运输局</w:t>
            </w:r>
          </w:p>
        </w:tc>
        <w:tc>
          <w:tcPr>
            <w:tcW w:w="4961"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线路踏勘</w:t>
            </w:r>
          </w:p>
        </w:tc>
        <w:tc>
          <w:tcPr>
            <w:tcW w:w="1985"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3827" w:type="dxa"/>
            <w:vMerge w:val="continue"/>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1250"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1471"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市交警支队</w:t>
            </w:r>
          </w:p>
        </w:tc>
        <w:tc>
          <w:tcPr>
            <w:tcW w:w="4961"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检查驾驶员资质，车辆情况</w:t>
            </w:r>
          </w:p>
        </w:tc>
        <w:tc>
          <w:tcPr>
            <w:tcW w:w="1985"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3827" w:type="dxa"/>
            <w:vMerge w:val="continue"/>
            <w:vAlign w:val="center"/>
          </w:tcPr>
          <w:p>
            <w:pPr>
              <w:widowControl/>
              <w:spacing w:line="300" w:lineRule="exact"/>
              <w:jc w:val="left"/>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506"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w:t>
            </w:r>
          </w:p>
        </w:tc>
        <w:tc>
          <w:tcPr>
            <w:tcW w:w="1250"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划转相关审批事项</w:t>
            </w:r>
          </w:p>
        </w:tc>
        <w:tc>
          <w:tcPr>
            <w:tcW w:w="1471"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区行政审批服务局</w:t>
            </w:r>
          </w:p>
        </w:tc>
        <w:tc>
          <w:tcPr>
            <w:tcW w:w="4961" w:type="dxa"/>
            <w:vAlign w:val="center"/>
          </w:tcPr>
          <w:p>
            <w:pPr>
              <w:widowControl/>
              <w:spacing w:line="300" w:lineRule="exact"/>
              <w:jc w:val="left"/>
              <w:rPr>
                <w:rFonts w:ascii="仿宋_GB2312" w:hAnsi="仿宋_GB2312" w:cs="仿宋_GB2312"/>
                <w:bCs/>
                <w:kern w:val="0"/>
                <w:szCs w:val="21"/>
              </w:rPr>
            </w:pPr>
            <w:r>
              <w:rPr>
                <w:rFonts w:hint="eastAsia" w:ascii="仿宋_GB2312" w:hAnsi="仿宋_GB2312" w:eastAsia="仿宋_GB2312" w:cs="仿宋_GB2312"/>
                <w:bCs/>
                <w:kern w:val="0"/>
                <w:szCs w:val="21"/>
              </w:rPr>
              <w:t>1.负责该申报事项的受理、审批、制证及结果物的送达；</w:t>
            </w:r>
          </w:p>
          <w:p>
            <w:pPr>
              <w:widowControl/>
              <w:spacing w:line="300" w:lineRule="exact"/>
              <w:jc w:val="left"/>
              <w:rPr>
                <w:rFonts w:ascii="仿宋_GB2312" w:hAnsi="仿宋_GB2312" w:cs="仿宋_GB2312"/>
                <w:bCs/>
                <w:kern w:val="0"/>
                <w:szCs w:val="21"/>
              </w:rPr>
            </w:pPr>
            <w:r>
              <w:rPr>
                <w:rFonts w:hint="eastAsia" w:ascii="仿宋_GB2312" w:hAnsi="仿宋_GB2312" w:eastAsia="仿宋_GB2312" w:cs="仿宋_GB2312"/>
                <w:bCs/>
                <w:kern w:val="0"/>
                <w:szCs w:val="21"/>
              </w:rPr>
              <w:t>2.以“审批决定的作出”为我局与监管部门的职责边界。</w:t>
            </w:r>
          </w:p>
          <w:p>
            <w:pPr>
              <w:widowControl/>
              <w:spacing w:line="300" w:lineRule="exact"/>
              <w:jc w:val="left"/>
              <w:rPr>
                <w:rFonts w:ascii="仿宋_GB2312" w:hAnsi="仿宋_GB2312" w:eastAsia="仿宋_GB2312" w:cs="仿宋_GB2312"/>
                <w:bCs/>
                <w:kern w:val="0"/>
                <w:szCs w:val="21"/>
              </w:rPr>
            </w:pPr>
          </w:p>
        </w:tc>
        <w:tc>
          <w:tcPr>
            <w:tcW w:w="1985"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《三亚市崖州区“ 一枚印章管审批”改革实施方案》(崖州办发〔2020〕46号)</w:t>
            </w:r>
          </w:p>
        </w:tc>
        <w:tc>
          <w:tcPr>
            <w:tcW w:w="3827" w:type="dxa"/>
            <w:vMerge w:val="restart"/>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申请人想要获得某审批许可。1.申请人先到区行政审批服务局递交申请。2.区行政审批服务局对申报事项的受理、审批、制证及结果物的送达。3.区行政审批服务局及时将办结结果相关信息推送至区相关职能部门。4.区相关职能部门对审批结果进行事中事后指导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2" w:hRule="atLeast"/>
        </w:trPr>
        <w:tc>
          <w:tcPr>
            <w:tcW w:w="506"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1250"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1471" w:type="dxa"/>
            <w:vAlign w:val="center"/>
          </w:tcPr>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区</w:t>
            </w:r>
            <w:r>
              <w:rPr>
                <w:rFonts w:hint="eastAsia" w:ascii="仿宋_GB2312" w:hAnsi="仿宋_GB2312" w:cs="仿宋_GB2312"/>
                <w:bCs/>
                <w:kern w:val="0"/>
                <w:szCs w:val="21"/>
              </w:rPr>
              <w:t>相关职能部门</w:t>
            </w:r>
          </w:p>
        </w:tc>
        <w:tc>
          <w:tcPr>
            <w:tcW w:w="4961" w:type="dxa"/>
            <w:vAlign w:val="center"/>
          </w:tcPr>
          <w:p>
            <w:pPr>
              <w:widowControl/>
              <w:spacing w:line="300" w:lineRule="exact"/>
              <w:jc w:val="left"/>
              <w:rPr>
                <w:rFonts w:ascii="仿宋_GB2312" w:hAnsi="仿宋_GB2312" w:cs="仿宋_GB2312"/>
                <w:bCs/>
                <w:kern w:val="0"/>
                <w:szCs w:val="21"/>
              </w:rPr>
            </w:pPr>
            <w:r>
              <w:rPr>
                <w:rFonts w:hint="eastAsia" w:ascii="仿宋_GB2312" w:hAnsi="仿宋_GB2312" w:eastAsia="仿宋_GB2312" w:cs="仿宋_GB2312"/>
                <w:bCs/>
                <w:kern w:val="0"/>
                <w:szCs w:val="21"/>
              </w:rPr>
              <w:t xml:space="preserve">1. </w:t>
            </w:r>
            <w:r>
              <w:rPr>
                <w:rFonts w:hint="eastAsia" w:ascii="仿宋_GB2312" w:hAnsi="仿宋_GB2312" w:eastAsia="仿宋_GB2312" w:cs="仿宋_GB2312"/>
                <w:bCs/>
                <w:color w:val="000000" w:themeColor="text1"/>
                <w:kern w:val="0"/>
                <w:szCs w:val="21"/>
              </w:rPr>
              <w:t>负责对划转相关审批事项的事中需监管环节进行监管；</w:t>
            </w:r>
          </w:p>
          <w:p>
            <w:pPr>
              <w:widowControl/>
              <w:spacing w:line="300" w:lineRule="exact"/>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2.负责对该事项审批结果产生的主体进行事后指导监督。</w:t>
            </w:r>
          </w:p>
        </w:tc>
        <w:tc>
          <w:tcPr>
            <w:tcW w:w="1985" w:type="dxa"/>
            <w:vMerge w:val="continue"/>
            <w:vAlign w:val="center"/>
          </w:tcPr>
          <w:p>
            <w:pPr>
              <w:widowControl/>
              <w:spacing w:line="300" w:lineRule="exact"/>
              <w:jc w:val="left"/>
              <w:rPr>
                <w:rFonts w:ascii="仿宋_GB2312" w:hAnsi="仿宋_GB2312" w:eastAsia="仿宋_GB2312" w:cs="仿宋_GB2312"/>
                <w:bCs/>
                <w:kern w:val="0"/>
                <w:szCs w:val="21"/>
              </w:rPr>
            </w:pPr>
          </w:p>
        </w:tc>
        <w:tc>
          <w:tcPr>
            <w:tcW w:w="3827" w:type="dxa"/>
            <w:vMerge w:val="continue"/>
            <w:vAlign w:val="center"/>
          </w:tcPr>
          <w:p>
            <w:pPr>
              <w:widowControl/>
              <w:spacing w:line="300" w:lineRule="exact"/>
              <w:jc w:val="left"/>
              <w:rPr>
                <w:rFonts w:ascii="仿宋_GB2312" w:hAnsi="仿宋_GB2312" w:eastAsia="仿宋_GB2312" w:cs="仿宋_GB2312"/>
                <w:bCs/>
                <w:kern w:val="0"/>
                <w:szCs w:val="21"/>
              </w:rPr>
            </w:pPr>
          </w:p>
        </w:tc>
      </w:tr>
    </w:tbl>
    <w:p>
      <w:pPr>
        <w:spacing w:line="578" w:lineRule="exact"/>
        <w:rPr>
          <w:rFonts w:ascii="Times New Roman" w:hAnsi="Times New Roman" w:eastAsia="方正小标宋简体" w:cs="Times New Roman"/>
          <w:sz w:val="36"/>
          <w:szCs w:val="36"/>
        </w:rPr>
        <w:sectPr>
          <w:pgSz w:w="16838" w:h="11906" w:orient="landscape"/>
          <w:pgMar w:top="1800" w:right="1440" w:bottom="1800" w:left="1440" w:header="851" w:footer="992" w:gutter="0"/>
          <w:pgNumType w:fmt="numberInDash"/>
          <w:cols w:space="425" w:num="1"/>
          <w:docGrid w:type="lines" w:linePitch="312" w:charSpace="0"/>
        </w:sectPr>
      </w:pPr>
    </w:p>
    <w:p>
      <w:pPr>
        <w:rPr>
          <w:rFonts w:ascii="仿宋" w:hAnsi="仿宋" w:eastAsia="仿宋" w:cs="仿宋"/>
          <w:sz w:val="28"/>
          <w:szCs w:val="28"/>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3"/>
                </w:pPr>
                <w:r>
                  <w:rPr>
                    <w:rFonts w:hint="eastAsia" w:ascii="黑体" w:hAnsi="黑体" w:eastAsia="黑体" w:cs="黑体"/>
                    <w:sz w:val="24"/>
                  </w:rPr>
                  <w:fldChar w:fldCharType="begin"/>
                </w:r>
                <w:r>
                  <w:rPr>
                    <w:rFonts w:hint="eastAsia" w:ascii="黑体" w:hAnsi="黑体" w:eastAsia="黑体" w:cs="黑体"/>
                    <w:sz w:val="24"/>
                  </w:rPr>
                  <w:instrText xml:space="preserve"> PAGE  \* MERGEFORMAT </w:instrText>
                </w:r>
                <w:r>
                  <w:rPr>
                    <w:rFonts w:hint="eastAsia" w:ascii="黑体" w:hAnsi="黑体" w:eastAsia="黑体" w:cs="黑体"/>
                    <w:sz w:val="24"/>
                  </w:rPr>
                  <w:fldChar w:fldCharType="separate"/>
                </w:r>
                <w:r>
                  <w:rPr>
                    <w:rFonts w:ascii="黑体" w:hAnsi="黑体" w:eastAsia="黑体" w:cs="黑体"/>
                    <w:sz w:val="24"/>
                  </w:rPr>
                  <w:t>- 7 -</w:t>
                </w:r>
                <w:r>
                  <w:rPr>
                    <w:rFonts w:hint="eastAsia" w:ascii="黑体" w:hAnsi="黑体" w:eastAsia="黑体" w:cs="黑体"/>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E344A"/>
    <w:rsid w:val="00093FDB"/>
    <w:rsid w:val="00113790"/>
    <w:rsid w:val="00227ED0"/>
    <w:rsid w:val="002A09D4"/>
    <w:rsid w:val="004E76CE"/>
    <w:rsid w:val="0055701B"/>
    <w:rsid w:val="0063128A"/>
    <w:rsid w:val="006C6B74"/>
    <w:rsid w:val="00702C43"/>
    <w:rsid w:val="00743460"/>
    <w:rsid w:val="00762A9C"/>
    <w:rsid w:val="008B7F47"/>
    <w:rsid w:val="008E344A"/>
    <w:rsid w:val="00946480"/>
    <w:rsid w:val="00B3091E"/>
    <w:rsid w:val="00C03FE5"/>
    <w:rsid w:val="00CF1629"/>
    <w:rsid w:val="00D21E21"/>
    <w:rsid w:val="00D4641C"/>
    <w:rsid w:val="00D57989"/>
    <w:rsid w:val="00D95D16"/>
    <w:rsid w:val="00EC47D3"/>
    <w:rsid w:val="00F94B9C"/>
    <w:rsid w:val="00FE1FBC"/>
    <w:rsid w:val="03756D6D"/>
    <w:rsid w:val="053A5249"/>
    <w:rsid w:val="079736CA"/>
    <w:rsid w:val="07B21959"/>
    <w:rsid w:val="09195FFB"/>
    <w:rsid w:val="09C473F2"/>
    <w:rsid w:val="0E783B90"/>
    <w:rsid w:val="10E45982"/>
    <w:rsid w:val="128B4C0F"/>
    <w:rsid w:val="15846C22"/>
    <w:rsid w:val="16C91AD8"/>
    <w:rsid w:val="16D95793"/>
    <w:rsid w:val="19173103"/>
    <w:rsid w:val="1AA62695"/>
    <w:rsid w:val="1ABA1DEC"/>
    <w:rsid w:val="1E7C5D31"/>
    <w:rsid w:val="1FD7768E"/>
    <w:rsid w:val="204914EA"/>
    <w:rsid w:val="234D4609"/>
    <w:rsid w:val="24601C7C"/>
    <w:rsid w:val="263F74F5"/>
    <w:rsid w:val="27A9715D"/>
    <w:rsid w:val="2B5608A2"/>
    <w:rsid w:val="2B6A1135"/>
    <w:rsid w:val="2D0E2335"/>
    <w:rsid w:val="2EA35CA7"/>
    <w:rsid w:val="315B4C45"/>
    <w:rsid w:val="316B600E"/>
    <w:rsid w:val="334D51AD"/>
    <w:rsid w:val="35270A9B"/>
    <w:rsid w:val="38E65680"/>
    <w:rsid w:val="39692E64"/>
    <w:rsid w:val="3B8E639F"/>
    <w:rsid w:val="418E1A9F"/>
    <w:rsid w:val="44E555EF"/>
    <w:rsid w:val="4B437C88"/>
    <w:rsid w:val="4BB83E25"/>
    <w:rsid w:val="4C565156"/>
    <w:rsid w:val="4D3623B6"/>
    <w:rsid w:val="4E9F1A99"/>
    <w:rsid w:val="4F7862E1"/>
    <w:rsid w:val="4FE8597B"/>
    <w:rsid w:val="50B956D1"/>
    <w:rsid w:val="51EF105A"/>
    <w:rsid w:val="52011544"/>
    <w:rsid w:val="52D821EC"/>
    <w:rsid w:val="5433353C"/>
    <w:rsid w:val="54B01E10"/>
    <w:rsid w:val="591B643F"/>
    <w:rsid w:val="5A8C5F46"/>
    <w:rsid w:val="5FB84B86"/>
    <w:rsid w:val="606A704A"/>
    <w:rsid w:val="61207AF4"/>
    <w:rsid w:val="6193124A"/>
    <w:rsid w:val="61D9447C"/>
    <w:rsid w:val="64250CB0"/>
    <w:rsid w:val="64B619D7"/>
    <w:rsid w:val="65E309B0"/>
    <w:rsid w:val="668F487D"/>
    <w:rsid w:val="6A40694D"/>
    <w:rsid w:val="6AF3092B"/>
    <w:rsid w:val="6BB30366"/>
    <w:rsid w:val="6BF82A74"/>
    <w:rsid w:val="6CDF4CEA"/>
    <w:rsid w:val="6E493B27"/>
    <w:rsid w:val="71D821C4"/>
    <w:rsid w:val="73065F02"/>
    <w:rsid w:val="74640B85"/>
    <w:rsid w:val="781F01A6"/>
    <w:rsid w:val="7840342D"/>
    <w:rsid w:val="7862480F"/>
    <w:rsid w:val="7A243EFA"/>
    <w:rsid w:val="7D871F97"/>
    <w:rsid w:val="7DCC755F"/>
    <w:rsid w:val="7EE71801"/>
    <w:rsid w:val="7F000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FollowedHyperlink"/>
    <w:basedOn w:val="8"/>
    <w:qFormat/>
    <w:uiPriority w:val="0"/>
    <w:rPr>
      <w:color w:val="800080"/>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Variable"/>
    <w:basedOn w:val="8"/>
    <w:qFormat/>
    <w:uiPriority w:val="0"/>
  </w:style>
  <w:style w:type="character" w:styleId="13">
    <w:name w:val="Hyperlink"/>
    <w:basedOn w:val="8"/>
    <w:qFormat/>
    <w:uiPriority w:val="0"/>
    <w:rPr>
      <w:color w:val="0000FF"/>
      <w:u w:val="none"/>
    </w:rPr>
  </w:style>
  <w:style w:type="character" w:styleId="14">
    <w:name w:val="HTML Cite"/>
    <w:basedOn w:val="8"/>
    <w:qFormat/>
    <w:uiPriority w:val="0"/>
  </w:style>
  <w:style w:type="character" w:customStyle="1" w:styleId="15">
    <w:name w:val="not([class*=suffix])"/>
    <w:basedOn w:val="8"/>
    <w:qFormat/>
    <w:uiPriority w:val="0"/>
  </w:style>
  <w:style w:type="character" w:customStyle="1" w:styleId="16">
    <w:name w:val="not([class*=suffix])1"/>
    <w:basedOn w:val="8"/>
    <w:qFormat/>
    <w:uiPriority w:val="0"/>
    <w:rPr>
      <w:sz w:val="15"/>
      <w:szCs w:val="15"/>
    </w:rPr>
  </w:style>
  <w:style w:type="character" w:customStyle="1" w:styleId="17">
    <w:name w:val="active[data-v-5fc98bdc]"/>
    <w:basedOn w:val="8"/>
    <w:qFormat/>
    <w:uiPriority w:val="0"/>
    <w:rPr>
      <w:color w:val="FFFFFF"/>
      <w:shd w:val="clear" w:color="auto" w:fill="3464CD"/>
    </w:rPr>
  </w:style>
  <w:style w:type="character" w:customStyle="1" w:styleId="18">
    <w:name w:val="active[data-v-6afa3607]"/>
    <w:basedOn w:val="8"/>
    <w:qFormat/>
    <w:uiPriority w:val="0"/>
    <w:rPr>
      <w:color w:val="FFFFFF"/>
      <w:shd w:val="clear" w:color="auto" w:fill="3464C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374</Words>
  <Characters>2137</Characters>
  <Lines>17</Lines>
  <Paragraphs>5</Paragraphs>
  <TotalTime>39</TotalTime>
  <ScaleCrop>false</ScaleCrop>
  <LinksUpToDate>false</LinksUpToDate>
  <CharactersWithSpaces>2506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2021-08-31T10:17:00Z</dcterms:created>
  <dc:creator>ddh</dc:creator>
  <cp:lastModifiedBy>水先生</cp:lastModifiedBy>
  <cp:lastPrinted>2021-09-06T10:08:00Z</cp:lastPrinted>
  <dcterms:modified xsi:type="dcterms:W3CDTF">2021-10-20T03:23:11Z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