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共青团崖州区委员会</w:t>
      </w:r>
      <w:r>
        <w:rPr>
          <w:rFonts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责任清单编制说明</w:t>
      </w:r>
    </w:p>
    <w:p>
      <w:pPr>
        <w:spacing w:line="578" w:lineRule="exact"/>
        <w:rPr>
          <w:rFonts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《中共三亚市崖州区委员会关于印发&lt;三亚市崖州区“制度建设年”行动方案&gt;的通知》（崖州委〔2021〕181号）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精神，</w:t>
      </w: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我单位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编制形成《</w:t>
      </w:r>
      <w:r>
        <w:rPr>
          <w:rFonts w:hint="eastAsia" w:cs="Times New Roman"/>
          <w:szCs w:val="32"/>
        </w:rPr>
        <w:t>共青团崖州区委员会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责任清单》，现将有关内容作说明如下：</w:t>
      </w:r>
    </w:p>
    <w:p>
      <w:pPr>
        <w:spacing w:line="578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委、</w:t>
      </w: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政府核定“三定”规定，</w:t>
      </w: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承担主要职责共</w:t>
      </w:r>
      <w:r>
        <w:rPr>
          <w:rFonts w:hint="eastAsia" w:cs="Times New Roman"/>
          <w:szCs w:val="32"/>
        </w:rPr>
        <w:t>10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3" w:firstLineChars="200"/>
        <w:rPr>
          <w:rFonts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经梳理，深化细化具体工作事项共</w:t>
      </w:r>
      <w:r>
        <w:rPr>
          <w:rFonts w:hint="eastAsia" w:cs="Times New Roman"/>
          <w:szCs w:val="32"/>
        </w:rPr>
        <w:t>26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无</w:t>
      </w:r>
    </w:p>
    <w:p>
      <w:pPr>
        <w:spacing w:line="578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无</w:t>
      </w:r>
    </w:p>
    <w:p>
      <w:pPr>
        <w:spacing w:line="578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经梳理，确定</w:t>
      </w: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公共服务事项共</w:t>
      </w: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jc w:val="center"/>
        <w:rPr>
          <w:rFonts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center"/>
        <w:rPr>
          <w:rFonts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67AB2"/>
    <w:rsid w:val="25167A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2021-10-20T03:16:00Z</dcterms:created>
  <dc:creator>水先生</dc:creator>
  <cp:lastModifiedBy>水先生</cp:lastModifiedBy>
  <dcterms:modified xsi:type="dcterms:W3CDTF">2021-10-20T03:17:02Z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