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bCs/>
          <w:color w:val="000000" w:themeColor="text1"/>
          <w:kern w:val="0"/>
          <w:sz w:val="44"/>
          <w:szCs w:val="44"/>
        </w:rPr>
      </w:pPr>
    </w:p>
    <w:p>
      <w:pPr>
        <w:pStyle w:val="2"/>
        <w:rPr>
          <w:rFonts w:hint="default"/>
        </w:rPr>
      </w:pPr>
    </w:p>
    <w:p>
      <w:pPr>
        <w:spacing w:line="578" w:lineRule="exact"/>
        <w:jc w:val="center"/>
        <w:rPr>
          <w:rFonts w:hint="default" w:ascii="Times New Roman" w:hAnsi="Times New Roman" w:eastAsia="方正小标宋简体" w:cs="Times New Roman"/>
          <w:bCs/>
          <w:color w:val="000000" w:themeColor="text1"/>
          <w:kern w:val="0"/>
          <w:sz w:val="44"/>
          <w:szCs w:val="44"/>
        </w:rPr>
      </w:pPr>
      <w:bookmarkStart w:id="0" w:name="_GoBack"/>
      <w:r>
        <w:rPr>
          <w:rFonts w:hint="eastAsia" w:eastAsia="方正小标宋简体" w:cs="Times New Roman"/>
          <w:bCs/>
          <w:color w:val="000000" w:themeColor="text1"/>
          <w:kern w:val="0"/>
          <w:sz w:val="44"/>
          <w:szCs w:val="44"/>
          <w:lang w:eastAsia="zh-CN"/>
        </w:rPr>
        <w:t>三亚市崖州区信息化服务中心</w:t>
      </w:r>
      <w:r>
        <w:rPr>
          <w:rFonts w:hint="default" w:ascii="Times New Roman" w:hAnsi="Times New Roman" w:eastAsia="方正小标宋简体" w:cs="Times New Roman"/>
          <w:bCs/>
          <w:color w:val="000000" w:themeColor="text1"/>
          <w:kern w:val="0"/>
          <w:sz w:val="44"/>
          <w:szCs w:val="44"/>
        </w:rPr>
        <w:t>责任清单</w:t>
      </w:r>
    </w:p>
    <w:bookmarkEnd w:id="0"/>
    <w:p>
      <w:pPr>
        <w:spacing w:line="578" w:lineRule="exact"/>
        <w:rPr>
          <w:rFonts w:hint="default" w:ascii="Times New Roman" w:hAnsi="Times New Roman" w:cs="Times New Roman"/>
          <w:bCs/>
          <w:color w:val="000000" w:themeColor="text1"/>
          <w:kern w:val="0"/>
          <w:sz w:val="28"/>
          <w:szCs w:val="28"/>
        </w:rPr>
      </w:pPr>
    </w:p>
    <w:p>
      <w:pPr>
        <w:spacing w:line="578" w:lineRule="exact"/>
        <w:jc w:val="center"/>
        <w:rPr>
          <w:rFonts w:hint="default" w:ascii="Times New Roman" w:hAnsi="Times New Roman" w:eastAsia="黑体" w:cs="Times New Roman"/>
          <w:bCs/>
          <w:color w:val="000000" w:themeColor="text1"/>
          <w:kern w:val="0"/>
          <w:szCs w:val="32"/>
        </w:rPr>
      </w:pPr>
      <w:r>
        <w:rPr>
          <w:rFonts w:hint="default" w:ascii="Times New Roman" w:hAnsi="Times New Roman" w:eastAsia="黑体" w:cs="Times New Roman"/>
          <w:bCs/>
          <w:color w:val="000000" w:themeColor="text1"/>
          <w:kern w:val="0"/>
          <w:szCs w:val="32"/>
        </w:rPr>
        <w:t>目</w:t>
      </w:r>
      <w:r>
        <w:rPr>
          <w:rFonts w:hint="eastAsia" w:eastAsia="黑体" w:cs="Times New Roman"/>
          <w:bCs/>
          <w:color w:val="000000" w:themeColor="text1"/>
          <w:kern w:val="0"/>
          <w:szCs w:val="32"/>
          <w:lang w:val="en-US" w:eastAsia="zh-CN"/>
        </w:rPr>
        <w:t xml:space="preserve">  </w:t>
      </w:r>
      <w:r>
        <w:rPr>
          <w:rFonts w:hint="default" w:ascii="Times New Roman" w:hAnsi="Times New Roman" w:eastAsia="黑体" w:cs="Times New Roman"/>
          <w:bCs/>
          <w:color w:val="000000" w:themeColor="text1"/>
          <w:kern w:val="0"/>
          <w:szCs w:val="32"/>
        </w:rPr>
        <w:t>录</w:t>
      </w:r>
    </w:p>
    <w:p>
      <w:pPr>
        <w:spacing w:line="578" w:lineRule="exact"/>
        <w:rPr>
          <w:rFonts w:hint="default" w:ascii="Times New Roman" w:hAnsi="Times New Roman" w:cs="Times New Roman"/>
          <w:bCs/>
          <w:color w:val="000000" w:themeColor="text1"/>
          <w:kern w:val="0"/>
          <w:szCs w:val="32"/>
        </w:rPr>
      </w:pPr>
      <w:r>
        <w:rPr>
          <w:rFonts w:hint="default" w:ascii="Times New Roman" w:hAnsi="Times New Roman" w:cs="Times New Roman"/>
          <w:bCs/>
          <w:color w:val="000000" w:themeColor="text1"/>
          <w:kern w:val="0"/>
          <w:szCs w:val="32"/>
        </w:rPr>
        <w:t xml:space="preserve">   </w:t>
      </w:r>
    </w:p>
    <w:p>
      <w:pPr>
        <w:spacing w:line="578" w:lineRule="exact"/>
        <w:ind w:firstLine="640" w:firstLineChars="200"/>
        <w:rPr>
          <w:rFonts w:hint="default" w:ascii="Times New Roman" w:hAnsi="Times New Roman" w:cs="Times New Roman" w:eastAsiaTheme="minorEastAsia"/>
          <w:bCs/>
          <w:color w:val="000000" w:themeColor="text1"/>
          <w:kern w:val="0"/>
          <w:szCs w:val="32"/>
        </w:rPr>
      </w:pPr>
      <w:r>
        <w:rPr>
          <w:rFonts w:hint="default" w:ascii="Times New Roman" w:hAnsi="Times New Roman" w:cs="Times New Roman" w:eastAsiaTheme="minorEastAsia"/>
          <w:bCs/>
          <w:color w:val="000000" w:themeColor="text1"/>
          <w:kern w:val="0"/>
          <w:szCs w:val="32"/>
        </w:rPr>
        <w:t>一、部门职责登记表</w:t>
      </w:r>
    </w:p>
    <w:p>
      <w:pPr>
        <w:pStyle w:val="2"/>
        <w:numPr>
          <w:ilvl w:val="0"/>
          <w:numId w:val="0"/>
        </w:numPr>
        <w:rPr>
          <w:rFonts w:hint="default" w:eastAsia="仿宋_GB2312"/>
          <w:lang w:val="en-US" w:eastAsia="zh-CN"/>
        </w:rPr>
      </w:pPr>
    </w:p>
    <w:p>
      <w:pPr>
        <w:spacing w:line="578" w:lineRule="exact"/>
        <w:rPr>
          <w:rFonts w:hint="default" w:ascii="Times New Roman" w:hAnsi="Times New Roman" w:cs="Times New Roman" w:eastAsiaTheme="minorEastAsia"/>
          <w:bCs/>
          <w:color w:val="000000" w:themeColor="text1"/>
          <w:sz w:val="24"/>
          <w:szCs w:val="24"/>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spacing w:line="0" w:lineRule="atLeast"/>
        <w:jc w:val="left"/>
        <w:rPr>
          <w:rFonts w:hint="default" w:ascii="Times New Roman" w:hAnsi="Times New Roman" w:cs="Times New Roman"/>
        </w:rPr>
      </w:pPr>
    </w:p>
    <w:p>
      <w:pPr>
        <w:pStyle w:val="2"/>
        <w:rPr>
          <w:rFonts w:hint="default" w:ascii="Times New Roman" w:hAnsi="Times New Roman" w:cs="Times New Roman"/>
        </w:rPr>
      </w:pPr>
    </w:p>
    <w:p>
      <w:pPr>
        <w:spacing w:line="578" w:lineRule="exact"/>
        <w:jc w:val="center"/>
        <w:rPr>
          <w:rFonts w:hint="default" w:ascii="Times New Roman" w:hAnsi="Times New Roman" w:eastAsia="方正小标宋简体" w:cs="Times New Roman"/>
          <w:sz w:val="36"/>
          <w:szCs w:val="36"/>
        </w:rPr>
      </w:pPr>
    </w:p>
    <w:p>
      <w:pPr>
        <w:spacing w:line="578" w:lineRule="exact"/>
        <w:jc w:val="center"/>
        <w:rPr>
          <w:rFonts w:hint="default" w:ascii="Times New Roman" w:hAnsi="Times New Roman" w:eastAsia="方正小标宋简体" w:cs="Times New Roman"/>
          <w:sz w:val="36"/>
          <w:szCs w:val="36"/>
        </w:rPr>
      </w:pPr>
    </w:p>
    <w:p>
      <w:pPr>
        <w:spacing w:line="578" w:lineRule="exact"/>
        <w:jc w:val="center"/>
        <w:rPr>
          <w:rFonts w:hint="default" w:ascii="Times New Roman" w:hAnsi="Times New Roman" w:eastAsia="方正小标宋简体" w:cs="Times New Roman"/>
          <w:sz w:val="36"/>
          <w:szCs w:val="36"/>
        </w:rPr>
      </w:pPr>
    </w:p>
    <w:p>
      <w:pPr>
        <w:spacing w:line="578" w:lineRule="exact"/>
        <w:jc w:val="center"/>
        <w:rPr>
          <w:rFonts w:hint="default" w:ascii="Times New Roman" w:hAnsi="Times New Roman" w:eastAsia="方正小标宋简体" w:cs="Times New Roman"/>
          <w:sz w:val="36"/>
          <w:szCs w:val="36"/>
        </w:rPr>
      </w:pPr>
    </w:p>
    <w:p>
      <w:pPr>
        <w:spacing w:line="578" w:lineRule="exact"/>
        <w:jc w:val="center"/>
        <w:rPr>
          <w:rFonts w:hint="default" w:ascii="Times New Roman" w:hAnsi="Times New Roman" w:eastAsia="方正小标宋简体" w:cs="Times New Roman"/>
          <w:sz w:val="36"/>
          <w:szCs w:val="36"/>
        </w:rPr>
      </w:pPr>
    </w:p>
    <w:p>
      <w:pPr>
        <w:spacing w:line="578" w:lineRule="exact"/>
        <w:jc w:val="center"/>
        <w:rPr>
          <w:rFonts w:hint="default" w:ascii="Times New Roman" w:hAnsi="Times New Roman" w:eastAsia="方正小标宋简体" w:cs="Times New Roman"/>
          <w:sz w:val="36"/>
          <w:szCs w:val="36"/>
        </w:rPr>
      </w:pPr>
    </w:p>
    <w:p>
      <w:pPr>
        <w:spacing w:line="400" w:lineRule="exact"/>
        <w:jc w:val="center"/>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一、</w:t>
      </w:r>
      <w:r>
        <w:rPr>
          <w:rFonts w:hint="default" w:ascii="Times New Roman" w:hAnsi="Times New Roman" w:eastAsia="方正小标宋简体" w:cs="Times New Roman"/>
          <w:sz w:val="36"/>
          <w:szCs w:val="36"/>
        </w:rPr>
        <w:t>部门职责登记表</w:t>
      </w:r>
    </w:p>
    <w:tbl>
      <w:tblPr>
        <w:tblStyle w:val="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306"/>
        <w:gridCol w:w="944"/>
        <w:gridCol w:w="3876"/>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5" w:type="dxa"/>
            <w:vAlign w:val="center"/>
          </w:tcPr>
          <w:p>
            <w:pPr>
              <w:spacing w:line="578" w:lineRule="exact"/>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b/>
                <w:sz w:val="21"/>
                <w:szCs w:val="21"/>
              </w:rPr>
              <w:t>序号</w:t>
            </w:r>
          </w:p>
        </w:tc>
        <w:tc>
          <w:tcPr>
            <w:tcW w:w="2306" w:type="dxa"/>
            <w:vAlign w:val="center"/>
          </w:tcPr>
          <w:p>
            <w:pPr>
              <w:spacing w:line="578" w:lineRule="exact"/>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b/>
                <w:sz w:val="21"/>
                <w:szCs w:val="21"/>
              </w:rPr>
              <w:t>主要职责</w:t>
            </w:r>
          </w:p>
        </w:tc>
        <w:tc>
          <w:tcPr>
            <w:tcW w:w="944" w:type="dxa"/>
            <w:vAlign w:val="center"/>
          </w:tcPr>
          <w:p>
            <w:pPr>
              <w:spacing w:line="578" w:lineRule="exact"/>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序号</w:t>
            </w:r>
          </w:p>
        </w:tc>
        <w:tc>
          <w:tcPr>
            <w:tcW w:w="3876" w:type="dxa"/>
            <w:vAlign w:val="center"/>
          </w:tcPr>
          <w:p>
            <w:pPr>
              <w:spacing w:line="578" w:lineRule="exact"/>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b/>
                <w:sz w:val="21"/>
                <w:szCs w:val="21"/>
              </w:rPr>
              <w:t>具体工作事项</w:t>
            </w:r>
          </w:p>
        </w:tc>
        <w:tc>
          <w:tcPr>
            <w:tcW w:w="902" w:type="dxa"/>
            <w:vAlign w:val="center"/>
          </w:tcPr>
          <w:p>
            <w:pPr>
              <w:spacing w:line="578" w:lineRule="exact"/>
              <w:jc w:val="center"/>
              <w:rPr>
                <w:rFonts w:hint="eastAsia" w:asciiTheme="minorEastAsia" w:hAnsiTheme="minorEastAsia" w:eastAsiaTheme="minorEastAsia" w:cstheme="minorEastAsia"/>
                <w:b/>
                <w:sz w:val="21"/>
                <w:szCs w:val="21"/>
                <w:vertAlign w:val="baseline"/>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28" w:hRule="atLeast"/>
        </w:trPr>
        <w:tc>
          <w:tcPr>
            <w:tcW w:w="1005" w:type="dxa"/>
            <w:vMerge w:val="restart"/>
            <w:vAlign w:val="center"/>
          </w:tcPr>
          <w:p>
            <w:pPr>
              <w:pStyle w:val="2"/>
              <w:ind w:left="0" w:lef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kern w:val="2"/>
                <w:sz w:val="21"/>
                <w:szCs w:val="21"/>
                <w:vertAlign w:val="baseline"/>
                <w:lang w:val="en-US" w:eastAsia="zh-CN" w:bidi="ar-SA"/>
              </w:rPr>
              <w:t>1</w:t>
            </w:r>
          </w:p>
        </w:tc>
        <w:tc>
          <w:tcPr>
            <w:tcW w:w="23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负责本区党政综合信息网络的规划建设、运行维护管理，组织协调机关办公自动化的规划建设并提供技术指导和信息咨询服务。</w:t>
            </w:r>
          </w:p>
        </w:tc>
        <w:tc>
          <w:tcPr>
            <w:tcW w:w="9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负责党政综合信息网络的规划建设、运行维护管理。</w:t>
            </w:r>
          </w:p>
        </w:tc>
        <w:tc>
          <w:tcPr>
            <w:tcW w:w="902" w:type="dxa"/>
          </w:tcPr>
          <w:p>
            <w:pPr>
              <w:spacing w:line="578" w:lineRule="exact"/>
              <w:rPr>
                <w:rFonts w:hint="eastAsia" w:asciiTheme="minorEastAsia" w:hAnsiTheme="minorEastAsia" w:eastAsiaTheme="minorEastAsia" w:cstheme="minor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005" w:type="dxa"/>
            <w:vMerge w:val="continue"/>
            <w:vAlign w:val="center"/>
          </w:tcPr>
          <w:p>
            <w:pPr>
              <w:spacing w:line="578" w:lineRule="exact"/>
              <w:ind w:left="0" w:leftChars="0"/>
              <w:jc w:val="center"/>
              <w:rPr>
                <w:rFonts w:hint="eastAsia" w:asciiTheme="minorEastAsia" w:hAnsiTheme="minorEastAsia" w:eastAsiaTheme="minorEastAsia" w:cstheme="minorEastAsia"/>
                <w:b/>
                <w:sz w:val="21"/>
                <w:szCs w:val="21"/>
                <w:vertAlign w:val="baseline"/>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sz w:val="21"/>
                <w:szCs w:val="21"/>
                <w:vertAlign w:val="baseline"/>
              </w:rPr>
            </w:pPr>
          </w:p>
        </w:tc>
        <w:tc>
          <w:tcPr>
            <w:tcW w:w="9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2</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负责</w:t>
            </w:r>
            <w:r>
              <w:rPr>
                <w:rFonts w:hint="eastAsia" w:asciiTheme="minorEastAsia" w:hAnsiTheme="minorEastAsia" w:eastAsiaTheme="minorEastAsia" w:cstheme="minorEastAsia"/>
                <w:b w:val="0"/>
                <w:bCs/>
                <w:sz w:val="21"/>
                <w:szCs w:val="21"/>
                <w:vertAlign w:val="baseline"/>
                <w:lang w:eastAsia="zh-CN"/>
              </w:rPr>
              <w:t>组织协调机关办公自动化的规划建设并提供技术指导和信息咨询服务</w:t>
            </w:r>
            <w:r>
              <w:rPr>
                <w:rFonts w:hint="eastAsia" w:asciiTheme="minorEastAsia" w:hAnsiTheme="minorEastAsia" w:eastAsiaTheme="minorEastAsia" w:cstheme="minorEastAsia"/>
                <w:b w:val="0"/>
                <w:bCs/>
                <w:sz w:val="21"/>
                <w:szCs w:val="21"/>
                <w:vertAlign w:val="baseline"/>
                <w:lang w:val="en-US" w:eastAsia="zh-CN"/>
              </w:rPr>
              <w:t>。</w:t>
            </w:r>
          </w:p>
        </w:tc>
        <w:tc>
          <w:tcPr>
            <w:tcW w:w="902" w:type="dxa"/>
          </w:tcPr>
          <w:p>
            <w:pPr>
              <w:spacing w:line="578" w:lineRule="exact"/>
              <w:rPr>
                <w:rFonts w:hint="eastAsia" w:asciiTheme="minorEastAsia" w:hAnsiTheme="minorEastAsia" w:eastAsiaTheme="minorEastAsia" w:cstheme="minor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005" w:type="dxa"/>
            <w:vMerge w:val="continue"/>
            <w:vAlign w:val="center"/>
          </w:tcPr>
          <w:p>
            <w:pPr>
              <w:spacing w:line="578" w:lineRule="exact"/>
              <w:ind w:left="0" w:leftChars="0"/>
              <w:jc w:val="center"/>
              <w:rPr>
                <w:rFonts w:hint="eastAsia" w:asciiTheme="minorEastAsia" w:hAnsiTheme="minorEastAsia" w:eastAsiaTheme="minorEastAsia" w:cstheme="minorEastAsia"/>
                <w:b/>
                <w:sz w:val="21"/>
                <w:szCs w:val="21"/>
                <w:vertAlign w:val="baseline"/>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sz w:val="21"/>
                <w:szCs w:val="21"/>
                <w:vertAlign w:val="baseline"/>
              </w:rPr>
            </w:pPr>
          </w:p>
        </w:tc>
        <w:tc>
          <w:tcPr>
            <w:tcW w:w="9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3</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负责组织开展全区党政信息网络培训工作。</w:t>
            </w:r>
          </w:p>
        </w:tc>
        <w:tc>
          <w:tcPr>
            <w:tcW w:w="902" w:type="dxa"/>
          </w:tcPr>
          <w:p>
            <w:pPr>
              <w:spacing w:line="578" w:lineRule="exact"/>
              <w:rPr>
                <w:rFonts w:hint="eastAsia" w:asciiTheme="minorEastAsia" w:hAnsiTheme="minorEastAsia" w:eastAsiaTheme="minorEastAsia" w:cstheme="minor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005" w:type="dxa"/>
            <w:vAlign w:val="center"/>
          </w:tcPr>
          <w:p>
            <w:pPr>
              <w:spacing w:line="578"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kern w:val="2"/>
                <w:sz w:val="21"/>
                <w:szCs w:val="21"/>
                <w:vertAlign w:val="baseline"/>
                <w:lang w:val="en-US" w:eastAsia="zh-CN" w:bidi="ar-SA"/>
              </w:rPr>
              <w:t>2</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sz w:val="21"/>
                <w:szCs w:val="21"/>
                <w:vertAlign w:val="baseline"/>
                <w:lang w:val="en-US" w:eastAsia="zh-CN"/>
              </w:rPr>
              <w:t>负责本区党务、政务系统的数据交换及党政网络信息发布。</w:t>
            </w:r>
          </w:p>
        </w:tc>
        <w:tc>
          <w:tcPr>
            <w:tcW w:w="9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4</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eastAsia="zh-CN"/>
              </w:rPr>
              <w:t>负责本区党务、政务系统的数据交换及党政网络信息发布。</w:t>
            </w:r>
          </w:p>
        </w:tc>
        <w:tc>
          <w:tcPr>
            <w:tcW w:w="902" w:type="dxa"/>
          </w:tcPr>
          <w:p>
            <w:pPr>
              <w:spacing w:line="578" w:lineRule="exact"/>
              <w:rPr>
                <w:rFonts w:hint="eastAsia" w:asciiTheme="minorEastAsia" w:hAnsiTheme="minorEastAsia" w:eastAsiaTheme="minorEastAsia" w:cstheme="minor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1005" w:type="dxa"/>
            <w:vAlign w:val="center"/>
          </w:tcPr>
          <w:p>
            <w:pPr>
              <w:spacing w:line="578" w:lineRule="exact"/>
              <w:jc w:val="center"/>
              <w:rPr>
                <w:rFonts w:hint="eastAsia" w:asciiTheme="minorEastAsia" w:hAnsiTheme="minorEastAsia" w:eastAsiaTheme="minorEastAsia" w:cstheme="minorEastAsia"/>
                <w:b w:val="0"/>
                <w:bCs/>
                <w:kern w:val="2"/>
                <w:sz w:val="21"/>
                <w:szCs w:val="21"/>
                <w:vertAlign w:val="baseline"/>
                <w:lang w:val="en-US" w:eastAsia="zh-CN" w:bidi="ar-SA"/>
              </w:rPr>
            </w:pPr>
            <w:r>
              <w:rPr>
                <w:rFonts w:hint="eastAsia" w:asciiTheme="minorEastAsia" w:hAnsiTheme="minorEastAsia" w:eastAsiaTheme="minorEastAsia" w:cstheme="minorEastAsia"/>
                <w:b w:val="0"/>
                <w:bCs/>
                <w:kern w:val="2"/>
                <w:sz w:val="21"/>
                <w:szCs w:val="21"/>
                <w:vertAlign w:val="baseline"/>
                <w:lang w:val="en-US" w:eastAsia="zh-CN" w:bidi="ar-SA"/>
              </w:rPr>
              <w:t>3</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负责本区各部门数据信息集中处理的技术服务工作。</w:t>
            </w:r>
          </w:p>
        </w:tc>
        <w:tc>
          <w:tcPr>
            <w:tcW w:w="9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5</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负责本区各部门数据信息集中处理的技术服务工作。</w:t>
            </w:r>
          </w:p>
        </w:tc>
        <w:tc>
          <w:tcPr>
            <w:tcW w:w="902" w:type="dxa"/>
          </w:tcPr>
          <w:p>
            <w:pPr>
              <w:spacing w:line="578" w:lineRule="exact"/>
              <w:rPr>
                <w:rFonts w:hint="eastAsia" w:asciiTheme="minorEastAsia" w:hAnsiTheme="minorEastAsia" w:eastAsiaTheme="minorEastAsia" w:cstheme="minor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005" w:type="dxa"/>
            <w:vAlign w:val="center"/>
          </w:tcPr>
          <w:p>
            <w:pPr>
              <w:spacing w:line="578" w:lineRule="exact"/>
              <w:jc w:val="center"/>
              <w:rPr>
                <w:rFonts w:hint="eastAsia" w:asciiTheme="minorEastAsia" w:hAnsiTheme="minorEastAsia" w:eastAsiaTheme="minorEastAsia" w:cstheme="minorEastAsia"/>
                <w:b w:val="0"/>
                <w:bCs/>
                <w:kern w:val="2"/>
                <w:sz w:val="21"/>
                <w:szCs w:val="21"/>
                <w:vertAlign w:val="baseline"/>
                <w:lang w:val="en-US" w:eastAsia="zh-CN" w:bidi="ar-SA"/>
              </w:rPr>
            </w:pPr>
            <w:r>
              <w:rPr>
                <w:rFonts w:hint="eastAsia" w:asciiTheme="minorEastAsia" w:hAnsiTheme="minorEastAsia" w:eastAsiaTheme="minorEastAsia" w:cstheme="minorEastAsia"/>
                <w:b w:val="0"/>
                <w:bCs/>
                <w:kern w:val="2"/>
                <w:sz w:val="21"/>
                <w:szCs w:val="21"/>
                <w:vertAlign w:val="baseline"/>
                <w:lang w:val="en-US" w:eastAsia="zh-CN" w:bidi="ar-SA"/>
              </w:rPr>
              <w:t>4</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协助全区通信与信息安全。</w:t>
            </w:r>
          </w:p>
        </w:tc>
        <w:tc>
          <w:tcPr>
            <w:tcW w:w="9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6</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kern w:val="2"/>
                <w:sz w:val="21"/>
                <w:szCs w:val="21"/>
                <w:vertAlign w:val="baseline"/>
                <w:lang w:val="en-US" w:eastAsia="zh-CN" w:bidi="ar-SA"/>
              </w:rPr>
            </w:pPr>
            <w:r>
              <w:rPr>
                <w:rFonts w:hint="eastAsia" w:asciiTheme="minorEastAsia" w:hAnsiTheme="minorEastAsia" w:eastAsiaTheme="minorEastAsia" w:cstheme="minorEastAsia"/>
                <w:b w:val="0"/>
                <w:bCs/>
                <w:sz w:val="21"/>
                <w:szCs w:val="21"/>
                <w:vertAlign w:val="baseline"/>
                <w:lang w:eastAsia="zh-CN"/>
              </w:rPr>
              <w:t>协助全区通信与信息安全。</w:t>
            </w:r>
          </w:p>
        </w:tc>
        <w:tc>
          <w:tcPr>
            <w:tcW w:w="902" w:type="dxa"/>
          </w:tcPr>
          <w:p>
            <w:pPr>
              <w:spacing w:line="578" w:lineRule="exact"/>
              <w:rPr>
                <w:rFonts w:hint="eastAsia" w:asciiTheme="minorEastAsia" w:hAnsiTheme="minorEastAsia" w:eastAsiaTheme="minorEastAsia" w:cstheme="minorEastAsia"/>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005" w:type="dxa"/>
            <w:vAlign w:val="center"/>
          </w:tcPr>
          <w:p>
            <w:pPr>
              <w:spacing w:line="578" w:lineRule="exact"/>
              <w:jc w:val="center"/>
              <w:rPr>
                <w:rFonts w:hint="eastAsia" w:asciiTheme="minorEastAsia" w:hAnsiTheme="minorEastAsia" w:eastAsiaTheme="minorEastAsia" w:cstheme="minorEastAsia"/>
                <w:b w:val="0"/>
                <w:bCs/>
                <w:kern w:val="2"/>
                <w:sz w:val="21"/>
                <w:szCs w:val="21"/>
                <w:vertAlign w:val="baseline"/>
                <w:lang w:val="en-US" w:eastAsia="zh-CN" w:bidi="ar-SA"/>
              </w:rPr>
            </w:pPr>
            <w:r>
              <w:rPr>
                <w:rFonts w:hint="eastAsia" w:asciiTheme="minorEastAsia" w:hAnsiTheme="minorEastAsia" w:eastAsiaTheme="minorEastAsia" w:cstheme="minorEastAsia"/>
                <w:b w:val="0"/>
                <w:bCs/>
                <w:kern w:val="2"/>
                <w:sz w:val="21"/>
                <w:szCs w:val="21"/>
                <w:vertAlign w:val="baseline"/>
                <w:lang w:val="en-US" w:eastAsia="zh-CN" w:bidi="ar-SA"/>
              </w:rPr>
              <w:t>5</w:t>
            </w:r>
          </w:p>
        </w:tc>
        <w:tc>
          <w:tcPr>
            <w:tcW w:w="23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承办区政府及上级部门交办的工作。</w:t>
            </w:r>
          </w:p>
        </w:tc>
        <w:tc>
          <w:tcPr>
            <w:tcW w:w="9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7</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sz w:val="21"/>
                <w:szCs w:val="21"/>
                <w:vertAlign w:val="baseline"/>
                <w:lang w:eastAsia="zh-CN"/>
              </w:rPr>
            </w:pPr>
            <w:r>
              <w:rPr>
                <w:rFonts w:hint="eastAsia" w:asciiTheme="minorEastAsia" w:hAnsiTheme="minorEastAsia" w:eastAsiaTheme="minorEastAsia" w:cstheme="minorEastAsia"/>
                <w:b w:val="0"/>
                <w:bCs/>
                <w:sz w:val="21"/>
                <w:szCs w:val="21"/>
                <w:vertAlign w:val="baseline"/>
                <w:lang w:eastAsia="zh-CN"/>
              </w:rPr>
              <w:t>承办区政府及上级部门交办的工作。</w:t>
            </w:r>
          </w:p>
        </w:tc>
        <w:tc>
          <w:tcPr>
            <w:tcW w:w="902" w:type="dxa"/>
          </w:tcPr>
          <w:p>
            <w:pPr>
              <w:spacing w:line="578" w:lineRule="exact"/>
              <w:rPr>
                <w:rFonts w:hint="eastAsia" w:asciiTheme="minorEastAsia" w:hAnsiTheme="minorEastAsia" w:eastAsiaTheme="minorEastAsia" w:cstheme="minorEastAsia"/>
                <w:b/>
                <w:sz w:val="21"/>
                <w:szCs w:val="21"/>
                <w:vertAlign w:val="baseline"/>
              </w:rPr>
            </w:pPr>
          </w:p>
        </w:tc>
      </w:tr>
    </w:tbl>
    <w:p>
      <w:pPr>
        <w:pStyle w:val="2"/>
        <w:rPr>
          <w:rFonts w:hint="default"/>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方正舒体"/>
    <w:panose1 w:val="03000509000000000000"/>
    <w:charset w:val="86"/>
    <w:family w:val="script"/>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dVpA6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5B307E"/>
    <w:rsid w:val="01546A5A"/>
    <w:rsid w:val="038C1C4C"/>
    <w:rsid w:val="04046400"/>
    <w:rsid w:val="04D84057"/>
    <w:rsid w:val="05EC5293"/>
    <w:rsid w:val="05F97E29"/>
    <w:rsid w:val="066B1319"/>
    <w:rsid w:val="06970489"/>
    <w:rsid w:val="08EF55B8"/>
    <w:rsid w:val="0BB005D6"/>
    <w:rsid w:val="115C410F"/>
    <w:rsid w:val="12F81701"/>
    <w:rsid w:val="187F1C4F"/>
    <w:rsid w:val="19006D44"/>
    <w:rsid w:val="19CC140B"/>
    <w:rsid w:val="19FB65B5"/>
    <w:rsid w:val="1A7E6B05"/>
    <w:rsid w:val="1ABB268D"/>
    <w:rsid w:val="1B8A0930"/>
    <w:rsid w:val="1BD34A2D"/>
    <w:rsid w:val="1C216412"/>
    <w:rsid w:val="1C4317C7"/>
    <w:rsid w:val="1D9C4C7C"/>
    <w:rsid w:val="1E14315F"/>
    <w:rsid w:val="1EC53339"/>
    <w:rsid w:val="1F576EA3"/>
    <w:rsid w:val="229C2B51"/>
    <w:rsid w:val="23082725"/>
    <w:rsid w:val="26125CFE"/>
    <w:rsid w:val="27B6002E"/>
    <w:rsid w:val="2879640A"/>
    <w:rsid w:val="2A153C94"/>
    <w:rsid w:val="2B4757D2"/>
    <w:rsid w:val="2C74066E"/>
    <w:rsid w:val="2D9C2201"/>
    <w:rsid w:val="2E8A5A97"/>
    <w:rsid w:val="2FB410E5"/>
    <w:rsid w:val="307916BF"/>
    <w:rsid w:val="30DD2B24"/>
    <w:rsid w:val="31054F6A"/>
    <w:rsid w:val="3289357E"/>
    <w:rsid w:val="34F71425"/>
    <w:rsid w:val="36934425"/>
    <w:rsid w:val="39345C18"/>
    <w:rsid w:val="3A972347"/>
    <w:rsid w:val="3AEB2DD4"/>
    <w:rsid w:val="3BBE6863"/>
    <w:rsid w:val="3E0E276E"/>
    <w:rsid w:val="415F09FC"/>
    <w:rsid w:val="41A15F6C"/>
    <w:rsid w:val="4223267E"/>
    <w:rsid w:val="424372E0"/>
    <w:rsid w:val="42BB20B1"/>
    <w:rsid w:val="442F01EE"/>
    <w:rsid w:val="44604B8F"/>
    <w:rsid w:val="46645C30"/>
    <w:rsid w:val="47C14663"/>
    <w:rsid w:val="487C1826"/>
    <w:rsid w:val="48CF2C82"/>
    <w:rsid w:val="4968669E"/>
    <w:rsid w:val="4AA80BD0"/>
    <w:rsid w:val="4D323364"/>
    <w:rsid w:val="4FAC476F"/>
    <w:rsid w:val="4FC0348D"/>
    <w:rsid w:val="50E33898"/>
    <w:rsid w:val="53484562"/>
    <w:rsid w:val="538A6088"/>
    <w:rsid w:val="54E67B47"/>
    <w:rsid w:val="54F60246"/>
    <w:rsid w:val="558636C1"/>
    <w:rsid w:val="569B194D"/>
    <w:rsid w:val="57C51086"/>
    <w:rsid w:val="5A3203AE"/>
    <w:rsid w:val="5B54384E"/>
    <w:rsid w:val="5C863B8C"/>
    <w:rsid w:val="5DBA12E7"/>
    <w:rsid w:val="5EF33294"/>
    <w:rsid w:val="602A37A0"/>
    <w:rsid w:val="61EC77DF"/>
    <w:rsid w:val="62843FEC"/>
    <w:rsid w:val="62C40281"/>
    <w:rsid w:val="63B75454"/>
    <w:rsid w:val="669D1F42"/>
    <w:rsid w:val="6811432F"/>
    <w:rsid w:val="685C1E23"/>
    <w:rsid w:val="68A13563"/>
    <w:rsid w:val="6AC00F08"/>
    <w:rsid w:val="6AD57107"/>
    <w:rsid w:val="6EE76793"/>
    <w:rsid w:val="70746E88"/>
    <w:rsid w:val="713820A0"/>
    <w:rsid w:val="73F47604"/>
    <w:rsid w:val="74283E20"/>
    <w:rsid w:val="75DC31CD"/>
    <w:rsid w:val="76027B19"/>
    <w:rsid w:val="78AC6FD9"/>
    <w:rsid w:val="7A4F4F66"/>
    <w:rsid w:val="7A823639"/>
    <w:rsid w:val="7CFA3218"/>
    <w:rsid w:val="7E434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TotalTime>0</TotalTime>
  <ScaleCrop>false</ScaleCrop>
  <LinksUpToDate>false</LinksUpToDate>
  <CharactersWithSpaces>21156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水先生</cp:lastModifiedBy>
  <cp:lastPrinted>2021-05-20T00:48:00Z</cp:lastPrinted>
  <dcterms:modified xsi:type="dcterms:W3CDTF">2021-10-14T03:24:46Z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