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22"/>
        </w:rPr>
      </w:pPr>
    </w:p>
    <w:p>
      <w:pPr>
        <w:spacing w:line="578" w:lineRule="exact"/>
        <w:jc w:val="center"/>
        <w:rPr>
          <w:rFonts w:ascii="Times New Roman" w:hAnsi="Times New Roman" w:eastAsia="方正小标宋简体" w:cs="Times New Roman"/>
          <w:bCs/>
          <w:color w:val="000000" w:themeColor="text1"/>
          <w:kern w:val="0"/>
          <w:sz w:val="44"/>
          <w:szCs w:val="44"/>
        </w:rPr>
      </w:pPr>
      <w:bookmarkStart w:id="0" w:name="_GoBack"/>
      <w:r>
        <w:rPr>
          <w:rFonts w:hint="eastAsia" w:ascii="Times New Roman" w:hAnsi="Times New Roman" w:eastAsia="方正小标宋简体" w:cs="Times New Roman"/>
          <w:bCs/>
          <w:color w:val="000000" w:themeColor="text1"/>
          <w:kern w:val="0"/>
          <w:sz w:val="44"/>
          <w:szCs w:val="44"/>
        </w:rPr>
        <w:t>三亚市崖州区退役军人事务</w:t>
      </w:r>
      <w:r>
        <w:rPr>
          <w:rFonts w:ascii="Times New Roman" w:hAnsi="Times New Roman" w:eastAsia="方正小标宋简体" w:cs="Times New Roman"/>
          <w:bCs/>
          <w:color w:val="000000" w:themeColor="text1"/>
          <w:kern w:val="0"/>
          <w:sz w:val="44"/>
          <w:szCs w:val="44"/>
        </w:rPr>
        <w:t>局责任清单</w:t>
      </w:r>
    </w:p>
    <w:p>
      <w:pPr>
        <w:rPr>
          <w:rFonts w:ascii="Times New Roman" w:hAnsi="Times New Roman" w:eastAsia="仿宋_GB2312"/>
          <w:sz w:val="32"/>
          <w:szCs w:val="22"/>
        </w:rPr>
      </w:pPr>
    </w:p>
    <w:p>
      <w:pPr>
        <w:spacing w:line="578" w:lineRule="exact"/>
        <w:jc w:val="center"/>
        <w:rPr>
          <w:rFonts w:ascii="Times New Roman" w:hAnsi="Times New Roman" w:eastAsia="黑体" w:cs="Times New Roman"/>
          <w:bCs/>
          <w:color w:val="000000" w:themeColor="text1"/>
          <w:kern w:val="0"/>
          <w:sz w:val="32"/>
          <w:szCs w:val="32"/>
        </w:rPr>
      </w:pPr>
      <w:r>
        <w:rPr>
          <w:rFonts w:ascii="Times New Roman" w:hAnsi="Times New Roman" w:eastAsia="黑体" w:cs="Times New Roman"/>
          <w:bCs/>
          <w:color w:val="000000" w:themeColor="text1"/>
          <w:kern w:val="0"/>
          <w:sz w:val="32"/>
          <w:szCs w:val="32"/>
        </w:rPr>
        <w:t>目录</w:t>
      </w:r>
    </w:p>
    <w:bookmarkEnd w:id="0"/>
    <w:p>
      <w:pPr>
        <w:spacing w:line="578" w:lineRule="exact"/>
        <w:rPr>
          <w:rFonts w:ascii="Times New Roman" w:hAnsi="Times New Roman" w:eastAsia="仿宋_GB2312" w:cs="Times New Roman"/>
          <w:bCs/>
          <w:color w:val="000000" w:themeColor="text1"/>
          <w:kern w:val="0"/>
          <w:sz w:val="32"/>
          <w:szCs w:val="32"/>
        </w:rPr>
      </w:pPr>
      <w:r>
        <w:rPr>
          <w:rFonts w:ascii="Times New Roman" w:hAnsi="Times New Roman" w:eastAsia="仿宋_GB2312" w:cs="Times New Roman"/>
          <w:bCs/>
          <w:color w:val="000000" w:themeColor="text1"/>
          <w:kern w:val="0"/>
          <w:sz w:val="32"/>
          <w:szCs w:val="32"/>
        </w:rPr>
        <w:t xml:space="preserve">   </w:t>
      </w:r>
    </w:p>
    <w:p>
      <w:pPr>
        <w:spacing w:line="578" w:lineRule="exact"/>
        <w:ind w:firstLine="320" w:firstLineChars="100"/>
        <w:rPr>
          <w:rFonts w:ascii="Times New Roman" w:hAnsi="Times New Roman" w:cs="Times New Roman"/>
          <w:bCs/>
          <w:color w:val="000000" w:themeColor="text1"/>
          <w:kern w:val="0"/>
          <w:sz w:val="32"/>
          <w:szCs w:val="32"/>
        </w:rPr>
      </w:pPr>
      <w:r>
        <w:rPr>
          <w:rFonts w:hint="eastAsia" w:ascii="Times New Roman" w:hAnsi="Times New Roman" w:cs="Times New Roman"/>
          <w:bCs/>
          <w:color w:val="000000" w:themeColor="text1"/>
          <w:kern w:val="0"/>
          <w:sz w:val="32"/>
          <w:szCs w:val="32"/>
        </w:rPr>
        <w:t>一、</w:t>
      </w:r>
      <w:r>
        <w:rPr>
          <w:rFonts w:ascii="Times New Roman" w:hAnsi="Times New Roman" w:cs="Times New Roman"/>
          <w:bCs/>
          <w:color w:val="000000" w:themeColor="text1"/>
          <w:kern w:val="0"/>
          <w:sz w:val="32"/>
          <w:szCs w:val="32"/>
        </w:rPr>
        <w:t>部门职责登记表</w:t>
      </w:r>
    </w:p>
    <w:p>
      <w:pPr>
        <w:spacing w:line="578" w:lineRule="exact"/>
        <w:rPr>
          <w:rFonts w:hint="eastAsia" w:ascii="仿宋_GB2312" w:hAnsi="Times New Roman" w:eastAsia="仿宋_GB2312" w:cs="Times New Roman"/>
          <w:bCs/>
          <w:color w:val="000000" w:themeColor="text1"/>
          <w:kern w:val="0"/>
          <w:sz w:val="32"/>
          <w:szCs w:val="32"/>
        </w:rPr>
      </w:pPr>
      <w:r>
        <w:rPr>
          <w:rFonts w:hint="eastAsia" w:ascii="仿宋_GB2312" w:hAnsi="Times New Roman" w:eastAsia="仿宋_GB2312" w:cs="Times New Roman"/>
          <w:bCs/>
          <w:color w:val="000000" w:themeColor="text1"/>
          <w:kern w:val="0"/>
          <w:sz w:val="32"/>
          <w:szCs w:val="32"/>
        </w:rPr>
        <w:t>（按保密要求，不作公开，如有需要请与区委编办联系了解）</w:t>
      </w:r>
    </w:p>
    <w:p>
      <w:pPr>
        <w:spacing w:line="578" w:lineRule="exact"/>
        <w:ind w:firstLine="320" w:firstLineChars="100"/>
        <w:rPr>
          <w:rFonts w:ascii="Times New Roman" w:hAnsi="Times New Roman" w:cs="Times New Roman"/>
          <w:bCs/>
          <w:color w:val="000000" w:themeColor="text1"/>
          <w:kern w:val="0"/>
          <w:sz w:val="32"/>
          <w:szCs w:val="32"/>
        </w:rPr>
      </w:pPr>
      <w:r>
        <w:rPr>
          <w:rFonts w:ascii="Times New Roman" w:hAnsi="Times New Roman" w:cs="Times New Roman"/>
          <w:bCs/>
          <w:color w:val="000000" w:themeColor="text1"/>
          <w:kern w:val="0"/>
          <w:sz w:val="32"/>
          <w:szCs w:val="32"/>
        </w:rPr>
        <w:t>二、与相关部门的职责边界</w:t>
      </w:r>
      <w:r>
        <w:rPr>
          <w:rFonts w:hint="eastAsia" w:ascii="Times New Roman" w:hAnsi="Times New Roman" w:cs="Times New Roman"/>
          <w:bCs/>
          <w:color w:val="000000" w:themeColor="text1"/>
          <w:kern w:val="0"/>
          <w:sz w:val="32"/>
          <w:szCs w:val="32"/>
        </w:rPr>
        <w:t>登记</w:t>
      </w:r>
      <w:r>
        <w:rPr>
          <w:rFonts w:ascii="Times New Roman" w:hAnsi="Times New Roman" w:cs="Times New Roman"/>
          <w:bCs/>
          <w:color w:val="000000" w:themeColor="text1"/>
          <w:kern w:val="0"/>
          <w:sz w:val="32"/>
          <w:szCs w:val="32"/>
        </w:rPr>
        <w:t>表</w:t>
      </w:r>
    </w:p>
    <w:p>
      <w:pPr>
        <w:spacing w:line="578" w:lineRule="exact"/>
        <w:ind w:firstLine="320" w:firstLineChars="100"/>
        <w:rPr>
          <w:rFonts w:ascii="Times New Roman" w:hAnsi="Times New Roman" w:cs="Times New Roman"/>
          <w:bCs/>
          <w:color w:val="000000" w:themeColor="text1"/>
          <w:kern w:val="0"/>
          <w:sz w:val="32"/>
          <w:szCs w:val="32"/>
        </w:rPr>
      </w:pPr>
      <w:r>
        <w:rPr>
          <w:rFonts w:ascii="Times New Roman" w:hAnsi="Times New Roman" w:cs="Times New Roman"/>
          <w:bCs/>
          <w:color w:val="000000" w:themeColor="text1"/>
          <w:kern w:val="0"/>
          <w:sz w:val="32"/>
          <w:szCs w:val="32"/>
        </w:rPr>
        <w:t>三、事中事后监管制度</w:t>
      </w:r>
    </w:p>
    <w:p>
      <w:pPr>
        <w:spacing w:line="578" w:lineRule="exact"/>
        <w:ind w:firstLine="320" w:firstLineChars="100"/>
        <w:rPr>
          <w:rFonts w:hint="eastAsia" w:ascii="仿宋_GB2312" w:hAnsi="Times New Roman" w:eastAsia="仿宋_GB2312" w:cs="Times New Roman"/>
          <w:bCs/>
          <w:color w:val="000000" w:themeColor="text1"/>
          <w:kern w:val="0"/>
          <w:sz w:val="32"/>
          <w:szCs w:val="32"/>
        </w:rPr>
      </w:pPr>
      <w:r>
        <w:rPr>
          <w:rFonts w:hint="eastAsia" w:ascii="仿宋_GB2312" w:hAnsi="Times New Roman" w:eastAsia="仿宋_GB2312" w:cs="Times New Roman"/>
          <w:bCs/>
          <w:color w:val="000000" w:themeColor="text1"/>
          <w:kern w:val="0"/>
          <w:sz w:val="32"/>
          <w:szCs w:val="32"/>
        </w:rPr>
        <w:t>指导全区退役军人服务站</w:t>
      </w:r>
    </w:p>
    <w:p>
      <w:pPr>
        <w:spacing w:line="578" w:lineRule="exact"/>
        <w:ind w:firstLine="320" w:firstLineChars="100"/>
        <w:rPr>
          <w:rFonts w:ascii="Times New Roman" w:hAnsi="Times New Roman" w:cs="Times New Roman"/>
          <w:bCs/>
          <w:color w:val="000000" w:themeColor="text1"/>
          <w:kern w:val="0"/>
          <w:sz w:val="32"/>
          <w:szCs w:val="32"/>
        </w:rPr>
      </w:pPr>
      <w:r>
        <w:rPr>
          <w:rFonts w:ascii="Times New Roman" w:hAnsi="Times New Roman" w:cs="Times New Roman"/>
          <w:bCs/>
          <w:color w:val="000000" w:themeColor="text1"/>
          <w:kern w:val="0"/>
          <w:sz w:val="32"/>
          <w:szCs w:val="32"/>
        </w:rPr>
        <w:t>四、公共服务事项登记表</w:t>
      </w:r>
    </w:p>
    <w:p>
      <w:pPr>
        <w:spacing w:line="578" w:lineRule="exact"/>
        <w:rPr>
          <w:rFonts w:ascii="Times New Roman" w:hAnsi="Times New Roman" w:eastAsia="黑体" w:cs="Times New Roman"/>
          <w:color w:val="000000"/>
          <w:sz w:val="32"/>
          <w:szCs w:val="32"/>
        </w:rPr>
      </w:pPr>
    </w:p>
    <w:p>
      <w:pPr>
        <w:spacing w:line="578" w:lineRule="exact"/>
        <w:rPr>
          <w:rFonts w:ascii="Times New Roman" w:hAnsi="Times New Roman" w:eastAsia="黑体" w:cs="Times New Roman"/>
          <w:color w:val="000000"/>
          <w:sz w:val="32"/>
          <w:szCs w:val="32"/>
        </w:rPr>
      </w:pPr>
    </w:p>
    <w:p>
      <w:pPr>
        <w:spacing w:line="578" w:lineRule="exact"/>
        <w:rPr>
          <w:rFonts w:ascii="Times New Roman" w:hAnsi="Times New Roman" w:eastAsia="黑体" w:cs="Times New Roman"/>
          <w:color w:val="000000"/>
          <w:sz w:val="32"/>
          <w:szCs w:val="32"/>
        </w:rPr>
      </w:pPr>
    </w:p>
    <w:p>
      <w:pPr>
        <w:spacing w:line="578" w:lineRule="exact"/>
        <w:rPr>
          <w:rFonts w:ascii="Times New Roman" w:hAnsi="Times New Roman" w:eastAsia="黑体" w:cs="Times New Roman"/>
          <w:color w:val="000000"/>
          <w:sz w:val="32"/>
          <w:szCs w:val="32"/>
        </w:rPr>
      </w:pPr>
    </w:p>
    <w:p>
      <w:pPr>
        <w:spacing w:line="578" w:lineRule="exact"/>
        <w:rPr>
          <w:rFonts w:ascii="Times New Roman" w:hAnsi="Times New Roman" w:eastAsia="黑体" w:cs="Times New Roman"/>
          <w:color w:val="000000"/>
          <w:sz w:val="32"/>
          <w:szCs w:val="32"/>
        </w:rPr>
      </w:pPr>
    </w:p>
    <w:p>
      <w:pPr>
        <w:spacing w:line="0" w:lineRule="atLeast"/>
        <w:jc w:val="left"/>
        <w:rPr>
          <w:rFonts w:ascii="Times New Roman" w:hAnsi="Times New Roman" w:eastAsia="仿宋_GB2312" w:cs="Times New Roman"/>
          <w:sz w:val="32"/>
          <w:szCs w:val="22"/>
        </w:rPr>
      </w:pPr>
    </w:p>
    <w:p>
      <w:pPr>
        <w:jc w:val="center"/>
        <w:rPr>
          <w:sz w:val="100"/>
          <w:szCs w:val="100"/>
        </w:rPr>
      </w:pPr>
    </w:p>
    <w:p>
      <w:pPr>
        <w:rPr>
          <w:sz w:val="100"/>
          <w:szCs w:val="100"/>
        </w:rPr>
      </w:pPr>
    </w:p>
    <w:p>
      <w:pPr>
        <w:pStyle w:val="2"/>
        <w:sectPr>
          <w:pgSz w:w="11906" w:h="16838"/>
          <w:pgMar w:top="1440" w:right="1800" w:bottom="1440" w:left="1800" w:header="851" w:footer="992" w:gutter="0"/>
          <w:cols w:space="425" w:num="1"/>
          <w:docGrid w:type="lines" w:linePitch="312" w:charSpace="0"/>
        </w:sectPr>
      </w:pPr>
    </w:p>
    <w:p>
      <w:pPr>
        <w:spacing w:line="578" w:lineRule="exact"/>
        <w:jc w:val="center"/>
        <w:rPr>
          <w:rFonts w:ascii="Times New Roman" w:hAnsi="Times New Roman" w:eastAsia="方正小标宋简体" w:cs="Times New Roman"/>
          <w:sz w:val="36"/>
          <w:szCs w:val="36"/>
        </w:rPr>
      </w:pPr>
      <w:r>
        <w:rPr>
          <w:rFonts w:hint="eastAsia" w:eastAsia="方正小标宋简体" w:cs="Times New Roman"/>
          <w:sz w:val="36"/>
          <w:szCs w:val="36"/>
        </w:rPr>
        <w:t>二、</w:t>
      </w:r>
      <w:r>
        <w:rPr>
          <w:rFonts w:ascii="Times New Roman" w:hAnsi="Times New Roman" w:eastAsia="方正小标宋简体" w:cs="Times New Roman"/>
          <w:sz w:val="36"/>
          <w:szCs w:val="36"/>
        </w:rPr>
        <w:t>与相关部门的职责边界登记表</w:t>
      </w:r>
    </w:p>
    <w:p>
      <w:pPr>
        <w:pStyle w:val="2"/>
      </w:pPr>
    </w:p>
    <w:tbl>
      <w:tblPr>
        <w:tblStyle w:val="5"/>
        <w:tblW w:w="11705" w:type="dxa"/>
        <w:jc w:val="center"/>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535"/>
        <w:gridCol w:w="1590"/>
        <w:gridCol w:w="1830"/>
        <w:gridCol w:w="3510"/>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08" w:type="dxa"/>
            <w:vAlign w:val="center"/>
          </w:tcPr>
          <w:p>
            <w:pPr>
              <w:spacing w:line="578" w:lineRule="exact"/>
              <w:jc w:val="center"/>
              <w:rPr>
                <w:rFonts w:ascii="Times New Roman" w:hAnsi="Times New Roman" w:cs="Times New Roman"/>
                <w:b/>
                <w:sz w:val="28"/>
                <w:szCs w:val="28"/>
              </w:rPr>
            </w:pPr>
            <w:r>
              <w:rPr>
                <w:rFonts w:ascii="Times New Roman" w:hAnsi="Times New Roman" w:cs="Times New Roman"/>
                <w:b/>
                <w:sz w:val="28"/>
                <w:szCs w:val="28"/>
              </w:rPr>
              <w:t>序号</w:t>
            </w:r>
          </w:p>
        </w:tc>
        <w:tc>
          <w:tcPr>
            <w:tcW w:w="1535" w:type="dxa"/>
            <w:vAlign w:val="center"/>
          </w:tcPr>
          <w:p>
            <w:pPr>
              <w:spacing w:line="578" w:lineRule="exact"/>
              <w:jc w:val="center"/>
              <w:rPr>
                <w:rFonts w:ascii="Times New Roman" w:hAnsi="Times New Roman" w:cs="Times New Roman"/>
                <w:b/>
                <w:sz w:val="28"/>
                <w:szCs w:val="28"/>
              </w:rPr>
            </w:pPr>
            <w:r>
              <w:rPr>
                <w:rFonts w:ascii="Times New Roman" w:hAnsi="Times New Roman" w:cs="Times New Roman"/>
                <w:b/>
                <w:sz w:val="28"/>
                <w:szCs w:val="28"/>
              </w:rPr>
              <w:t>管理事项</w:t>
            </w:r>
          </w:p>
        </w:tc>
        <w:tc>
          <w:tcPr>
            <w:tcW w:w="1590" w:type="dxa"/>
            <w:vAlign w:val="center"/>
          </w:tcPr>
          <w:p>
            <w:pPr>
              <w:spacing w:line="578" w:lineRule="exact"/>
              <w:jc w:val="center"/>
              <w:rPr>
                <w:rFonts w:ascii="Times New Roman" w:hAnsi="Times New Roman" w:cs="Times New Roman"/>
                <w:b/>
                <w:sz w:val="28"/>
                <w:szCs w:val="28"/>
              </w:rPr>
            </w:pPr>
            <w:r>
              <w:rPr>
                <w:rFonts w:ascii="Times New Roman" w:hAnsi="Times New Roman" w:cs="Times New Roman"/>
                <w:b/>
                <w:sz w:val="28"/>
                <w:szCs w:val="28"/>
              </w:rPr>
              <w:t>相关部门</w:t>
            </w:r>
          </w:p>
        </w:tc>
        <w:tc>
          <w:tcPr>
            <w:tcW w:w="1830" w:type="dxa"/>
            <w:vAlign w:val="center"/>
          </w:tcPr>
          <w:p>
            <w:pPr>
              <w:spacing w:line="578" w:lineRule="exact"/>
              <w:jc w:val="center"/>
              <w:rPr>
                <w:rFonts w:ascii="Times New Roman" w:hAnsi="Times New Roman" w:cs="Times New Roman"/>
                <w:b/>
                <w:sz w:val="28"/>
                <w:szCs w:val="28"/>
              </w:rPr>
            </w:pPr>
            <w:r>
              <w:rPr>
                <w:rFonts w:ascii="Times New Roman" w:hAnsi="Times New Roman" w:cs="Times New Roman"/>
                <w:b/>
                <w:sz w:val="28"/>
                <w:szCs w:val="28"/>
              </w:rPr>
              <w:t>职责分工</w:t>
            </w:r>
          </w:p>
        </w:tc>
        <w:tc>
          <w:tcPr>
            <w:tcW w:w="3510" w:type="dxa"/>
            <w:vAlign w:val="center"/>
          </w:tcPr>
          <w:p>
            <w:pPr>
              <w:spacing w:line="578" w:lineRule="exact"/>
              <w:jc w:val="center"/>
              <w:rPr>
                <w:rFonts w:ascii="Times New Roman" w:hAnsi="Times New Roman" w:cs="Times New Roman"/>
                <w:b/>
                <w:sz w:val="28"/>
                <w:szCs w:val="28"/>
              </w:rPr>
            </w:pPr>
            <w:r>
              <w:rPr>
                <w:rFonts w:ascii="Times New Roman" w:hAnsi="Times New Roman" w:cs="Times New Roman"/>
                <w:b/>
                <w:sz w:val="28"/>
                <w:szCs w:val="28"/>
              </w:rPr>
              <w:t>相关依据</w:t>
            </w:r>
          </w:p>
        </w:tc>
        <w:tc>
          <w:tcPr>
            <w:tcW w:w="2332" w:type="dxa"/>
            <w:vAlign w:val="center"/>
          </w:tcPr>
          <w:p>
            <w:pPr>
              <w:spacing w:line="578" w:lineRule="exact"/>
              <w:jc w:val="center"/>
              <w:rPr>
                <w:rFonts w:ascii="Times New Roman" w:hAnsi="Times New Roman" w:cs="Times New Roman"/>
                <w:b/>
                <w:sz w:val="28"/>
                <w:szCs w:val="28"/>
              </w:rPr>
            </w:pPr>
            <w:r>
              <w:rPr>
                <w:rFonts w:ascii="Times New Roman" w:hAnsi="Times New Roman" w:cs="Times New Roman"/>
                <w:b/>
                <w:sz w:val="28"/>
                <w:szCs w:val="28"/>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908"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535" w:type="dxa"/>
            <w:vMerge w:val="restart"/>
            <w:vAlign w:val="center"/>
          </w:tcPr>
          <w:p>
            <w:pPr>
              <w:pStyle w:val="2"/>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发放义务兵家庭优待金</w:t>
            </w:r>
          </w:p>
        </w:tc>
        <w:tc>
          <w:tcPr>
            <w:tcW w:w="159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区人武部</w:t>
            </w:r>
          </w:p>
        </w:tc>
        <w:tc>
          <w:tcPr>
            <w:tcW w:w="183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负责提供上年度征集义务兵人数名单</w:t>
            </w:r>
          </w:p>
        </w:tc>
        <w:tc>
          <w:tcPr>
            <w:tcW w:w="3510" w:type="dxa"/>
            <w:vMerge w:val="restart"/>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《三亚市退役军人事务局关于统计义务兵家庭优待金相关数据的通知》（三退役军人函〔2021〕82号）</w:t>
            </w:r>
          </w:p>
        </w:tc>
        <w:tc>
          <w:tcPr>
            <w:tcW w:w="2332"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我局根据区人武部提供的义务兵名单，在区财政局的协助下，将资金发放到义务兵家庭账户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908" w:type="dxa"/>
            <w:vMerge w:val="continue"/>
            <w:vAlign w:val="center"/>
          </w:tcPr>
          <w:p>
            <w:pPr>
              <w:jc w:val="center"/>
              <w:rPr>
                <w:rFonts w:asciiTheme="majorEastAsia" w:hAnsiTheme="majorEastAsia" w:eastAsiaTheme="majorEastAsia" w:cstheme="majorEastAsia"/>
                <w:szCs w:val="21"/>
              </w:rPr>
            </w:pPr>
          </w:p>
        </w:tc>
        <w:tc>
          <w:tcPr>
            <w:tcW w:w="1535" w:type="dxa"/>
            <w:vMerge w:val="continue"/>
            <w:vAlign w:val="center"/>
          </w:tcPr>
          <w:p>
            <w:pPr>
              <w:pStyle w:val="2"/>
              <w:jc w:val="center"/>
              <w:rPr>
                <w:rFonts w:asciiTheme="majorEastAsia" w:hAnsiTheme="majorEastAsia" w:eastAsiaTheme="majorEastAsia" w:cstheme="majorEastAsia"/>
                <w:szCs w:val="21"/>
              </w:rPr>
            </w:pPr>
          </w:p>
        </w:tc>
        <w:tc>
          <w:tcPr>
            <w:tcW w:w="159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区退役军人事务局</w:t>
            </w:r>
          </w:p>
        </w:tc>
        <w:tc>
          <w:tcPr>
            <w:tcW w:w="183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负责资金发放到义务兵家庭账户</w:t>
            </w:r>
          </w:p>
        </w:tc>
        <w:tc>
          <w:tcPr>
            <w:tcW w:w="3510" w:type="dxa"/>
            <w:vMerge w:val="continue"/>
            <w:vAlign w:val="center"/>
          </w:tcPr>
          <w:p>
            <w:pPr>
              <w:widowControl/>
              <w:jc w:val="center"/>
              <w:textAlignment w:val="center"/>
              <w:rPr>
                <w:rFonts w:asciiTheme="majorEastAsia" w:hAnsiTheme="majorEastAsia" w:eastAsiaTheme="majorEastAsia" w:cstheme="majorEastAsia"/>
                <w:szCs w:val="21"/>
              </w:rPr>
            </w:pPr>
          </w:p>
        </w:tc>
        <w:tc>
          <w:tcPr>
            <w:tcW w:w="2332" w:type="dxa"/>
            <w:vMerge w:val="continue"/>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908" w:type="dxa"/>
            <w:vMerge w:val="continue"/>
            <w:vAlign w:val="center"/>
          </w:tcPr>
          <w:p>
            <w:pPr>
              <w:jc w:val="center"/>
              <w:rPr>
                <w:rFonts w:asciiTheme="majorEastAsia" w:hAnsiTheme="majorEastAsia" w:eastAsiaTheme="majorEastAsia" w:cstheme="majorEastAsia"/>
                <w:szCs w:val="21"/>
              </w:rPr>
            </w:pPr>
          </w:p>
        </w:tc>
        <w:tc>
          <w:tcPr>
            <w:tcW w:w="1535" w:type="dxa"/>
            <w:vMerge w:val="continue"/>
            <w:vAlign w:val="center"/>
          </w:tcPr>
          <w:p>
            <w:pPr>
              <w:jc w:val="center"/>
              <w:rPr>
                <w:rFonts w:asciiTheme="majorEastAsia" w:hAnsiTheme="majorEastAsia" w:eastAsiaTheme="majorEastAsia" w:cstheme="majorEastAsia"/>
                <w:szCs w:val="21"/>
              </w:rPr>
            </w:pPr>
          </w:p>
        </w:tc>
        <w:tc>
          <w:tcPr>
            <w:tcW w:w="159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区财政局</w:t>
            </w:r>
          </w:p>
        </w:tc>
        <w:tc>
          <w:tcPr>
            <w:tcW w:w="183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协助资金发放</w:t>
            </w:r>
          </w:p>
        </w:tc>
        <w:tc>
          <w:tcPr>
            <w:tcW w:w="3510" w:type="dxa"/>
            <w:vMerge w:val="continue"/>
            <w:vAlign w:val="center"/>
          </w:tcPr>
          <w:p>
            <w:pPr>
              <w:jc w:val="center"/>
              <w:rPr>
                <w:rFonts w:asciiTheme="majorEastAsia" w:hAnsiTheme="majorEastAsia" w:eastAsiaTheme="majorEastAsia" w:cstheme="majorEastAsia"/>
                <w:szCs w:val="21"/>
              </w:rPr>
            </w:pPr>
          </w:p>
        </w:tc>
        <w:tc>
          <w:tcPr>
            <w:tcW w:w="2332" w:type="dxa"/>
            <w:vMerge w:val="continue"/>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908" w:type="dxa"/>
            <w:vMerge w:val="restart"/>
            <w:vAlign w:val="center"/>
          </w:tcPr>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535" w:type="dxa"/>
            <w:vMerge w:val="restart"/>
            <w:vAlign w:val="center"/>
          </w:tcPr>
          <w:p>
            <w:pPr>
              <w:widowControl/>
              <w:textAlignment w:val="center"/>
              <w:rPr>
                <w:rFonts w:asciiTheme="majorEastAsia" w:hAnsiTheme="majorEastAsia" w:eastAsiaTheme="majorEastAsia" w:cstheme="majorEastAsia"/>
                <w:color w:val="000000"/>
                <w:kern w:val="0"/>
                <w:szCs w:val="21"/>
              </w:rPr>
            </w:pPr>
          </w:p>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发放大学生入伍一次性奖励金</w:t>
            </w:r>
          </w:p>
        </w:tc>
        <w:tc>
          <w:tcPr>
            <w:tcW w:w="159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区人武部</w:t>
            </w:r>
          </w:p>
        </w:tc>
        <w:tc>
          <w:tcPr>
            <w:tcW w:w="183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负责提供上年度征集义务兵名单</w:t>
            </w:r>
          </w:p>
        </w:tc>
        <w:tc>
          <w:tcPr>
            <w:tcW w:w="3510" w:type="dxa"/>
            <w:vMerge w:val="restart"/>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《中共崖州区委常委会议纪要第231期》</w:t>
            </w:r>
          </w:p>
        </w:tc>
        <w:tc>
          <w:tcPr>
            <w:tcW w:w="2332"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我局根据区人武部提供的义务兵名单，将区财政局拨付的资金并在其协助下进行发放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908" w:type="dxa"/>
            <w:vMerge w:val="continue"/>
            <w:vAlign w:val="center"/>
          </w:tcPr>
          <w:p>
            <w:pPr>
              <w:jc w:val="center"/>
              <w:rPr>
                <w:rFonts w:asciiTheme="majorEastAsia" w:hAnsiTheme="majorEastAsia" w:eastAsiaTheme="majorEastAsia" w:cstheme="majorEastAsia"/>
                <w:szCs w:val="21"/>
              </w:rPr>
            </w:pPr>
          </w:p>
        </w:tc>
        <w:tc>
          <w:tcPr>
            <w:tcW w:w="1535" w:type="dxa"/>
            <w:vMerge w:val="continue"/>
            <w:vAlign w:val="center"/>
          </w:tcPr>
          <w:p>
            <w:pPr>
              <w:widowControl/>
              <w:jc w:val="center"/>
              <w:textAlignment w:val="center"/>
              <w:rPr>
                <w:rFonts w:asciiTheme="majorEastAsia" w:hAnsiTheme="majorEastAsia" w:eastAsiaTheme="majorEastAsia" w:cstheme="majorEastAsia"/>
                <w:szCs w:val="21"/>
              </w:rPr>
            </w:pPr>
          </w:p>
        </w:tc>
        <w:tc>
          <w:tcPr>
            <w:tcW w:w="159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区退役军人事务局</w:t>
            </w:r>
          </w:p>
        </w:tc>
        <w:tc>
          <w:tcPr>
            <w:tcW w:w="183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负责资金发放</w:t>
            </w:r>
          </w:p>
        </w:tc>
        <w:tc>
          <w:tcPr>
            <w:tcW w:w="3510" w:type="dxa"/>
            <w:vMerge w:val="continue"/>
            <w:vAlign w:val="center"/>
          </w:tcPr>
          <w:p>
            <w:pPr>
              <w:widowControl/>
              <w:jc w:val="center"/>
              <w:textAlignment w:val="center"/>
              <w:rPr>
                <w:rFonts w:asciiTheme="majorEastAsia" w:hAnsiTheme="majorEastAsia" w:eastAsiaTheme="majorEastAsia" w:cstheme="majorEastAsia"/>
                <w:szCs w:val="21"/>
              </w:rPr>
            </w:pPr>
          </w:p>
        </w:tc>
        <w:tc>
          <w:tcPr>
            <w:tcW w:w="2332" w:type="dxa"/>
            <w:vMerge w:val="continue"/>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908" w:type="dxa"/>
            <w:vMerge w:val="continue"/>
            <w:vAlign w:val="center"/>
          </w:tcPr>
          <w:p>
            <w:pPr>
              <w:jc w:val="center"/>
              <w:rPr>
                <w:rFonts w:asciiTheme="majorEastAsia" w:hAnsiTheme="majorEastAsia" w:eastAsiaTheme="majorEastAsia" w:cstheme="majorEastAsia"/>
                <w:szCs w:val="21"/>
              </w:rPr>
            </w:pPr>
          </w:p>
        </w:tc>
        <w:tc>
          <w:tcPr>
            <w:tcW w:w="1535" w:type="dxa"/>
            <w:vMerge w:val="continue"/>
            <w:vAlign w:val="center"/>
          </w:tcPr>
          <w:p>
            <w:pPr>
              <w:jc w:val="center"/>
              <w:rPr>
                <w:rFonts w:asciiTheme="majorEastAsia" w:hAnsiTheme="majorEastAsia" w:eastAsiaTheme="majorEastAsia" w:cstheme="majorEastAsia"/>
                <w:szCs w:val="21"/>
              </w:rPr>
            </w:pPr>
          </w:p>
        </w:tc>
        <w:tc>
          <w:tcPr>
            <w:tcW w:w="159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区财政局</w:t>
            </w:r>
          </w:p>
        </w:tc>
        <w:tc>
          <w:tcPr>
            <w:tcW w:w="183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负责资金拨付</w:t>
            </w:r>
          </w:p>
        </w:tc>
        <w:tc>
          <w:tcPr>
            <w:tcW w:w="3510" w:type="dxa"/>
            <w:vMerge w:val="continue"/>
            <w:vAlign w:val="center"/>
          </w:tcPr>
          <w:p>
            <w:pPr>
              <w:jc w:val="center"/>
              <w:rPr>
                <w:rFonts w:asciiTheme="majorEastAsia" w:hAnsiTheme="majorEastAsia" w:eastAsiaTheme="majorEastAsia" w:cstheme="majorEastAsia"/>
                <w:szCs w:val="21"/>
              </w:rPr>
            </w:pPr>
          </w:p>
        </w:tc>
        <w:tc>
          <w:tcPr>
            <w:tcW w:w="2332" w:type="dxa"/>
            <w:vMerge w:val="continue"/>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908"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535"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部分农村籍退役士兵老年生活补助的给付</w:t>
            </w:r>
          </w:p>
        </w:tc>
        <w:tc>
          <w:tcPr>
            <w:tcW w:w="1590" w:type="dxa"/>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szCs w:val="21"/>
              </w:rPr>
              <w:t>区退役军人事务局</w:t>
            </w:r>
          </w:p>
          <w:p>
            <w:pPr>
              <w:jc w:val="center"/>
              <w:rPr>
                <w:rFonts w:asciiTheme="majorEastAsia" w:hAnsiTheme="majorEastAsia" w:eastAsiaTheme="majorEastAsia" w:cstheme="majorEastAsia"/>
                <w:szCs w:val="21"/>
              </w:rPr>
            </w:pPr>
          </w:p>
        </w:tc>
        <w:tc>
          <w:tcPr>
            <w:tcW w:w="1830" w:type="dxa"/>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负责资金发放到账户</w:t>
            </w:r>
          </w:p>
          <w:p>
            <w:pPr>
              <w:jc w:val="center"/>
              <w:rPr>
                <w:rFonts w:asciiTheme="majorEastAsia" w:hAnsiTheme="majorEastAsia" w:eastAsiaTheme="majorEastAsia" w:cstheme="majorEastAsia"/>
                <w:szCs w:val="21"/>
              </w:rPr>
            </w:pPr>
          </w:p>
        </w:tc>
        <w:tc>
          <w:tcPr>
            <w:tcW w:w="3510" w:type="dxa"/>
            <w:vMerge w:val="restart"/>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《海南省退役军人事务厅 海南省财政厅关于调整部分优抚对象等人员抚恤和生活补助标准的通知》</w:t>
            </w:r>
          </w:p>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（琼退役军人发〔2020〕62号）</w:t>
            </w:r>
          </w:p>
          <w:p>
            <w:pPr>
              <w:jc w:val="center"/>
              <w:rPr>
                <w:rFonts w:asciiTheme="majorEastAsia" w:hAnsiTheme="majorEastAsia" w:eastAsiaTheme="majorEastAsia" w:cstheme="majorEastAsia"/>
                <w:szCs w:val="21"/>
              </w:rPr>
            </w:pPr>
          </w:p>
        </w:tc>
        <w:tc>
          <w:tcPr>
            <w:tcW w:w="2332"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我局根据优抚对象名单，在区财政局协助下进行资金发放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908" w:type="dxa"/>
            <w:vMerge w:val="continue"/>
            <w:vAlign w:val="center"/>
          </w:tcPr>
          <w:p>
            <w:pPr>
              <w:jc w:val="center"/>
              <w:rPr>
                <w:rFonts w:asciiTheme="majorEastAsia" w:hAnsiTheme="majorEastAsia" w:eastAsiaTheme="majorEastAsia" w:cstheme="majorEastAsia"/>
                <w:szCs w:val="21"/>
              </w:rPr>
            </w:pPr>
          </w:p>
        </w:tc>
        <w:tc>
          <w:tcPr>
            <w:tcW w:w="1535" w:type="dxa"/>
            <w:vMerge w:val="continue"/>
            <w:vAlign w:val="center"/>
          </w:tcPr>
          <w:p>
            <w:pPr>
              <w:jc w:val="center"/>
              <w:rPr>
                <w:rFonts w:asciiTheme="majorEastAsia" w:hAnsiTheme="majorEastAsia" w:eastAsiaTheme="majorEastAsia" w:cstheme="majorEastAsia"/>
                <w:szCs w:val="21"/>
              </w:rPr>
            </w:pPr>
          </w:p>
        </w:tc>
        <w:tc>
          <w:tcPr>
            <w:tcW w:w="159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区财政局</w:t>
            </w:r>
          </w:p>
        </w:tc>
        <w:tc>
          <w:tcPr>
            <w:tcW w:w="183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协助资金发放</w:t>
            </w:r>
          </w:p>
        </w:tc>
        <w:tc>
          <w:tcPr>
            <w:tcW w:w="3510" w:type="dxa"/>
            <w:vMerge w:val="continue"/>
            <w:vAlign w:val="center"/>
          </w:tcPr>
          <w:p>
            <w:pPr>
              <w:jc w:val="center"/>
              <w:rPr>
                <w:rFonts w:asciiTheme="majorEastAsia" w:hAnsiTheme="majorEastAsia" w:eastAsiaTheme="majorEastAsia" w:cstheme="majorEastAsia"/>
                <w:szCs w:val="21"/>
              </w:rPr>
            </w:pPr>
          </w:p>
        </w:tc>
        <w:tc>
          <w:tcPr>
            <w:tcW w:w="2332" w:type="dxa"/>
            <w:vMerge w:val="continue"/>
            <w:vAlign w:val="center"/>
          </w:tcPr>
          <w:p>
            <w:pPr>
              <w:jc w:val="center"/>
              <w:rPr>
                <w:rFonts w:asciiTheme="majorEastAsia" w:hAnsiTheme="majorEastAsia" w:eastAsiaTheme="majorEastAsia" w:cstheme="majorEastAsia"/>
                <w:szCs w:val="21"/>
              </w:rPr>
            </w:pPr>
          </w:p>
        </w:tc>
      </w:tr>
    </w:tbl>
    <w:tbl>
      <w:tblPr>
        <w:tblStyle w:val="5"/>
        <w:tblpPr w:leftFromText="180" w:rightFromText="180" w:vertAnchor="text" w:horzAnchor="margin" w:tblpXSpec="center" w:tblpY="140"/>
        <w:tblOverlap w:val="never"/>
        <w:tblW w:w="11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365"/>
        <w:gridCol w:w="1575"/>
        <w:gridCol w:w="1961"/>
        <w:gridCol w:w="3394"/>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1184"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1365" w:type="dxa"/>
            <w:vMerge w:val="restart"/>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退役士兵自主就业一次性经济补助金的给付</w:t>
            </w:r>
          </w:p>
        </w:tc>
        <w:tc>
          <w:tcPr>
            <w:tcW w:w="1575"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区退役军人事务局</w:t>
            </w:r>
          </w:p>
        </w:tc>
        <w:tc>
          <w:tcPr>
            <w:tcW w:w="1961" w:type="dxa"/>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负责资金发放到</w:t>
            </w:r>
          </w:p>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账户</w:t>
            </w:r>
          </w:p>
          <w:p>
            <w:pPr>
              <w:rPr>
                <w:rFonts w:asciiTheme="majorEastAsia" w:hAnsiTheme="majorEastAsia" w:eastAsiaTheme="majorEastAsia" w:cstheme="majorEastAsia"/>
                <w:szCs w:val="21"/>
              </w:rPr>
            </w:pPr>
          </w:p>
        </w:tc>
        <w:tc>
          <w:tcPr>
            <w:tcW w:w="3394" w:type="dxa"/>
            <w:vMerge w:val="restart"/>
            <w:vAlign w:val="center"/>
          </w:tcPr>
          <w:p>
            <w:pPr>
              <w:widowControl/>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《三亚市退役军人事务局关于发放2020年自主就业退役士兵一次性经济补助的通知》</w:t>
            </w:r>
          </w:p>
          <w:p>
            <w:pPr>
              <w:widowControl/>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（三退役军人〔2021〕85号）</w:t>
            </w:r>
          </w:p>
        </w:tc>
        <w:tc>
          <w:tcPr>
            <w:tcW w:w="2194" w:type="dxa"/>
            <w:vMerge w:val="restart"/>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我局根据退役士兵名单，在区财政局协助下进行资金发放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3" w:hRule="atLeast"/>
        </w:trPr>
        <w:tc>
          <w:tcPr>
            <w:tcW w:w="1184" w:type="dxa"/>
            <w:vMerge w:val="continue"/>
            <w:vAlign w:val="center"/>
          </w:tcPr>
          <w:p>
            <w:pPr>
              <w:jc w:val="center"/>
              <w:rPr>
                <w:rFonts w:asciiTheme="majorEastAsia" w:hAnsiTheme="majorEastAsia" w:eastAsiaTheme="majorEastAsia" w:cstheme="majorEastAsia"/>
                <w:szCs w:val="21"/>
              </w:rPr>
            </w:pPr>
          </w:p>
        </w:tc>
        <w:tc>
          <w:tcPr>
            <w:tcW w:w="1365" w:type="dxa"/>
            <w:vMerge w:val="continue"/>
            <w:vAlign w:val="center"/>
          </w:tcPr>
          <w:p>
            <w:pPr>
              <w:widowControl/>
              <w:jc w:val="center"/>
              <w:textAlignment w:val="center"/>
              <w:rPr>
                <w:rFonts w:asciiTheme="majorEastAsia" w:hAnsiTheme="majorEastAsia" w:eastAsiaTheme="majorEastAsia" w:cstheme="majorEastAsia"/>
                <w:color w:val="000000"/>
                <w:kern w:val="0"/>
                <w:szCs w:val="21"/>
              </w:rPr>
            </w:pPr>
          </w:p>
        </w:tc>
        <w:tc>
          <w:tcPr>
            <w:tcW w:w="1575"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区财政局</w:t>
            </w:r>
          </w:p>
        </w:tc>
        <w:tc>
          <w:tcPr>
            <w:tcW w:w="1961"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协助资金发放</w:t>
            </w:r>
          </w:p>
        </w:tc>
        <w:tc>
          <w:tcPr>
            <w:tcW w:w="3394" w:type="dxa"/>
            <w:vMerge w:val="continue"/>
            <w:vAlign w:val="center"/>
          </w:tcPr>
          <w:p>
            <w:pPr>
              <w:widowControl/>
              <w:textAlignment w:val="center"/>
              <w:rPr>
                <w:rFonts w:asciiTheme="majorEastAsia" w:hAnsiTheme="majorEastAsia" w:eastAsiaTheme="majorEastAsia" w:cstheme="majorEastAsia"/>
                <w:szCs w:val="21"/>
              </w:rPr>
            </w:pPr>
          </w:p>
        </w:tc>
        <w:tc>
          <w:tcPr>
            <w:tcW w:w="2194" w:type="dxa"/>
            <w:vMerge w:val="continue"/>
            <w:vAlign w:val="center"/>
          </w:tcPr>
          <w:p>
            <w:pP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trPr>
        <w:tc>
          <w:tcPr>
            <w:tcW w:w="1184" w:type="dxa"/>
            <w:vMerge w:val="restart"/>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1365" w:type="dxa"/>
            <w:vMerge w:val="restart"/>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部分烈士（含错杀后被平反人员）子女认定及生活补助给付</w:t>
            </w:r>
          </w:p>
        </w:tc>
        <w:tc>
          <w:tcPr>
            <w:tcW w:w="1575"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区退役军人事务局</w:t>
            </w:r>
          </w:p>
        </w:tc>
        <w:tc>
          <w:tcPr>
            <w:tcW w:w="1961"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根据市退役军人事务局提供的名单进行资金的发放</w:t>
            </w:r>
          </w:p>
        </w:tc>
        <w:tc>
          <w:tcPr>
            <w:tcW w:w="3394" w:type="dxa"/>
            <w:vMerge w:val="restart"/>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《海南省退役军人事务厅 海南省财政厅关于调整部分优抚对象等人员抚恤和生活补助标准的通知》</w:t>
            </w:r>
          </w:p>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（琼退役军人发〔2020〕62号）</w:t>
            </w:r>
          </w:p>
          <w:p>
            <w:pPr>
              <w:widowControl/>
              <w:textAlignment w:val="center"/>
              <w:rPr>
                <w:rFonts w:asciiTheme="majorEastAsia" w:hAnsiTheme="majorEastAsia" w:eastAsiaTheme="majorEastAsia" w:cstheme="majorEastAsia"/>
                <w:szCs w:val="21"/>
              </w:rPr>
            </w:pPr>
          </w:p>
        </w:tc>
        <w:tc>
          <w:tcPr>
            <w:tcW w:w="2194" w:type="dxa"/>
            <w:vMerge w:val="restart"/>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我局根据名单在区财政局协助下进行资金发放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trPr>
        <w:tc>
          <w:tcPr>
            <w:tcW w:w="1184" w:type="dxa"/>
            <w:vMerge w:val="continue"/>
            <w:vAlign w:val="center"/>
          </w:tcPr>
          <w:p>
            <w:pPr>
              <w:jc w:val="center"/>
              <w:rPr>
                <w:rFonts w:asciiTheme="majorEastAsia" w:hAnsiTheme="majorEastAsia" w:eastAsiaTheme="majorEastAsia" w:cstheme="majorEastAsia"/>
                <w:szCs w:val="21"/>
              </w:rPr>
            </w:pPr>
          </w:p>
        </w:tc>
        <w:tc>
          <w:tcPr>
            <w:tcW w:w="1365" w:type="dxa"/>
            <w:vMerge w:val="continue"/>
            <w:vAlign w:val="center"/>
          </w:tcPr>
          <w:p>
            <w:pPr>
              <w:widowControl/>
              <w:jc w:val="center"/>
              <w:textAlignment w:val="center"/>
              <w:rPr>
                <w:rFonts w:asciiTheme="majorEastAsia" w:hAnsiTheme="majorEastAsia" w:eastAsiaTheme="majorEastAsia" w:cstheme="majorEastAsia"/>
                <w:color w:val="000000"/>
                <w:kern w:val="0"/>
                <w:szCs w:val="21"/>
              </w:rPr>
            </w:pPr>
          </w:p>
        </w:tc>
        <w:tc>
          <w:tcPr>
            <w:tcW w:w="1575"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区财政局</w:t>
            </w:r>
          </w:p>
        </w:tc>
        <w:tc>
          <w:tcPr>
            <w:tcW w:w="1961"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协助资金发放到</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账户</w:t>
            </w:r>
          </w:p>
        </w:tc>
        <w:tc>
          <w:tcPr>
            <w:tcW w:w="3394" w:type="dxa"/>
            <w:vMerge w:val="continue"/>
            <w:vAlign w:val="center"/>
          </w:tcPr>
          <w:p>
            <w:pPr>
              <w:widowControl/>
              <w:textAlignment w:val="center"/>
              <w:rPr>
                <w:rFonts w:asciiTheme="majorEastAsia" w:hAnsiTheme="majorEastAsia" w:eastAsiaTheme="majorEastAsia" w:cstheme="majorEastAsia"/>
                <w:szCs w:val="21"/>
              </w:rPr>
            </w:pPr>
          </w:p>
        </w:tc>
        <w:tc>
          <w:tcPr>
            <w:tcW w:w="2194" w:type="dxa"/>
            <w:vMerge w:val="continue"/>
            <w:vAlign w:val="center"/>
          </w:tcPr>
          <w:p>
            <w:pPr>
              <w:rPr>
                <w:rFonts w:asciiTheme="majorEastAsia" w:hAnsiTheme="majorEastAsia" w:eastAsiaTheme="majorEastAsia" w:cstheme="majorEastAsia"/>
                <w:szCs w:val="21"/>
              </w:rPr>
            </w:pPr>
          </w:p>
        </w:tc>
      </w:tr>
    </w:tbl>
    <w:p>
      <w:pPr>
        <w:spacing w:line="0" w:lineRule="atLeast"/>
        <w:jc w:val="left"/>
        <w:rPr>
          <w:rFonts w:asciiTheme="majorEastAsia" w:hAnsiTheme="majorEastAsia" w:eastAsiaTheme="majorEastAsia" w:cstheme="majorEastAsia"/>
          <w:szCs w:val="21"/>
        </w:rPr>
        <w:sectPr>
          <w:headerReference r:id="rId3" w:type="default"/>
          <w:footerReference r:id="rId4" w:type="default"/>
          <w:pgSz w:w="16838" w:h="11906" w:orient="landscape"/>
          <w:pgMar w:top="1587" w:right="2098" w:bottom="1474" w:left="1984" w:header="851" w:footer="992" w:gutter="0"/>
          <w:pgNumType w:fmt="numberInDash"/>
          <w:cols w:space="425" w:num="1"/>
          <w:docGrid w:type="lines" w:linePitch="312" w:charSpace="0"/>
        </w:sectPr>
      </w:pPr>
    </w:p>
    <w:p>
      <w:pPr>
        <w:spacing w:line="578" w:lineRule="exact"/>
        <w:ind w:firstLine="2520" w:firstLineChars="700"/>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三、</w:t>
      </w:r>
      <w:r>
        <w:rPr>
          <w:rFonts w:ascii="Times New Roman" w:hAnsi="Times New Roman" w:eastAsia="方正小标宋简体" w:cs="Times New Roman"/>
          <w:sz w:val="36"/>
          <w:szCs w:val="36"/>
        </w:rPr>
        <w:t>事中事后监管制度</w:t>
      </w:r>
    </w:p>
    <w:p>
      <w:pPr>
        <w:spacing w:line="578" w:lineRule="exact"/>
        <w:jc w:val="center"/>
        <w:rPr>
          <w:rFonts w:hint="eastAsia" w:ascii="楷体_GB2312" w:hAnsi="仿宋_GB2312" w:eastAsia="楷体_GB2312" w:cs="仿宋_GB2312"/>
          <w:b/>
          <w:sz w:val="32"/>
          <w:szCs w:val="22"/>
        </w:rPr>
      </w:pPr>
      <w:r>
        <w:rPr>
          <w:rFonts w:hint="eastAsia" w:ascii="楷体_GB2312" w:hAnsi="仿宋_GB2312" w:eastAsia="楷体_GB2312" w:cs="仿宋_GB2312"/>
          <w:b/>
          <w:sz w:val="32"/>
          <w:szCs w:val="32"/>
        </w:rPr>
        <w:t>指导全区退役军人服务站</w:t>
      </w:r>
    </w:p>
    <w:p>
      <w:pPr>
        <w:spacing w:line="578" w:lineRule="exact"/>
        <w:rPr>
          <w:rFonts w:ascii="仿宋_GB2312" w:hAnsi="仿宋_GB2312" w:eastAsia="仿宋_GB2312" w:cs="仿宋_GB2312"/>
          <w:b/>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监督检查对象</w:t>
      </w:r>
    </w:p>
    <w:p>
      <w:pPr>
        <w:spacing w:line="578"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各村（居）、社区退役军人服务站。</w:t>
      </w:r>
    </w:p>
    <w:p>
      <w:pPr>
        <w:spacing w:line="578"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ascii="仿宋_GB2312" w:hAnsi="仿宋_GB2312" w:eastAsia="仿宋_GB2312" w:cs="仿宋_GB2312"/>
          <w:b/>
          <w:sz w:val="32"/>
          <w:szCs w:val="32"/>
        </w:rPr>
        <w:t>监督检查内容</w:t>
      </w:r>
    </w:p>
    <w:p>
      <w:pPr>
        <w:spacing w:line="578"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各村（居）、社区退役军人服务站各类信息台账以及运转情况。</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仿宋_GB2312" w:hAnsi="仿宋_GB2312" w:eastAsia="仿宋_GB2312" w:cs="仿宋_GB2312"/>
          <w:b/>
          <w:sz w:val="32"/>
          <w:szCs w:val="32"/>
        </w:rPr>
        <w:t>监督检查方式</w:t>
      </w:r>
    </w:p>
    <w:p>
      <w:pPr>
        <w:spacing w:line="578"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督导检查，每半年一次，根据上级要求不定期抽查。</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仿宋_GB2312" w:hAnsi="仿宋_GB2312" w:eastAsia="仿宋_GB2312" w:cs="仿宋_GB2312"/>
          <w:b/>
          <w:sz w:val="32"/>
          <w:szCs w:val="32"/>
        </w:rPr>
        <w:t>监督检查措施</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（1）明察暗访相结合；</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（2）听取意见和建议；</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（3）实地查看；</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（4）根据来电、来访、来信进行督查。</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仿宋_GB2312" w:hAnsi="仿宋_GB2312" w:eastAsia="仿宋_GB2312" w:cs="仿宋_GB2312"/>
          <w:b/>
          <w:sz w:val="32"/>
          <w:szCs w:val="32"/>
        </w:rPr>
        <w:t>监督检查程序</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（1）制定方案，报领导同意后，下发通知；</w:t>
      </w:r>
    </w:p>
    <w:p>
      <w:pPr>
        <w:rPr>
          <w:rFonts w:ascii="Times New Roman" w:hAnsi="Times New Roman" w:eastAsia="仿宋_GB2312"/>
          <w:sz w:val="32"/>
          <w:szCs w:val="22"/>
        </w:rPr>
      </w:pPr>
      <w:r>
        <w:rPr>
          <w:rFonts w:hint="eastAsia" w:ascii="Times New Roman" w:hAnsi="Times New Roman" w:eastAsia="仿宋_GB2312"/>
          <w:sz w:val="32"/>
          <w:szCs w:val="22"/>
        </w:rPr>
        <w:t>（2）到各村（居）、社区退役军人服务站听取专项汇报；</w:t>
      </w:r>
    </w:p>
    <w:p>
      <w:pPr>
        <w:rPr>
          <w:rFonts w:ascii="Times New Roman" w:hAnsi="Times New Roman" w:eastAsia="仿宋_GB2312"/>
          <w:sz w:val="32"/>
          <w:szCs w:val="22"/>
        </w:rPr>
      </w:pPr>
      <w:r>
        <w:rPr>
          <w:rFonts w:hint="eastAsia" w:ascii="Times New Roman" w:hAnsi="Times New Roman" w:eastAsia="仿宋_GB2312"/>
          <w:sz w:val="32"/>
          <w:szCs w:val="22"/>
        </w:rPr>
        <w:t>（3）与各个退役军人服务站站长交换意见；</w:t>
      </w:r>
    </w:p>
    <w:p>
      <w:pPr>
        <w:rPr>
          <w:rFonts w:ascii="Times New Roman" w:hAnsi="Times New Roman" w:eastAsia="仿宋_GB2312"/>
          <w:sz w:val="32"/>
          <w:szCs w:val="22"/>
        </w:rPr>
      </w:pPr>
      <w:r>
        <w:rPr>
          <w:rFonts w:hint="eastAsia" w:ascii="Times New Roman" w:hAnsi="Times New Roman" w:eastAsia="仿宋_GB2312"/>
          <w:sz w:val="32"/>
          <w:szCs w:val="22"/>
        </w:rPr>
        <w:t>（4）对监督检查工作进行总结。</w:t>
      </w:r>
    </w:p>
    <w:p>
      <w:pPr>
        <w:spacing w:line="578"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仿宋_GB2312" w:hAnsi="仿宋_GB2312" w:eastAsia="仿宋_GB2312" w:cs="仿宋_GB2312"/>
          <w:b/>
          <w:sz w:val="32"/>
          <w:szCs w:val="32"/>
        </w:rPr>
        <w:t>监督检查处理</w:t>
      </w:r>
    </w:p>
    <w:p>
      <w:pPr>
        <w:ind w:firstLine="640" w:firstLineChars="200"/>
        <w:rPr>
          <w:rFonts w:ascii="Times New Roman" w:hAnsi="Times New Roman" w:eastAsia="仿宋_GB2312" w:cs="Times New Roman"/>
          <w:sz w:val="32"/>
          <w:szCs w:val="22"/>
        </w:rPr>
      </w:pPr>
      <w:r>
        <w:rPr>
          <w:rFonts w:hint="eastAsia" w:ascii="Times New Roman" w:hAnsi="Times New Roman" w:eastAsia="仿宋_GB2312"/>
          <w:sz w:val="32"/>
          <w:szCs w:val="22"/>
        </w:rPr>
        <w:t>对于检查过程中发现的问题，应提出整改意见限期整改，并依照有关法律法规规定追究有关人员责任。</w:t>
      </w:r>
    </w:p>
    <w:p>
      <w:pPr>
        <w:pStyle w:val="2"/>
        <w:sectPr>
          <w:pgSz w:w="11906" w:h="16838"/>
          <w:pgMar w:top="2098" w:right="1474" w:bottom="1984" w:left="1587" w:header="851" w:footer="992" w:gutter="0"/>
          <w:pgNumType w:fmt="numberInDash"/>
          <w:cols w:space="425" w:num="1"/>
          <w:docGrid w:type="lines" w:linePitch="312" w:charSpace="0"/>
        </w:sectPr>
      </w:pPr>
    </w:p>
    <w:p>
      <w:pPr>
        <w:spacing w:line="578"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四、</w:t>
      </w:r>
      <w:r>
        <w:rPr>
          <w:rFonts w:ascii="Times New Roman" w:hAnsi="Times New Roman" w:eastAsia="方正小标宋简体" w:cs="Times New Roman"/>
          <w:sz w:val="36"/>
          <w:szCs w:val="36"/>
        </w:rPr>
        <w:t>公共服务事项登记表</w:t>
      </w:r>
    </w:p>
    <w:tbl>
      <w:tblPr>
        <w:tblStyle w:val="5"/>
        <w:tblpPr w:leftFromText="180" w:rightFromText="180" w:vertAnchor="text" w:horzAnchor="page" w:tblpX="1687" w:tblpY="94"/>
        <w:tblOverlap w:val="never"/>
        <w:tblW w:w="8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980"/>
        <w:gridCol w:w="1995"/>
        <w:gridCol w:w="2040"/>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80" w:type="dxa"/>
            <w:vAlign w:val="center"/>
          </w:tcPr>
          <w:p>
            <w:pPr>
              <w:spacing w:line="578"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序号</w:t>
            </w:r>
          </w:p>
        </w:tc>
        <w:tc>
          <w:tcPr>
            <w:tcW w:w="1980" w:type="dxa"/>
            <w:vAlign w:val="center"/>
          </w:tcPr>
          <w:p>
            <w:pPr>
              <w:spacing w:line="578"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服务事项</w:t>
            </w:r>
          </w:p>
        </w:tc>
        <w:tc>
          <w:tcPr>
            <w:tcW w:w="1995" w:type="dxa"/>
            <w:vAlign w:val="center"/>
          </w:tcPr>
          <w:p>
            <w:pPr>
              <w:spacing w:line="578"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主要内容</w:t>
            </w:r>
          </w:p>
        </w:tc>
        <w:tc>
          <w:tcPr>
            <w:tcW w:w="2040" w:type="dxa"/>
            <w:vAlign w:val="center"/>
          </w:tcPr>
          <w:p>
            <w:pPr>
              <w:spacing w:line="578"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承办机构</w:t>
            </w:r>
          </w:p>
        </w:tc>
        <w:tc>
          <w:tcPr>
            <w:tcW w:w="1876" w:type="dxa"/>
            <w:vAlign w:val="center"/>
          </w:tcPr>
          <w:p>
            <w:pPr>
              <w:spacing w:line="578"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880" w:type="dxa"/>
            <w:vAlign w:val="center"/>
          </w:tcPr>
          <w:p>
            <w:pPr>
              <w:spacing w:line="578" w:lineRule="exact"/>
              <w:jc w:val="center"/>
              <w:rPr>
                <w:rFonts w:ascii="Times New Roman" w:hAnsi="Times New Roman" w:eastAsia="宋体" w:cs="Times New Roman"/>
              </w:rPr>
            </w:pPr>
            <w:r>
              <w:rPr>
                <w:rFonts w:ascii="Times New Roman" w:hAnsi="Times New Roman" w:eastAsia="宋体" w:cs="Times New Roman"/>
              </w:rPr>
              <w:t>1</w:t>
            </w:r>
          </w:p>
        </w:tc>
        <w:tc>
          <w:tcPr>
            <w:tcW w:w="198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依申请政府信息</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公开</w:t>
            </w:r>
          </w:p>
        </w:tc>
        <w:tc>
          <w:tcPr>
            <w:tcW w:w="1995"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依申请政府信息</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公开</w:t>
            </w:r>
          </w:p>
        </w:tc>
        <w:tc>
          <w:tcPr>
            <w:tcW w:w="204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0" w:type="dxa"/>
            <w:vAlign w:val="center"/>
          </w:tcPr>
          <w:p>
            <w:pPr>
              <w:spacing w:line="578" w:lineRule="exact"/>
              <w:jc w:val="center"/>
              <w:rPr>
                <w:rFonts w:ascii="Times New Roman" w:hAnsi="Times New Roman" w:eastAsia="宋体" w:cs="Times New Roman"/>
              </w:rPr>
            </w:pPr>
            <w:r>
              <w:rPr>
                <w:rFonts w:ascii="Times New Roman" w:hAnsi="Times New Roman" w:eastAsia="宋体" w:cs="Times New Roman"/>
              </w:rPr>
              <w:t>2</w:t>
            </w:r>
          </w:p>
        </w:tc>
        <w:tc>
          <w:tcPr>
            <w:tcW w:w="1980" w:type="dxa"/>
            <w:vAlign w:val="center"/>
          </w:tcPr>
          <w:p>
            <w:pPr>
              <w:widowControl/>
              <w:jc w:val="center"/>
              <w:textAlignment w:val="center"/>
              <w:rPr>
                <w:rFonts w:ascii="Times New Roman" w:hAnsi="Times New Roman" w:eastAsia="微软雅黑" w:cs="Times New Roman"/>
                <w:kern w:val="0"/>
                <w:szCs w:val="21"/>
              </w:rPr>
            </w:pPr>
            <w:r>
              <w:rPr>
                <w:rFonts w:hint="eastAsia" w:ascii="宋体" w:hAnsi="宋体" w:eastAsia="宋体" w:cs="宋体"/>
                <w:color w:val="000000"/>
                <w:kern w:val="0"/>
                <w:sz w:val="20"/>
                <w:szCs w:val="20"/>
              </w:rPr>
              <w:t>退役士兵自主就业一次性经济补助金</w:t>
            </w:r>
          </w:p>
        </w:tc>
        <w:tc>
          <w:tcPr>
            <w:tcW w:w="1995" w:type="dxa"/>
            <w:vAlign w:val="center"/>
          </w:tcPr>
          <w:p>
            <w:pPr>
              <w:jc w:val="center"/>
              <w:rPr>
                <w:rFonts w:ascii="Times New Roman" w:hAnsi="Times New Roman" w:eastAsia="微软雅黑" w:cs="Times New Roman"/>
                <w:kern w:val="0"/>
                <w:szCs w:val="21"/>
              </w:rPr>
            </w:pPr>
            <w:r>
              <w:rPr>
                <w:rFonts w:hint="eastAsia" w:ascii="宋体" w:hAnsi="宋体" w:eastAsia="宋体" w:cs="宋体"/>
                <w:color w:val="000000"/>
                <w:kern w:val="0"/>
                <w:sz w:val="20"/>
                <w:szCs w:val="20"/>
              </w:rPr>
              <w:t>退役士兵自主就业一次性经济补助金的给付</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80" w:type="dxa"/>
            <w:vAlign w:val="center"/>
          </w:tcPr>
          <w:p>
            <w:pPr>
              <w:spacing w:line="578" w:lineRule="exact"/>
              <w:jc w:val="center"/>
              <w:rPr>
                <w:rFonts w:ascii="Times New Roman" w:hAnsi="Times New Roman" w:eastAsia="宋体" w:cs="Times New Roman"/>
              </w:rPr>
            </w:pPr>
            <w:r>
              <w:rPr>
                <w:rFonts w:ascii="Times New Roman" w:hAnsi="Times New Roman" w:eastAsia="宋体" w:cs="Times New Roman"/>
              </w:rPr>
              <w:t>3</w:t>
            </w:r>
          </w:p>
        </w:tc>
        <w:tc>
          <w:tcPr>
            <w:tcW w:w="1980" w:type="dxa"/>
            <w:vAlign w:val="center"/>
          </w:tcPr>
          <w:p>
            <w:pPr>
              <w:widowControl/>
              <w:jc w:val="center"/>
              <w:textAlignment w:val="center"/>
              <w:rPr>
                <w:rFonts w:ascii="Times New Roman" w:hAnsi="Times New Roman" w:eastAsia="微软雅黑" w:cs="Times New Roman"/>
                <w:kern w:val="0"/>
                <w:szCs w:val="21"/>
              </w:rPr>
            </w:pPr>
            <w:r>
              <w:rPr>
                <w:rFonts w:hint="eastAsia" w:ascii="宋体" w:hAnsi="宋体" w:eastAsia="宋体" w:cs="宋体"/>
                <w:color w:val="000000"/>
                <w:kern w:val="0"/>
                <w:sz w:val="20"/>
                <w:szCs w:val="20"/>
              </w:rPr>
              <w:t>义务兵家庭优待金</w:t>
            </w:r>
          </w:p>
        </w:tc>
        <w:tc>
          <w:tcPr>
            <w:tcW w:w="1995" w:type="dxa"/>
            <w:vAlign w:val="center"/>
          </w:tcPr>
          <w:p>
            <w:pPr>
              <w:jc w:val="center"/>
              <w:rPr>
                <w:rFonts w:ascii="Times New Roman" w:hAnsi="Times New Roman" w:eastAsia="微软雅黑" w:cs="Times New Roman"/>
                <w:kern w:val="0"/>
                <w:szCs w:val="21"/>
              </w:rPr>
            </w:pPr>
            <w:r>
              <w:rPr>
                <w:rFonts w:hint="eastAsia" w:ascii="宋体" w:hAnsi="宋体" w:eastAsia="宋体" w:cs="宋体"/>
                <w:color w:val="000000"/>
                <w:kern w:val="0"/>
                <w:sz w:val="20"/>
                <w:szCs w:val="20"/>
              </w:rPr>
              <w:t>义务兵家庭优待金的给付</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880" w:type="dxa"/>
            <w:vAlign w:val="center"/>
          </w:tcPr>
          <w:p>
            <w:pPr>
              <w:spacing w:line="578" w:lineRule="exact"/>
              <w:jc w:val="center"/>
              <w:rPr>
                <w:rFonts w:ascii="Times New Roman" w:hAnsi="Times New Roman" w:eastAsia="宋体" w:cs="Times New Roman"/>
              </w:rPr>
            </w:pPr>
            <w:r>
              <w:rPr>
                <w:rFonts w:ascii="Times New Roman" w:hAnsi="Times New Roman" w:eastAsia="宋体" w:cs="Times New Roman"/>
              </w:rPr>
              <w:t>4</w:t>
            </w:r>
          </w:p>
        </w:tc>
        <w:tc>
          <w:tcPr>
            <w:tcW w:w="1980" w:type="dxa"/>
            <w:vAlign w:val="center"/>
          </w:tcPr>
          <w:p>
            <w:pPr>
              <w:widowControl/>
              <w:jc w:val="center"/>
              <w:textAlignment w:val="center"/>
              <w:rPr>
                <w:rFonts w:ascii="Times New Roman" w:hAnsi="Times New Roman" w:eastAsia="微软雅黑" w:cs="Times New Roman"/>
                <w:kern w:val="0"/>
                <w:szCs w:val="21"/>
              </w:rPr>
            </w:pPr>
            <w:r>
              <w:rPr>
                <w:rFonts w:hint="eastAsia" w:ascii="宋体" w:hAnsi="宋体" w:eastAsia="宋体" w:cs="宋体"/>
                <w:color w:val="000000"/>
                <w:kern w:val="0"/>
                <w:sz w:val="20"/>
                <w:szCs w:val="20"/>
              </w:rPr>
              <w:t>部分农村籍退役士兵老年生活补助</w:t>
            </w:r>
          </w:p>
        </w:tc>
        <w:tc>
          <w:tcPr>
            <w:tcW w:w="1995"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抚恤金的给付</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880" w:type="dxa"/>
            <w:vAlign w:val="center"/>
          </w:tcPr>
          <w:p>
            <w:pPr>
              <w:spacing w:line="578" w:lineRule="exact"/>
              <w:jc w:val="center"/>
              <w:rPr>
                <w:rFonts w:ascii="Times New Roman" w:hAnsi="Times New Roman" w:eastAsia="宋体" w:cs="Times New Roman"/>
              </w:rPr>
            </w:pPr>
            <w:r>
              <w:rPr>
                <w:rFonts w:ascii="Times New Roman" w:hAnsi="Times New Roman" w:eastAsia="宋体" w:cs="Times New Roman"/>
              </w:rPr>
              <w:t>5</w:t>
            </w:r>
          </w:p>
        </w:tc>
        <w:tc>
          <w:tcPr>
            <w:tcW w:w="1980" w:type="dxa"/>
            <w:vAlign w:val="center"/>
          </w:tcPr>
          <w:p>
            <w:pPr>
              <w:widowControl/>
              <w:jc w:val="center"/>
              <w:textAlignment w:val="center"/>
              <w:rPr>
                <w:rFonts w:ascii="Times New Roman" w:hAnsi="Times New Roman" w:eastAsia="微软雅黑" w:cs="Times New Roman"/>
                <w:kern w:val="0"/>
                <w:szCs w:val="21"/>
              </w:rPr>
            </w:pPr>
            <w:r>
              <w:rPr>
                <w:rFonts w:hint="eastAsia" w:ascii="宋体" w:hAnsi="宋体" w:eastAsia="宋体" w:cs="宋体"/>
                <w:color w:val="000000"/>
                <w:kern w:val="0"/>
                <w:sz w:val="20"/>
                <w:szCs w:val="20"/>
              </w:rPr>
              <w:t>部分烈士（含错杀后被平反人员）子女认定及生活补助给付</w:t>
            </w:r>
          </w:p>
        </w:tc>
        <w:tc>
          <w:tcPr>
            <w:tcW w:w="1995"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部分烈士（含错杀后被平反人员）子女认定及生活补助给付</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880" w:type="dxa"/>
            <w:vAlign w:val="center"/>
          </w:tcPr>
          <w:p>
            <w:pPr>
              <w:spacing w:line="578" w:lineRule="exact"/>
              <w:jc w:val="center"/>
              <w:rPr>
                <w:rFonts w:ascii="Times New Roman" w:hAnsi="Times New Roman" w:eastAsia="宋体" w:cs="Times New Roman"/>
              </w:rPr>
            </w:pPr>
            <w:r>
              <w:rPr>
                <w:rFonts w:hint="eastAsia" w:ascii="Times New Roman" w:hAnsi="Times New Roman" w:eastAsia="宋体" w:cs="Times New Roman"/>
              </w:rPr>
              <w:t>6</w:t>
            </w:r>
          </w:p>
        </w:tc>
        <w:tc>
          <w:tcPr>
            <w:tcW w:w="198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退役军人就业创业、职业技能培训</w:t>
            </w:r>
          </w:p>
        </w:tc>
        <w:tc>
          <w:tcPr>
            <w:tcW w:w="1995"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组织退役军人参加就业创业培训以及组织退役军人专场招聘会</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80" w:type="dxa"/>
            <w:vAlign w:val="center"/>
          </w:tcPr>
          <w:p>
            <w:pPr>
              <w:spacing w:line="578" w:lineRule="exact"/>
              <w:jc w:val="center"/>
              <w:rPr>
                <w:rFonts w:ascii="Times New Roman" w:hAnsi="Times New Roman" w:eastAsia="宋体" w:cs="Times New Roman"/>
              </w:rPr>
            </w:pPr>
            <w:r>
              <w:rPr>
                <w:rFonts w:hint="eastAsia" w:ascii="Times New Roman" w:hAnsi="Times New Roman" w:eastAsia="宋体" w:cs="Times New Roman"/>
              </w:rPr>
              <w:t>7</w:t>
            </w:r>
          </w:p>
        </w:tc>
        <w:tc>
          <w:tcPr>
            <w:tcW w:w="198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优抚对象医疗保障</w:t>
            </w:r>
          </w:p>
        </w:tc>
        <w:tc>
          <w:tcPr>
            <w:tcW w:w="1995" w:type="dxa"/>
            <w:vAlign w:val="center"/>
          </w:tcPr>
          <w:p>
            <w:pPr>
              <w:jc w:val="center"/>
              <w:rPr>
                <w:rFonts w:ascii="Times New Roman" w:hAnsi="Times New Roman" w:eastAsia="微软雅黑" w:cs="Times New Roman"/>
                <w:kern w:val="0"/>
                <w:szCs w:val="21"/>
              </w:rPr>
            </w:pPr>
            <w:r>
              <w:rPr>
                <w:rFonts w:hint="eastAsia" w:ascii="宋体" w:hAnsi="宋体" w:eastAsia="宋体" w:cs="宋体"/>
                <w:color w:val="000000"/>
                <w:kern w:val="0"/>
                <w:sz w:val="20"/>
                <w:szCs w:val="20"/>
              </w:rPr>
              <w:t>发放优抚对象医疗补助金</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880" w:type="dxa"/>
            <w:vAlign w:val="center"/>
          </w:tcPr>
          <w:p>
            <w:pPr>
              <w:spacing w:line="578" w:lineRule="exact"/>
              <w:jc w:val="center"/>
              <w:rPr>
                <w:rFonts w:ascii="Times New Roman" w:hAnsi="Times New Roman" w:eastAsia="宋体" w:cs="Times New Roman"/>
              </w:rPr>
            </w:pPr>
            <w:r>
              <w:rPr>
                <w:rFonts w:hint="eastAsia" w:ascii="Times New Roman" w:hAnsi="Times New Roman" w:eastAsia="宋体" w:cs="Times New Roman"/>
              </w:rPr>
              <w:t>8</w:t>
            </w:r>
          </w:p>
        </w:tc>
        <w:tc>
          <w:tcPr>
            <w:tcW w:w="198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大学生入伍一次性奖励金</w:t>
            </w:r>
          </w:p>
        </w:tc>
        <w:tc>
          <w:tcPr>
            <w:tcW w:w="1995"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大学生入伍一次性奖励金的给付</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80" w:type="dxa"/>
            <w:vAlign w:val="center"/>
          </w:tcPr>
          <w:p>
            <w:pPr>
              <w:spacing w:line="578" w:lineRule="exact"/>
              <w:jc w:val="center"/>
              <w:rPr>
                <w:rFonts w:ascii="Times New Roman" w:hAnsi="Times New Roman" w:eastAsia="宋体" w:cs="Times New Roman"/>
              </w:rPr>
            </w:pPr>
            <w:r>
              <w:rPr>
                <w:rFonts w:hint="eastAsia" w:ascii="Times New Roman" w:hAnsi="Times New Roman" w:eastAsia="宋体" w:cs="Times New Roman"/>
              </w:rPr>
              <w:t>9</w:t>
            </w:r>
          </w:p>
        </w:tc>
        <w:tc>
          <w:tcPr>
            <w:tcW w:w="198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烈士纪念设施免费开放服务</w:t>
            </w:r>
          </w:p>
        </w:tc>
        <w:tc>
          <w:tcPr>
            <w:tcW w:w="1995"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免费开放我区三座烈士陵园供市民游客参观</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880" w:type="dxa"/>
            <w:vAlign w:val="center"/>
          </w:tcPr>
          <w:p>
            <w:pPr>
              <w:spacing w:line="578" w:lineRule="exact"/>
              <w:jc w:val="center"/>
              <w:rPr>
                <w:rFonts w:ascii="Times New Roman" w:hAnsi="Times New Roman" w:eastAsia="宋体" w:cs="Times New Roman"/>
              </w:rPr>
            </w:pPr>
            <w:r>
              <w:rPr>
                <w:rFonts w:hint="eastAsia" w:ascii="Times New Roman" w:hAnsi="Times New Roman" w:eastAsia="宋体" w:cs="Times New Roman"/>
              </w:rPr>
              <w:t>10</w:t>
            </w:r>
          </w:p>
        </w:tc>
        <w:tc>
          <w:tcPr>
            <w:tcW w:w="1980" w:type="dxa"/>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协同开展烈士安葬服务</w:t>
            </w:r>
          </w:p>
        </w:tc>
        <w:tc>
          <w:tcPr>
            <w:tcW w:w="1995"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协同烈士遗属开展零散烈士墓修缮</w:t>
            </w:r>
          </w:p>
        </w:tc>
        <w:tc>
          <w:tcPr>
            <w:tcW w:w="2040" w:type="dxa"/>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三亚市崖州区退役军人事务局</w:t>
            </w:r>
          </w:p>
        </w:tc>
        <w:tc>
          <w:tcPr>
            <w:tcW w:w="1876" w:type="dxa"/>
            <w:vAlign w:val="center"/>
          </w:tcPr>
          <w:p>
            <w:pPr>
              <w:spacing w:line="578" w:lineRule="exact"/>
              <w:jc w:val="center"/>
              <w:rPr>
                <w:rFonts w:ascii="Times New Roman" w:hAnsi="Times New Roman" w:eastAsia="微软雅黑" w:cs="Times New Roman"/>
                <w:kern w:val="0"/>
                <w:szCs w:val="21"/>
              </w:rPr>
            </w:pPr>
            <w:r>
              <w:rPr>
                <w:rFonts w:hint="eastAsia" w:ascii="Times New Roman" w:hAnsi="Times New Roman" w:eastAsia="微软雅黑" w:cs="Times New Roman"/>
                <w:kern w:val="0"/>
                <w:szCs w:val="21"/>
              </w:rPr>
              <w:t>88031956</w:t>
            </w:r>
          </w:p>
        </w:tc>
      </w:tr>
    </w:tbl>
    <w:p>
      <w:pPr>
        <w:spacing w:line="578" w:lineRule="exact"/>
        <w:rPr>
          <w:rFonts w:ascii="Times New Roman" w:hAnsi="Times New Roman" w:eastAsia="仿宋_GB2312" w:cs="Times New Roman"/>
          <w:sz w:val="32"/>
          <w:szCs w:val="22"/>
        </w:rPr>
      </w:pPr>
    </w:p>
    <w:p>
      <w:pPr>
        <w:spacing w:line="0" w:lineRule="atLeast"/>
        <w:jc w:val="left"/>
        <w:rPr>
          <w:rFonts w:ascii="Times New Roman" w:hAnsi="Times New Roman" w:eastAsia="仿宋_GB2312" w:cs="Times New Roman"/>
          <w:sz w:val="32"/>
          <w:szCs w:val="22"/>
        </w:rPr>
      </w:pPr>
    </w:p>
    <w:p/>
    <w:p>
      <w:pPr>
        <w:pStyle w:val="2"/>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fBbUsQEA&#10;AE4DAAAOAAAAAAAAAAEAIAAAAB4BAABkcnMvZTJvRG9jLnhtbFBLBQYAAAAABgAGAFkBAABBBQAA&#10;AAA=&#10;">
          <v:path/>
          <v:fill on="f" focussize="0,0"/>
          <v:stroke on="f" joinstyle="miter"/>
          <v:imagedata o:title=""/>
          <o:lock v:ext="edit"/>
          <v:textbox inset="0mm,0mm,0mm,0mm" style="mso-fit-shape-to-text:t;">
            <w:txbxContent>
              <w:p>
                <w:pPr>
                  <w:snapToGrid w:val="0"/>
                  <w:rPr>
                    <w:rFonts w:asciiTheme="minorEastAsia" w:hAnsiTheme="minorEastAsia" w:cstheme="minorEastAsia"/>
                    <w:sz w:val="28"/>
                    <w:szCs w:val="40"/>
                  </w:rPr>
                </w:pPr>
                <w:r>
                  <w:rPr>
                    <w:rFonts w:hint="eastAsia" w:asciiTheme="minorEastAsia" w:hAnsiTheme="minorEastAsia" w:cstheme="minorEastAsia"/>
                    <w:sz w:val="28"/>
                    <w:szCs w:val="40"/>
                  </w:rPr>
                  <w:fldChar w:fldCharType="begin"/>
                </w:r>
                <w:r>
                  <w:rPr>
                    <w:rFonts w:hint="eastAsia" w:asciiTheme="minorEastAsia" w:hAnsiTheme="minorEastAsia" w:cstheme="minorEastAsia"/>
                    <w:sz w:val="28"/>
                    <w:szCs w:val="40"/>
                  </w:rPr>
                  <w:instrText xml:space="preserve"> PAGE  \* MERGEFORMAT </w:instrText>
                </w:r>
                <w:r>
                  <w:rPr>
                    <w:rFonts w:hint="eastAsia" w:asciiTheme="minorEastAsia" w:hAnsiTheme="minorEastAsia" w:cstheme="minorEastAsia"/>
                    <w:sz w:val="28"/>
                    <w:szCs w:val="40"/>
                  </w:rPr>
                  <w:fldChar w:fldCharType="separate"/>
                </w:r>
                <w:r>
                  <w:rPr>
                    <w:rFonts w:asciiTheme="minorEastAsia" w:hAnsiTheme="minorEastAsia" w:cstheme="minorEastAsia"/>
                    <w:sz w:val="28"/>
                    <w:szCs w:val="40"/>
                  </w:rPr>
                  <w:t>- 7 -</w:t>
                </w:r>
                <w:r>
                  <w:rPr>
                    <w:rFonts w:hint="eastAsia" w:asciiTheme="minorEastAsia" w:hAnsiTheme="minorEastAsia" w:cstheme="minorEastAsia"/>
                    <w:sz w:val="28"/>
                    <w:szCs w:val="40"/>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76D3CA0"/>
    <w:rsid w:val="00017501"/>
    <w:rsid w:val="00167476"/>
    <w:rsid w:val="0025493B"/>
    <w:rsid w:val="00563ABD"/>
    <w:rsid w:val="006B19A3"/>
    <w:rsid w:val="007807D8"/>
    <w:rsid w:val="009B5101"/>
    <w:rsid w:val="00A21871"/>
    <w:rsid w:val="00AA4994"/>
    <w:rsid w:val="00C82D69"/>
    <w:rsid w:val="00ED2F04"/>
    <w:rsid w:val="00FB21D6"/>
    <w:rsid w:val="00FE741B"/>
    <w:rsid w:val="01031A7D"/>
    <w:rsid w:val="23880E7A"/>
    <w:rsid w:val="24065102"/>
    <w:rsid w:val="28503F9C"/>
    <w:rsid w:val="2E3C2FAA"/>
    <w:rsid w:val="425070E7"/>
    <w:rsid w:val="43AC770E"/>
    <w:rsid w:val="443132DC"/>
    <w:rsid w:val="46306C67"/>
    <w:rsid w:val="54A3428C"/>
    <w:rsid w:val="56CC4834"/>
    <w:rsid w:val="576D3CA0"/>
    <w:rsid w:val="5BC21DE5"/>
    <w:rsid w:val="5CA134D4"/>
    <w:rsid w:val="7D75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崖州区</Company>
  <Pages>7</Pages>
  <Words>328</Words>
  <Characters>1873</Characters>
  <Lines>15</Lines>
  <Paragraphs>4</Paragraphs>
  <TotalTime>0</TotalTime>
  <ScaleCrop>false</ScaleCrop>
  <LinksUpToDate>false</LinksUpToDate>
  <CharactersWithSpaces>2197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2021-10-19T05:43:00Z</dcterms:created>
  <dc:creator>Lenovo</dc:creator>
  <cp:lastModifiedBy>水先生</cp:lastModifiedBy>
  <cp:lastPrinted>2021-09-02T02:20:00Z</cp:lastPrinted>
  <dcterms:modified xsi:type="dcterms:W3CDTF">2021-10-20T03:35:14Z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