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cs="Times New Roman"/>
          <w:bCs/>
          <w:color w:val="000000" w:themeColor="text1"/>
          <w:kern w:val="0"/>
          <w:sz w:val="44"/>
          <w:szCs w:val="44"/>
        </w:rPr>
      </w:pPr>
      <w:r>
        <w:rPr>
          <w:rFonts w:hint="eastAsia" w:ascii="Times New Roman" w:hAnsi="Times New Roman" w:eastAsia="方正小标宋简体" w:cs="Times New Roman"/>
          <w:bCs/>
          <w:color w:val="000000" w:themeColor="text1"/>
          <w:kern w:val="0"/>
          <w:sz w:val="44"/>
          <w:szCs w:val="44"/>
        </w:rPr>
        <w:t>三亚市崖州区行政审批服务局</w:t>
      </w:r>
    </w:p>
    <w:p>
      <w:pPr>
        <w:spacing w:line="578" w:lineRule="exact"/>
        <w:jc w:val="center"/>
        <w:rPr>
          <w:rFonts w:ascii="Times New Roman" w:hAnsi="Times New Roman" w:eastAsia="方正小标宋简体" w:cs="Times New Roman"/>
          <w:bCs/>
          <w:color w:val="000000" w:themeColor="text1"/>
          <w:kern w:val="0"/>
          <w:sz w:val="44"/>
          <w:szCs w:val="44"/>
        </w:rPr>
      </w:pPr>
      <w:r>
        <w:rPr>
          <w:rFonts w:ascii="Times New Roman" w:hAnsi="Times New Roman" w:eastAsia="方正小标宋简体" w:cs="Times New Roman"/>
          <w:bCs/>
          <w:color w:val="000000" w:themeColor="text1"/>
          <w:kern w:val="0"/>
          <w:sz w:val="44"/>
          <w:szCs w:val="44"/>
        </w:rPr>
        <w:t>责任清单编制说明</w:t>
      </w:r>
    </w:p>
    <w:p>
      <w:pPr>
        <w:spacing w:line="578" w:lineRule="exact"/>
        <w:rPr>
          <w:rFonts w:ascii="Times New Roman" w:hAnsi="Times New Roman" w:eastAsia="仿宋_GB2312" w:cs="Times New Roman"/>
          <w:bCs/>
          <w:color w:val="000000" w:themeColor="text1"/>
          <w:kern w:val="0"/>
          <w:sz w:val="28"/>
          <w:szCs w:val="28"/>
        </w:rPr>
      </w:pPr>
    </w:p>
    <w:p>
      <w:pPr>
        <w:spacing w:line="578" w:lineRule="exact"/>
        <w:ind w:firstLine="640" w:firstLineChars="200"/>
        <w:rPr>
          <w:rFonts w:ascii="Times New Roman" w:hAnsi="Times New Roman" w:eastAsia="仿宋_GB2312" w:cs="Times New Roman"/>
          <w:bCs/>
          <w:color w:val="000000" w:themeColor="text1"/>
          <w:kern w:val="0"/>
          <w:sz w:val="32"/>
          <w:szCs w:val="32"/>
        </w:rPr>
      </w:pPr>
      <w:r>
        <w:rPr>
          <w:rFonts w:ascii="Times New Roman" w:hAnsi="Times New Roman" w:eastAsia="仿宋_GB2312" w:cs="Times New Roman"/>
          <w:bCs/>
          <w:color w:val="000000" w:themeColor="text1"/>
          <w:kern w:val="0"/>
          <w:sz w:val="32"/>
          <w:szCs w:val="32"/>
        </w:rPr>
        <w:t>根据</w:t>
      </w:r>
      <w:r>
        <w:rPr>
          <w:rFonts w:hint="eastAsia" w:ascii="仿宋_GB2312" w:hAnsi="仿宋_GB2312" w:eastAsia="仿宋_GB2312" w:cs="仿宋_GB2312"/>
          <w:color w:val="000000"/>
          <w:kern w:val="0"/>
          <w:sz w:val="32"/>
          <w:szCs w:val="32"/>
        </w:rPr>
        <w:t>《中共三亚市崖州区委员会关于印发&lt;三亚市崖州区“制度建设年”行动方案&gt;的通知》（崖州委〔2021〕181号）</w:t>
      </w:r>
      <w:r>
        <w:rPr>
          <w:rFonts w:ascii="Times New Roman" w:hAnsi="Times New Roman" w:eastAsia="仿宋_GB2312" w:cs="Times New Roman"/>
          <w:bCs/>
          <w:color w:val="000000" w:themeColor="text1"/>
          <w:kern w:val="0"/>
          <w:sz w:val="32"/>
          <w:szCs w:val="32"/>
        </w:rPr>
        <w:t>精神，我局编制形成《三亚市崖州区行政审批服务局责任清单》，现将有关内容作说明如下：</w:t>
      </w:r>
    </w:p>
    <w:p>
      <w:pPr>
        <w:spacing w:line="578" w:lineRule="exact"/>
        <w:ind w:firstLine="640" w:firstLineChars="200"/>
        <w:rPr>
          <w:rFonts w:ascii="Times New Roman" w:hAnsi="Times New Roman" w:eastAsia="黑体" w:cs="Times New Roman"/>
          <w:bCs/>
          <w:color w:val="000000" w:themeColor="text1"/>
          <w:kern w:val="0"/>
          <w:sz w:val="32"/>
          <w:szCs w:val="32"/>
        </w:rPr>
      </w:pPr>
      <w:r>
        <w:rPr>
          <w:rFonts w:ascii="Times New Roman" w:hAnsi="Times New Roman" w:eastAsia="黑体" w:cs="Times New Roman"/>
          <w:bCs/>
          <w:color w:val="000000" w:themeColor="text1"/>
          <w:kern w:val="0"/>
          <w:sz w:val="32"/>
          <w:szCs w:val="32"/>
        </w:rPr>
        <w:t>一、部门主要职责和具体工作事项</w:t>
      </w:r>
    </w:p>
    <w:p>
      <w:pPr>
        <w:spacing w:line="578" w:lineRule="exact"/>
        <w:ind w:firstLine="643" w:firstLineChars="200"/>
        <w:rPr>
          <w:rFonts w:ascii="Times New Roman" w:hAnsi="Times New Roman" w:eastAsia="楷体_GB2312" w:cs="Times New Roman"/>
          <w:b/>
          <w:color w:val="000000" w:themeColor="text1"/>
          <w:kern w:val="0"/>
          <w:sz w:val="32"/>
          <w:szCs w:val="32"/>
        </w:rPr>
      </w:pPr>
      <w:r>
        <w:rPr>
          <w:rFonts w:ascii="Times New Roman" w:hAnsi="Times New Roman" w:eastAsia="楷体_GB2312" w:cs="Times New Roman"/>
          <w:b/>
          <w:color w:val="000000" w:themeColor="text1"/>
          <w:kern w:val="0"/>
          <w:sz w:val="32"/>
          <w:szCs w:val="32"/>
        </w:rPr>
        <w:t>（一）主要职责</w:t>
      </w:r>
    </w:p>
    <w:p>
      <w:pPr>
        <w:spacing w:line="578"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rPr>
        <w:t>区</w:t>
      </w:r>
      <w:r>
        <w:rPr>
          <w:rFonts w:ascii="仿宋_GB2312" w:hAnsi="仿宋_GB2312" w:eastAsia="仿宋_GB2312" w:cs="仿宋_GB2312"/>
          <w:color w:val="000000"/>
          <w:kern w:val="0"/>
          <w:sz w:val="32"/>
          <w:szCs w:val="32"/>
        </w:rPr>
        <w:t>委、</w:t>
      </w:r>
      <w:r>
        <w:rPr>
          <w:rFonts w:hint="eastAsia" w:ascii="仿宋_GB2312" w:hAnsi="仿宋_GB2312" w:eastAsia="仿宋_GB2312" w:cs="仿宋_GB2312"/>
          <w:color w:val="000000"/>
          <w:kern w:val="0"/>
          <w:sz w:val="32"/>
          <w:szCs w:val="32"/>
        </w:rPr>
        <w:t>区</w:t>
      </w:r>
      <w:r>
        <w:rPr>
          <w:rFonts w:ascii="仿宋_GB2312" w:hAnsi="仿宋_GB2312" w:eastAsia="仿宋_GB2312" w:cs="仿宋_GB2312"/>
          <w:color w:val="000000"/>
          <w:kern w:val="0"/>
          <w:sz w:val="32"/>
          <w:szCs w:val="32"/>
        </w:rPr>
        <w:t>政府核定“三定”规定，我局承担主要职责共</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项。</w:t>
      </w:r>
    </w:p>
    <w:p>
      <w:pPr>
        <w:spacing w:line="578" w:lineRule="exact"/>
        <w:ind w:firstLine="643" w:firstLineChars="200"/>
        <w:rPr>
          <w:rFonts w:ascii="Times New Roman" w:hAnsi="Times New Roman" w:eastAsia="楷体_GB2312" w:cs="Times New Roman"/>
          <w:b/>
          <w:color w:val="000000" w:themeColor="text1"/>
          <w:kern w:val="0"/>
          <w:sz w:val="32"/>
          <w:szCs w:val="32"/>
        </w:rPr>
      </w:pPr>
      <w:r>
        <w:rPr>
          <w:rFonts w:ascii="Times New Roman" w:hAnsi="Times New Roman" w:eastAsia="楷体_GB2312" w:cs="Times New Roman"/>
          <w:b/>
          <w:color w:val="000000" w:themeColor="text1"/>
          <w:kern w:val="0"/>
          <w:sz w:val="32"/>
          <w:szCs w:val="32"/>
        </w:rPr>
        <w:t>（二）具体工作事项</w:t>
      </w:r>
    </w:p>
    <w:p>
      <w:pPr>
        <w:spacing w:line="578"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经梳理，深化细化具体工作事项共</w:t>
      </w:r>
      <w:r>
        <w:rPr>
          <w:rFonts w:hint="eastAsia" w:ascii="仿宋_GB2312" w:hAnsi="仿宋_GB2312" w:eastAsia="仿宋_GB2312" w:cs="仿宋_GB2312"/>
          <w:color w:val="000000"/>
          <w:kern w:val="0"/>
          <w:sz w:val="32"/>
          <w:szCs w:val="32"/>
        </w:rPr>
        <w:t>21</w:t>
      </w:r>
      <w:r>
        <w:rPr>
          <w:rFonts w:ascii="仿宋_GB2312" w:hAnsi="仿宋_GB2312" w:eastAsia="仿宋_GB2312" w:cs="仿宋_GB2312"/>
          <w:color w:val="000000"/>
          <w:kern w:val="0"/>
          <w:sz w:val="32"/>
          <w:szCs w:val="32"/>
        </w:rPr>
        <w:t>项。</w:t>
      </w:r>
    </w:p>
    <w:p>
      <w:pPr>
        <w:spacing w:line="578" w:lineRule="exact"/>
        <w:ind w:firstLine="640" w:firstLineChars="200"/>
        <w:rPr>
          <w:rFonts w:ascii="Times New Roman" w:hAnsi="Times New Roman" w:eastAsia="黑体" w:cs="Times New Roman"/>
          <w:bCs/>
          <w:color w:val="000000" w:themeColor="text1"/>
          <w:kern w:val="0"/>
          <w:sz w:val="32"/>
          <w:szCs w:val="32"/>
        </w:rPr>
      </w:pPr>
      <w:r>
        <w:rPr>
          <w:rFonts w:ascii="Times New Roman" w:hAnsi="Times New Roman" w:eastAsia="黑体" w:cs="Times New Roman"/>
          <w:bCs/>
          <w:color w:val="000000" w:themeColor="text1"/>
          <w:kern w:val="0"/>
          <w:sz w:val="32"/>
          <w:szCs w:val="32"/>
        </w:rPr>
        <w:t>二、与相关部门的职责边界</w:t>
      </w:r>
    </w:p>
    <w:p>
      <w:pPr>
        <w:spacing w:line="578"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经梳理，与相关部门的职责边界共</w:t>
      </w: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项。</w:t>
      </w:r>
    </w:p>
    <w:p>
      <w:pPr>
        <w:spacing w:line="578" w:lineRule="exact"/>
        <w:ind w:firstLine="640" w:firstLineChars="200"/>
        <w:rPr>
          <w:rFonts w:ascii="Times New Roman" w:hAnsi="Times New Roman" w:eastAsia="黑体" w:cs="Times New Roman"/>
          <w:bCs/>
          <w:color w:val="000000" w:themeColor="text1"/>
          <w:kern w:val="0"/>
          <w:sz w:val="32"/>
          <w:szCs w:val="32"/>
        </w:rPr>
      </w:pPr>
      <w:r>
        <w:rPr>
          <w:rFonts w:ascii="Times New Roman" w:hAnsi="Times New Roman" w:eastAsia="黑体" w:cs="Times New Roman"/>
          <w:bCs/>
          <w:color w:val="000000" w:themeColor="text1"/>
          <w:kern w:val="0"/>
          <w:sz w:val="32"/>
          <w:szCs w:val="32"/>
        </w:rPr>
        <w:t>三、事中事后监管制度</w:t>
      </w:r>
    </w:p>
    <w:p>
      <w:pPr>
        <w:spacing w:line="578"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p>
      <w:pPr>
        <w:spacing w:line="578" w:lineRule="exact"/>
        <w:ind w:firstLine="640" w:firstLineChars="200"/>
        <w:rPr>
          <w:rFonts w:ascii="Times New Roman" w:hAnsi="Times New Roman" w:eastAsia="黑体" w:cs="Times New Roman"/>
          <w:bCs/>
          <w:color w:val="000000" w:themeColor="text1"/>
          <w:kern w:val="0"/>
          <w:sz w:val="32"/>
          <w:szCs w:val="32"/>
        </w:rPr>
      </w:pPr>
      <w:r>
        <w:rPr>
          <w:rFonts w:ascii="Times New Roman" w:hAnsi="Times New Roman" w:eastAsia="黑体" w:cs="Times New Roman"/>
          <w:bCs/>
          <w:color w:val="000000" w:themeColor="text1"/>
          <w:kern w:val="0"/>
          <w:sz w:val="32"/>
          <w:szCs w:val="32"/>
        </w:rPr>
        <w:t>四、公共服务事项</w:t>
      </w:r>
    </w:p>
    <w:p>
      <w:pPr>
        <w:pStyle w:val="2"/>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w:t>
      </w:r>
    </w:p>
    <w:p/>
    <w:p/>
    <w:p>
      <w:pPr>
        <w:spacing w:line="460" w:lineRule="exact"/>
        <w:jc w:val="center"/>
        <w:rPr>
          <w:rFonts w:ascii="方正小标宋_GBK" w:hAnsi="方正小标宋_GBK" w:eastAsia="方正小标宋_GBK" w:cs="方正小标宋_GBK"/>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三亚市崖州区行政审批服务局责任清单</w:t>
      </w:r>
    </w:p>
    <w:p>
      <w:pPr>
        <w:spacing w:line="560" w:lineRule="exact"/>
        <w:rPr>
          <w:rFonts w:ascii="方正小标宋简体" w:eastAsia="方正小标宋简体"/>
          <w:sz w:val="32"/>
          <w:szCs w:val="32"/>
        </w:rPr>
      </w:pPr>
    </w:p>
    <w:p>
      <w:pPr>
        <w:spacing w:line="560" w:lineRule="exact"/>
        <w:jc w:val="center"/>
        <w:rPr>
          <w:rFonts w:ascii="黑体" w:hAnsi="黑体" w:eastAsia="黑体" w:cs="黑体"/>
          <w:sz w:val="36"/>
          <w:szCs w:val="36"/>
        </w:rPr>
      </w:pPr>
      <w:r>
        <w:rPr>
          <w:rFonts w:hint="eastAsia" w:ascii="黑体" w:hAnsi="黑体" w:eastAsia="黑体" w:cs="黑体"/>
          <w:sz w:val="36"/>
          <w:szCs w:val="36"/>
        </w:rPr>
        <w:t>目录</w:t>
      </w:r>
    </w:p>
    <w:p>
      <w:pPr>
        <w:spacing w:line="560" w:lineRule="exact"/>
        <w:jc w:val="center"/>
        <w:rPr>
          <w:rFonts w:ascii="方正小标宋简体" w:eastAsia="方正小标宋简体"/>
          <w:sz w:val="36"/>
          <w:szCs w:val="36"/>
        </w:rPr>
      </w:pPr>
    </w:p>
    <w:p>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一、部门职责登记表</w:t>
      </w:r>
    </w:p>
    <w:p>
      <w:pPr>
        <w:spacing w:line="560" w:lineRule="exact"/>
        <w:rPr>
          <w:rFonts w:asciiTheme="minorEastAsia" w:hAnsiTheme="minorEastAsia" w:cstheme="minorEastAsia"/>
          <w:sz w:val="32"/>
          <w:szCs w:val="32"/>
        </w:rPr>
      </w:pPr>
      <w:r>
        <w:rPr>
          <w:rFonts w:hint="eastAsia" w:asciiTheme="minorEastAsia" w:hAnsiTheme="minorEastAsia" w:cstheme="minorEastAsia"/>
          <w:sz w:val="32"/>
          <w:szCs w:val="32"/>
        </w:rPr>
        <w:t>二、与相关部门的职责边界登记表</w:t>
      </w:r>
    </w:p>
    <w:p>
      <w:pPr>
        <w:spacing w:line="460" w:lineRule="exact"/>
        <w:jc w:val="center"/>
        <w:rPr>
          <w:rFonts w:asciiTheme="minorEastAsia" w:hAnsiTheme="minorEastAsia" w:cstheme="minorEastAsia"/>
          <w:sz w:val="44"/>
          <w:szCs w:val="44"/>
        </w:rPr>
      </w:pPr>
    </w:p>
    <w:p>
      <w:pPr>
        <w:spacing w:line="460" w:lineRule="exact"/>
        <w:jc w:val="center"/>
        <w:rPr>
          <w:rFonts w:asciiTheme="minorEastAsia" w:hAnsiTheme="minorEastAsia" w:cstheme="minorEastAsia"/>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spacing w:line="460" w:lineRule="exact"/>
        <w:jc w:val="center"/>
        <w:rPr>
          <w:rFonts w:ascii="方正小标宋_GBK" w:hAnsi="方正小标宋_GBK" w:eastAsia="方正小标宋_GBK" w:cs="方正小标宋_GBK"/>
          <w:sz w:val="44"/>
          <w:szCs w:val="44"/>
        </w:rPr>
      </w:pPr>
    </w:p>
    <w:p>
      <w:pPr>
        <w:pStyle w:val="2"/>
        <w:rPr>
          <w:rFonts w:ascii="方正小标宋_GBK" w:hAnsi="方正小标宋_GBK" w:eastAsia="方正小标宋_GBK" w:cs="方正小标宋_GBK"/>
          <w:sz w:val="44"/>
          <w:szCs w:val="44"/>
        </w:rPr>
      </w:pPr>
    </w:p>
    <w:p/>
    <w:p>
      <w:pPr>
        <w:spacing w:line="460" w:lineRule="exact"/>
        <w:jc w:val="center"/>
        <w:rPr>
          <w:rFonts w:ascii="方正小标宋_GBK" w:hAnsi="方正小标宋_GBK" w:eastAsia="方正小标宋_GBK" w:cs="方正小标宋_GBK"/>
          <w:sz w:val="44"/>
          <w:szCs w:val="44"/>
        </w:rPr>
      </w:pPr>
    </w:p>
    <w:p>
      <w:pPr>
        <w:pStyle w:val="2"/>
      </w:pPr>
    </w:p>
    <w:p/>
    <w:p>
      <w:pPr>
        <w:pStyle w:val="2"/>
      </w:pPr>
    </w:p>
    <w:p/>
    <w:p>
      <w:pPr>
        <w:pStyle w:val="2"/>
      </w:pPr>
    </w:p>
    <w:p>
      <w:pPr>
        <w:spacing w:line="460" w:lineRule="exact"/>
        <w:rPr>
          <w:rFonts w:ascii="方正小标宋_GBK" w:hAnsi="方正小标宋_GBK" w:eastAsia="方正小标宋_GBK" w:cs="方正小标宋_GBK"/>
          <w:sz w:val="44"/>
          <w:szCs w:val="44"/>
        </w:rPr>
      </w:pPr>
    </w:p>
    <w:p>
      <w:pPr>
        <w:spacing w:line="460" w:lineRule="exact"/>
        <w:jc w:val="center"/>
        <w:rPr>
          <w:sz w:val="36"/>
          <w:szCs w:val="36"/>
        </w:rPr>
      </w:pPr>
      <w:r>
        <w:rPr>
          <w:rFonts w:hint="eastAsia" w:ascii="方正小标宋_GBK" w:hAnsi="方正小标宋_GBK" w:eastAsia="方正小标宋_GBK" w:cs="方正小标宋_GBK"/>
          <w:sz w:val="36"/>
          <w:szCs w:val="36"/>
        </w:rPr>
        <w:t>一、部门职责登记表</w:t>
      </w:r>
    </w:p>
    <w:tbl>
      <w:tblPr>
        <w:tblStyle w:val="7"/>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706"/>
        <w:gridCol w:w="546"/>
        <w:gridCol w:w="338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392" w:type="dxa"/>
            <w:vAlign w:val="center"/>
          </w:tcPr>
          <w:p>
            <w:pPr>
              <w:spacing w:line="460" w:lineRule="exact"/>
              <w:jc w:val="center"/>
              <w:rPr>
                <w:rFonts w:cs="仿宋_GB2312" w:asciiTheme="minorEastAsia" w:hAnsiTheme="minorEastAsia"/>
                <w:b/>
                <w:bCs/>
                <w:szCs w:val="21"/>
              </w:rPr>
            </w:pPr>
            <w:r>
              <w:rPr>
                <w:rFonts w:hint="eastAsia" w:cs="仿宋_GB2312" w:asciiTheme="minorEastAsia" w:hAnsiTheme="minorEastAsia"/>
                <w:b/>
                <w:bCs/>
                <w:szCs w:val="21"/>
              </w:rPr>
              <w:t>序号</w:t>
            </w:r>
          </w:p>
        </w:tc>
        <w:tc>
          <w:tcPr>
            <w:tcW w:w="3706" w:type="dxa"/>
            <w:vAlign w:val="center"/>
          </w:tcPr>
          <w:p>
            <w:pPr>
              <w:spacing w:line="460" w:lineRule="exact"/>
              <w:jc w:val="center"/>
              <w:rPr>
                <w:rFonts w:cs="仿宋_GB2312" w:asciiTheme="minorEastAsia" w:hAnsiTheme="minorEastAsia"/>
                <w:b/>
                <w:bCs/>
                <w:szCs w:val="21"/>
              </w:rPr>
            </w:pPr>
            <w:r>
              <w:rPr>
                <w:rFonts w:hint="eastAsia" w:cs="仿宋_GB2312" w:asciiTheme="minorEastAsia" w:hAnsiTheme="minorEastAsia"/>
                <w:b/>
                <w:bCs/>
                <w:szCs w:val="21"/>
              </w:rPr>
              <w:t>主要职责</w:t>
            </w:r>
          </w:p>
        </w:tc>
        <w:tc>
          <w:tcPr>
            <w:tcW w:w="546" w:type="dxa"/>
            <w:vAlign w:val="center"/>
          </w:tcPr>
          <w:p>
            <w:pPr>
              <w:jc w:val="center"/>
              <w:rPr>
                <w:rFonts w:asciiTheme="minorEastAsia" w:hAnsiTheme="minorEastAsia" w:cstheme="minorEastAsia"/>
                <w:b/>
                <w:kern w:val="0"/>
                <w:szCs w:val="21"/>
              </w:rPr>
            </w:pPr>
            <w:r>
              <w:rPr>
                <w:rFonts w:hint="eastAsia" w:cs="宋体" w:asciiTheme="minorEastAsia" w:hAnsiTheme="minorEastAsia"/>
                <w:b/>
                <w:color w:val="000000"/>
                <w:szCs w:val="21"/>
              </w:rPr>
              <w:t>序号</w:t>
            </w:r>
          </w:p>
        </w:tc>
        <w:tc>
          <w:tcPr>
            <w:tcW w:w="3386" w:type="dxa"/>
            <w:vAlign w:val="center"/>
          </w:tcPr>
          <w:p>
            <w:pPr>
              <w:spacing w:line="460" w:lineRule="exact"/>
              <w:jc w:val="center"/>
              <w:rPr>
                <w:rFonts w:cs="仿宋_GB2312" w:asciiTheme="minorEastAsia" w:hAnsiTheme="minorEastAsia"/>
                <w:b/>
                <w:bCs/>
                <w:szCs w:val="21"/>
              </w:rPr>
            </w:pPr>
            <w:r>
              <w:rPr>
                <w:rFonts w:hint="eastAsia" w:cs="仿宋_GB2312" w:asciiTheme="minorEastAsia" w:hAnsiTheme="minorEastAsia"/>
                <w:b/>
                <w:bCs/>
                <w:szCs w:val="21"/>
              </w:rPr>
              <w:t>具体工作事项</w:t>
            </w:r>
          </w:p>
        </w:tc>
        <w:tc>
          <w:tcPr>
            <w:tcW w:w="852" w:type="dxa"/>
            <w:vAlign w:val="center"/>
          </w:tcPr>
          <w:p>
            <w:pPr>
              <w:spacing w:line="460" w:lineRule="exact"/>
              <w:jc w:val="center"/>
              <w:rPr>
                <w:rFonts w:cs="仿宋_GB2312" w:asciiTheme="minorEastAsia" w:hAnsiTheme="minorEastAsia"/>
                <w:b/>
                <w:bCs/>
                <w:szCs w:val="21"/>
              </w:rPr>
            </w:pPr>
            <w:r>
              <w:rPr>
                <w:rFonts w:hint="eastAsia" w:cs="仿宋_GB2312" w:asciiTheme="minorEastAsia" w:hAnsi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392" w:type="dxa"/>
            <w:vMerge w:val="restart"/>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w:t>
            </w:r>
          </w:p>
        </w:tc>
        <w:tc>
          <w:tcPr>
            <w:tcW w:w="37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贯彻落实党和国家、省市有关行政审批工作的方针政策、相关法律法规和中国(海南)自由贸易试验区、中国特色自由贸易港的政策措施。执行市委市政府、区委区政府的决策部署。</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认真贯彻落实党和国家、省市有关行政审批工作的方针政策、相关法律法规。</w:t>
            </w:r>
          </w:p>
        </w:tc>
        <w:tc>
          <w:tcPr>
            <w:tcW w:w="852" w:type="dxa"/>
            <w:vMerge w:val="restart"/>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2</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认真做好高质量高标准建设海南自由贸易港的任务落实。</w:t>
            </w:r>
          </w:p>
        </w:tc>
        <w:tc>
          <w:tcPr>
            <w:tcW w:w="852"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3</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负责执行市委市政府、区委区政府有关本部门本领域的决策部署。</w:t>
            </w:r>
          </w:p>
        </w:tc>
        <w:tc>
          <w:tcPr>
            <w:tcW w:w="852"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392" w:type="dxa"/>
            <w:vMerge w:val="restart"/>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w:t>
            </w:r>
          </w:p>
        </w:tc>
        <w:tc>
          <w:tcPr>
            <w:tcW w:w="37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负责建立健全区行政审批工作机制并组织实施。研究提出区推进中国(海南)自由贸易试验区、中国特色自由贸易港建设有关行政审批方面的意见和建议。</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4</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研究提出全区有关行政审批发展战略和政策措施。</w:t>
            </w:r>
          </w:p>
        </w:tc>
        <w:tc>
          <w:tcPr>
            <w:tcW w:w="852" w:type="dxa"/>
            <w:vMerge w:val="restart"/>
            <w:vAlign w:val="center"/>
          </w:tcPr>
          <w:p>
            <w:pPr>
              <w:widowControl/>
              <w:spacing w:line="300" w:lineRule="exact"/>
              <w:jc w:val="left"/>
              <w:rPr>
                <w:rFonts w:ascii="仿宋_GB2312" w:hAnsi="仿宋_GB2312" w:eastAsia="仿宋_GB2312" w:cs="仿宋_GB2312"/>
                <w:bCs/>
                <w:kern w:val="0"/>
                <w:szCs w:val="21"/>
              </w:rPr>
            </w:pPr>
          </w:p>
          <w:p>
            <w:pPr>
              <w:widowControl/>
              <w:spacing w:line="300" w:lineRule="exact"/>
              <w:jc w:val="left"/>
              <w:rPr>
                <w:rFonts w:ascii="仿宋_GB2312" w:hAnsi="仿宋_GB2312" w:eastAsia="仿宋_GB2312" w:cs="仿宋_GB2312"/>
                <w:bCs/>
                <w:kern w:val="0"/>
                <w:szCs w:val="21"/>
              </w:rPr>
            </w:pPr>
          </w:p>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5</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拟</w:t>
            </w:r>
            <w:r>
              <w:rPr>
                <w:rFonts w:hint="eastAsia" w:ascii="仿宋_GB2312" w:hAnsi="仿宋_GB2312" w:cs="仿宋_GB2312"/>
                <w:bCs/>
                <w:kern w:val="0"/>
                <w:szCs w:val="21"/>
              </w:rPr>
              <w:t>订</w:t>
            </w:r>
            <w:r>
              <w:rPr>
                <w:rFonts w:hint="eastAsia" w:ascii="仿宋_GB2312" w:hAnsi="仿宋_GB2312" w:eastAsia="仿宋_GB2312" w:cs="仿宋_GB2312"/>
                <w:bCs/>
                <w:kern w:val="0"/>
                <w:szCs w:val="21"/>
              </w:rPr>
              <w:t>全区有关行政审批工作规范性文件草案。</w:t>
            </w:r>
          </w:p>
        </w:tc>
        <w:tc>
          <w:tcPr>
            <w:tcW w:w="852"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6</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结合国内其他城市有关行政审批方面的先进经验，研究提出本区符合海南自由贸易港建设要求的优化行政审批相关建议。</w:t>
            </w:r>
          </w:p>
        </w:tc>
        <w:tc>
          <w:tcPr>
            <w:tcW w:w="852"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392" w:type="dxa"/>
            <w:vMerge w:val="restart"/>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3</w:t>
            </w:r>
          </w:p>
        </w:tc>
        <w:tc>
          <w:tcPr>
            <w:tcW w:w="37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研究探索区行政审批制度改革、                 规范审批行为，建立和完善政务服务机制。</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7</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负责对接落实上级部门明确的行政审批制度改革工作任务，研究推进区行政审批制度改革。</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8</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负责区级行政审批服务事项标准化建设、审批流程再造、审批环节优化等相关工作体系、体制机制创新和完善工作。</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9</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组织区各职能局对“6+1”类政务服务事项进行环节优化、压缩时限、推进审批服务便民化、标准化建设。</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392" w:type="dxa"/>
            <w:vMerge w:val="restart"/>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4</w:t>
            </w:r>
          </w:p>
        </w:tc>
        <w:tc>
          <w:tcPr>
            <w:tcW w:w="37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履行区级各职能部门划转的行政审批及有关行政服务事项。</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10</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负责区级各职能部门划转的行政审批及有关行政服务事项的受理、审批、制证及结果的送达。</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11</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负责落实取消行政审批及有关行政服务事项，负责上级下放到区级行政许可事项的承接办理。</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12</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负责及时向行政主管部门推送行政审批服务事项决定信息。</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392" w:type="dxa"/>
            <w:vMerge w:val="restart"/>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5</w:t>
            </w:r>
          </w:p>
        </w:tc>
        <w:tc>
          <w:tcPr>
            <w:tcW w:w="37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负责指导区政务大厅、社区(村、居)便民服务站的审批服务工作，推进行政审批和行政服务标准化建设，优化行政审批服务事项流程，解决政务服务事项办理中存在的问题。</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13</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负责指导区政务大厅、社区(村、居)便民服务站的审批服务工作。</w:t>
            </w:r>
          </w:p>
        </w:tc>
        <w:tc>
          <w:tcPr>
            <w:tcW w:w="852" w:type="dxa"/>
            <w:vMerge w:val="restart"/>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14</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推进政务服务规范化建设。</w:t>
            </w:r>
          </w:p>
        </w:tc>
        <w:tc>
          <w:tcPr>
            <w:tcW w:w="852"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15</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研究压缩行政审批事项办理时限、减少行政审批服务事项申请材料、优化行政审批服务事项审批流程。</w:t>
            </w:r>
          </w:p>
        </w:tc>
        <w:tc>
          <w:tcPr>
            <w:tcW w:w="852"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16</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协调解决政务服务事项办理中一体化平台系统及行政审批辅助系统的问题。</w:t>
            </w:r>
          </w:p>
        </w:tc>
        <w:tc>
          <w:tcPr>
            <w:tcW w:w="852"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392" w:type="dxa"/>
            <w:vMerge w:val="restart"/>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6</w:t>
            </w:r>
          </w:p>
        </w:tc>
        <w:tc>
          <w:tcPr>
            <w:tcW w:w="37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负责政务服务效能监督工作，统一受理全区政务服务方面的投诉、咨询和信访工作。</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17</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依托一体化平台对全区政务服务效能进行监督跟踪督办审批事项办理进展情况。</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392" w:type="dxa"/>
            <w:vMerge w:val="continue"/>
            <w:vAlign w:val="center"/>
          </w:tcPr>
          <w:p>
            <w:pPr>
              <w:widowControl/>
              <w:spacing w:line="300" w:lineRule="exact"/>
              <w:jc w:val="center"/>
              <w:rPr>
                <w:rFonts w:ascii="仿宋_GB2312" w:hAnsi="仿宋_GB2312" w:eastAsia="仿宋_GB2312" w:cs="仿宋_GB2312"/>
                <w:bCs/>
                <w:kern w:val="0"/>
                <w:szCs w:val="21"/>
              </w:rPr>
            </w:pPr>
          </w:p>
        </w:tc>
        <w:tc>
          <w:tcPr>
            <w:tcW w:w="37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18</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受理全区政务服务方面的投诉、咨询和信访工作，并协调督促有关行政主管部门依法进行查处。</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392" w:type="dxa"/>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7</w:t>
            </w:r>
          </w:p>
        </w:tc>
        <w:tc>
          <w:tcPr>
            <w:tcW w:w="370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负责组织实施及协调涉及行政审批、公共服务类事项的现场勘查、技术论证和社会听证等工作。</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19</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负责组织实施及协调划转事项的现场勘查、技术论证和社会听证等工作。</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392" w:type="dxa"/>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8</w:t>
            </w:r>
          </w:p>
        </w:tc>
        <w:tc>
          <w:tcPr>
            <w:tcW w:w="370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完成区委、区政府和上级部门交办的其他工作任务。</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20</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办理区委、区政府和上级部门交办本部门的其他工作任务。</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vAlign w:val="center"/>
          </w:tcPr>
          <w:p>
            <w:pPr>
              <w:widowControl/>
              <w:spacing w:line="300" w:lineRule="exact"/>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9</w:t>
            </w:r>
          </w:p>
        </w:tc>
        <w:tc>
          <w:tcPr>
            <w:tcW w:w="370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有关职责分工。按照“谁审批、谁负责”“谁主管、谁监管”的原则，区行政审批服务局对本部门所负责的行政审批、公共服务类事项的受理、审查、决定等环节承担主体责任，相关职能部门承担审批后监管主体责任。</w:t>
            </w:r>
          </w:p>
        </w:tc>
        <w:tc>
          <w:tcPr>
            <w:tcW w:w="546" w:type="dxa"/>
            <w:vAlign w:val="center"/>
          </w:tcPr>
          <w:p>
            <w:pPr>
              <w:spacing w:line="56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21</w:t>
            </w:r>
          </w:p>
        </w:tc>
        <w:tc>
          <w:tcPr>
            <w:tcW w:w="3386"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对本部门所负责的行政审批、公共服务类事项的受理、审查、决定等环节承担主体责任。</w:t>
            </w:r>
          </w:p>
        </w:tc>
        <w:tc>
          <w:tcPr>
            <w:tcW w:w="852" w:type="dxa"/>
            <w:vAlign w:val="center"/>
          </w:tcPr>
          <w:p>
            <w:pPr>
              <w:widowControl/>
              <w:spacing w:line="300" w:lineRule="exact"/>
              <w:jc w:val="left"/>
              <w:rPr>
                <w:rFonts w:ascii="仿宋_GB2312" w:hAnsi="仿宋_GB2312" w:eastAsia="仿宋_GB2312" w:cs="仿宋_GB2312"/>
                <w:bCs/>
                <w:kern w:val="0"/>
                <w:szCs w:val="21"/>
              </w:rPr>
            </w:pPr>
          </w:p>
        </w:tc>
      </w:tr>
    </w:tbl>
    <w:p>
      <w:pPr>
        <w:spacing w:line="460" w:lineRule="exact"/>
        <w:jc w:val="left"/>
        <w:rPr>
          <w:rFonts w:ascii="仿宋" w:hAnsi="仿宋" w:eastAsia="仿宋" w:cs="仿宋"/>
          <w:color w:val="000000" w:themeColor="text1"/>
          <w:sz w:val="28"/>
          <w:szCs w:val="28"/>
        </w:rPr>
      </w:pPr>
    </w:p>
    <w:p>
      <w:pPr>
        <w:spacing w:line="460" w:lineRule="exact"/>
        <w:rPr>
          <w:rFonts w:ascii="仿宋" w:hAnsi="仿宋" w:eastAsia="仿宋" w:cs="仿宋"/>
          <w:color w:val="000000" w:themeColor="text1"/>
          <w:sz w:val="28"/>
          <w:szCs w:val="28"/>
        </w:rPr>
      </w:pPr>
    </w:p>
    <w:p>
      <w:pPr>
        <w:spacing w:line="460" w:lineRule="exact"/>
        <w:rPr>
          <w:rFonts w:ascii="仿宋" w:hAnsi="仿宋" w:eastAsia="仿宋" w:cs="仿宋"/>
          <w:color w:val="000000" w:themeColor="text1"/>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2"/>
      </w:pPr>
    </w:p>
    <w:p>
      <w:pPr>
        <w:spacing w:line="460" w:lineRule="exact"/>
        <w:rPr>
          <w:rFonts w:ascii="仿宋" w:hAnsi="仿宋" w:eastAsia="仿宋" w:cs="仿宋"/>
          <w:color w:val="000000" w:themeColor="text1"/>
          <w:sz w:val="28"/>
          <w:szCs w:val="28"/>
        </w:rPr>
        <w:sectPr>
          <w:type w:val="continuous"/>
          <w:pgSz w:w="11906" w:h="16838"/>
          <w:pgMar w:top="1440" w:right="1800" w:bottom="1440" w:left="1800" w:header="851" w:footer="992" w:gutter="0"/>
          <w:pgNumType w:fmt="numberInDash"/>
          <w:cols w:space="425" w:num="1"/>
          <w:docGrid w:type="lines" w:linePitch="312" w:charSpace="0"/>
        </w:sectPr>
      </w:pPr>
    </w:p>
    <w:p>
      <w:pPr>
        <w:spacing w:line="578" w:lineRule="exact"/>
        <w:rPr>
          <w:rFonts w:ascii="Times New Roman" w:hAnsi="Times New Roman" w:eastAsia="方正小标宋简体" w:cs="Times New Roman"/>
          <w:sz w:val="36"/>
          <w:szCs w:val="36"/>
        </w:rPr>
        <w:sectPr>
          <w:type w:val="continuous"/>
          <w:pgSz w:w="11906" w:h="16838"/>
          <w:pgMar w:top="1440" w:right="1800" w:bottom="1440" w:left="1800" w:header="851" w:footer="992" w:gutter="0"/>
          <w:pgNumType w:fmt="numberInDash"/>
          <w:cols w:space="425" w:num="1"/>
          <w:docGrid w:type="lines" w:linePitch="312" w:charSpace="0"/>
        </w:sectPr>
      </w:pPr>
    </w:p>
    <w:p>
      <w:pPr>
        <w:spacing w:line="578"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二、</w:t>
      </w:r>
      <w:r>
        <w:rPr>
          <w:rFonts w:ascii="Times New Roman" w:hAnsi="Times New Roman" w:eastAsia="方正小标宋简体" w:cs="Times New Roman"/>
          <w:sz w:val="36"/>
          <w:szCs w:val="36"/>
        </w:rPr>
        <w:t>与相关部门的职责边界登记</w:t>
      </w:r>
    </w:p>
    <w:p>
      <w:pPr>
        <w:pStyle w:val="2"/>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250"/>
        <w:gridCol w:w="1471"/>
        <w:gridCol w:w="4961"/>
        <w:gridCol w:w="198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06"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250"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管理事项</w:t>
            </w:r>
          </w:p>
        </w:tc>
        <w:tc>
          <w:tcPr>
            <w:tcW w:w="1471"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相关部门</w:t>
            </w:r>
          </w:p>
        </w:tc>
        <w:tc>
          <w:tcPr>
            <w:tcW w:w="4961"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职责分工</w:t>
            </w:r>
          </w:p>
        </w:tc>
        <w:tc>
          <w:tcPr>
            <w:tcW w:w="1985"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相关依据</w:t>
            </w:r>
          </w:p>
        </w:tc>
        <w:tc>
          <w:tcPr>
            <w:tcW w:w="3827"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5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w:t>
            </w:r>
          </w:p>
        </w:tc>
        <w:tc>
          <w:tcPr>
            <w:tcW w:w="1250"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校车使用许可</w:t>
            </w:r>
          </w:p>
        </w:tc>
        <w:tc>
          <w:tcPr>
            <w:tcW w:w="147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区行政审批服务局</w:t>
            </w:r>
          </w:p>
        </w:tc>
        <w:tc>
          <w:tcPr>
            <w:tcW w:w="496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1.负责该申报事项的受理、审批、制证及结果物的送达；</w:t>
            </w:r>
          </w:p>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2.以“审批决定的作出”为我局与监管部门的职责边界。</w:t>
            </w:r>
          </w:p>
        </w:tc>
        <w:tc>
          <w:tcPr>
            <w:tcW w:w="1985"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bCs/>
                <w:kern w:val="0"/>
                <w:szCs w:val="21"/>
              </w:rPr>
              <w:t>《校车安全管理条例》</w:t>
            </w:r>
          </w:p>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第十四条</w:t>
            </w:r>
          </w:p>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第十五条</w:t>
            </w:r>
          </w:p>
          <w:p>
            <w:pPr>
              <w:pStyle w:val="2"/>
              <w:rPr>
                <w:rFonts w:ascii="仿宋_GB2312" w:hAnsi="仿宋_GB2312" w:eastAsia="仿宋_GB2312" w:cs="仿宋_GB2312"/>
                <w:szCs w:val="21"/>
              </w:rPr>
            </w:pPr>
            <w:r>
              <w:rPr>
                <w:rFonts w:hint="eastAsia" w:ascii="仿宋_GB2312" w:hAnsi="仿宋_GB2312" w:eastAsia="仿宋_GB2312" w:cs="仿宋_GB2312"/>
                <w:bCs/>
                <w:kern w:val="0"/>
                <w:szCs w:val="21"/>
              </w:rPr>
              <w:t>2.《三亚市崖州区“ 一枚印章管审批”改革实施方案》(崖州办发〔2020〕46号)</w:t>
            </w:r>
          </w:p>
        </w:tc>
        <w:tc>
          <w:tcPr>
            <w:tcW w:w="3827"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某校需增加校车。1.申请人先到区行政审批服务局递交申请。2.区行政审批服务局报市交通局  3.区行政审批服务局报市交警支队  4.联合现场踏勘.5.区行政审批服务局报送区政府批准6.办结7.区行政审批服务局及时将办结结果相关信息推送至区教育局。8.区教育局对校车使用进行事中事后指导监督。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250"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47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区教育局</w:t>
            </w:r>
          </w:p>
        </w:tc>
        <w:tc>
          <w:tcPr>
            <w:tcW w:w="496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 负责对该事项审批项目的事中需监管环节进行监管；</w:t>
            </w:r>
          </w:p>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2.负责对该事项审批结果产生的主体进行事后指导监督。</w:t>
            </w:r>
          </w:p>
        </w:tc>
        <w:tc>
          <w:tcPr>
            <w:tcW w:w="1985"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3827"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5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250"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47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市交通运输局</w:t>
            </w:r>
          </w:p>
        </w:tc>
        <w:tc>
          <w:tcPr>
            <w:tcW w:w="496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线路踏勘</w:t>
            </w:r>
          </w:p>
        </w:tc>
        <w:tc>
          <w:tcPr>
            <w:tcW w:w="1985"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3827"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250"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47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市交警支队</w:t>
            </w:r>
          </w:p>
        </w:tc>
        <w:tc>
          <w:tcPr>
            <w:tcW w:w="496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检查驾驶员资质，车辆情况</w:t>
            </w:r>
          </w:p>
        </w:tc>
        <w:tc>
          <w:tcPr>
            <w:tcW w:w="1985"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3827" w:type="dxa"/>
            <w:vMerge w:val="continue"/>
            <w:vAlign w:val="center"/>
          </w:tcPr>
          <w:p>
            <w:pPr>
              <w:widowControl/>
              <w:spacing w:line="300" w:lineRule="exact"/>
              <w:jc w:val="left"/>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506"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w:t>
            </w:r>
          </w:p>
        </w:tc>
        <w:tc>
          <w:tcPr>
            <w:tcW w:w="1250"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划转相关审批事项</w:t>
            </w:r>
          </w:p>
        </w:tc>
        <w:tc>
          <w:tcPr>
            <w:tcW w:w="147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区行</w:t>
            </w:r>
            <w:bookmarkStart w:id="0" w:name="_GoBack"/>
            <w:bookmarkEnd w:id="0"/>
            <w:r>
              <w:rPr>
                <w:rFonts w:hint="eastAsia" w:ascii="仿宋_GB2312" w:hAnsi="仿宋_GB2312" w:eastAsia="仿宋_GB2312" w:cs="仿宋_GB2312"/>
                <w:bCs/>
                <w:kern w:val="0"/>
                <w:szCs w:val="21"/>
              </w:rPr>
              <w:t>政审批服务局</w:t>
            </w:r>
          </w:p>
        </w:tc>
        <w:tc>
          <w:tcPr>
            <w:tcW w:w="4961" w:type="dxa"/>
            <w:vAlign w:val="center"/>
          </w:tcPr>
          <w:p>
            <w:pPr>
              <w:widowControl/>
              <w:spacing w:line="300" w:lineRule="exact"/>
              <w:jc w:val="left"/>
              <w:rPr>
                <w:rFonts w:ascii="仿宋_GB2312" w:hAnsi="仿宋_GB2312" w:cs="仿宋_GB2312"/>
                <w:bCs/>
                <w:kern w:val="0"/>
                <w:szCs w:val="21"/>
              </w:rPr>
            </w:pPr>
            <w:r>
              <w:rPr>
                <w:rFonts w:hint="eastAsia" w:ascii="仿宋_GB2312" w:hAnsi="仿宋_GB2312" w:eastAsia="仿宋_GB2312" w:cs="仿宋_GB2312"/>
                <w:bCs/>
                <w:kern w:val="0"/>
                <w:szCs w:val="21"/>
              </w:rPr>
              <w:t>1.负责该申报事项的受理、审批、制证及结果物的送达；</w:t>
            </w:r>
          </w:p>
          <w:p>
            <w:pPr>
              <w:widowControl/>
              <w:spacing w:line="300" w:lineRule="exact"/>
              <w:jc w:val="left"/>
              <w:rPr>
                <w:rFonts w:ascii="仿宋_GB2312" w:hAnsi="仿宋_GB2312" w:cs="仿宋_GB2312"/>
                <w:bCs/>
                <w:kern w:val="0"/>
                <w:szCs w:val="21"/>
              </w:rPr>
            </w:pPr>
            <w:r>
              <w:rPr>
                <w:rFonts w:hint="eastAsia" w:ascii="仿宋_GB2312" w:hAnsi="仿宋_GB2312" w:eastAsia="仿宋_GB2312" w:cs="仿宋_GB2312"/>
                <w:bCs/>
                <w:kern w:val="0"/>
                <w:szCs w:val="21"/>
              </w:rPr>
              <w:t>2.以“审批决定的作出”为我局与监管部门的职责边界。</w:t>
            </w:r>
          </w:p>
          <w:p>
            <w:pPr>
              <w:widowControl/>
              <w:spacing w:line="300" w:lineRule="exact"/>
              <w:jc w:val="left"/>
              <w:rPr>
                <w:rFonts w:ascii="仿宋_GB2312" w:hAnsi="仿宋_GB2312" w:eastAsia="仿宋_GB2312" w:cs="仿宋_GB2312"/>
                <w:bCs/>
                <w:kern w:val="0"/>
                <w:szCs w:val="21"/>
              </w:rPr>
            </w:pPr>
          </w:p>
        </w:tc>
        <w:tc>
          <w:tcPr>
            <w:tcW w:w="1985"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《三亚市崖州区“ 一枚印章管审批”改革实施方案》(崖州办发〔2020〕46号)</w:t>
            </w:r>
          </w:p>
        </w:tc>
        <w:tc>
          <w:tcPr>
            <w:tcW w:w="3827" w:type="dxa"/>
            <w:vMerge w:val="restart"/>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申请人想要获得某审批许可。1.申请人先到区行政审批服务局递交申请。2.区行政审批服务局对申报事项的受理、审批、制证及结果物的送达。3.区行政审批服务局及时将办结结果相关信息推送至区相关职能部门。4.区相关职能部门对审批结果进行事中事后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trPr>
        <w:tc>
          <w:tcPr>
            <w:tcW w:w="506"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250"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1471" w:type="dxa"/>
            <w:vAlign w:val="center"/>
          </w:tcPr>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区相关职能部门</w:t>
            </w:r>
          </w:p>
        </w:tc>
        <w:tc>
          <w:tcPr>
            <w:tcW w:w="4961" w:type="dxa"/>
            <w:vAlign w:val="center"/>
          </w:tcPr>
          <w:p>
            <w:pPr>
              <w:widowControl/>
              <w:spacing w:line="300" w:lineRule="exact"/>
              <w:jc w:val="left"/>
              <w:rPr>
                <w:rFonts w:ascii="仿宋_GB2312" w:hAnsi="仿宋_GB2312" w:cs="仿宋_GB2312"/>
                <w:bCs/>
                <w:kern w:val="0"/>
                <w:szCs w:val="21"/>
              </w:rPr>
            </w:pPr>
            <w:r>
              <w:rPr>
                <w:rFonts w:hint="eastAsia" w:ascii="仿宋_GB2312" w:hAnsi="仿宋_GB2312" w:eastAsia="仿宋_GB2312" w:cs="仿宋_GB2312"/>
                <w:bCs/>
                <w:kern w:val="0"/>
                <w:szCs w:val="21"/>
              </w:rPr>
              <w:t xml:space="preserve">1. </w:t>
            </w:r>
            <w:r>
              <w:rPr>
                <w:rFonts w:hint="eastAsia" w:ascii="仿宋_GB2312" w:hAnsi="仿宋_GB2312" w:eastAsia="仿宋_GB2312" w:cs="仿宋_GB2312"/>
                <w:bCs/>
                <w:color w:val="000000" w:themeColor="text1"/>
                <w:kern w:val="0"/>
                <w:szCs w:val="21"/>
              </w:rPr>
              <w:t>负责对划转相关审批事项的事中需监管环节进行监管；</w:t>
            </w:r>
          </w:p>
          <w:p>
            <w:pPr>
              <w:widowControl/>
              <w:spacing w:line="300" w:lineRule="exact"/>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2.负责对该事项审批结果产生的主体进行事后指导监督。</w:t>
            </w:r>
          </w:p>
        </w:tc>
        <w:tc>
          <w:tcPr>
            <w:tcW w:w="1985" w:type="dxa"/>
            <w:vMerge w:val="continue"/>
            <w:vAlign w:val="center"/>
          </w:tcPr>
          <w:p>
            <w:pPr>
              <w:widowControl/>
              <w:spacing w:line="300" w:lineRule="exact"/>
              <w:jc w:val="left"/>
              <w:rPr>
                <w:rFonts w:ascii="仿宋_GB2312" w:hAnsi="仿宋_GB2312" w:eastAsia="仿宋_GB2312" w:cs="仿宋_GB2312"/>
                <w:bCs/>
                <w:kern w:val="0"/>
                <w:szCs w:val="21"/>
              </w:rPr>
            </w:pPr>
          </w:p>
        </w:tc>
        <w:tc>
          <w:tcPr>
            <w:tcW w:w="3827" w:type="dxa"/>
            <w:vMerge w:val="continue"/>
            <w:vAlign w:val="center"/>
          </w:tcPr>
          <w:p>
            <w:pPr>
              <w:widowControl/>
              <w:spacing w:line="300" w:lineRule="exact"/>
              <w:jc w:val="left"/>
              <w:rPr>
                <w:rFonts w:ascii="仿宋_GB2312" w:hAnsi="仿宋_GB2312" w:eastAsia="仿宋_GB2312" w:cs="仿宋_GB2312"/>
                <w:bCs/>
                <w:kern w:val="0"/>
                <w:szCs w:val="21"/>
              </w:rPr>
            </w:pPr>
          </w:p>
        </w:tc>
      </w:tr>
    </w:tbl>
    <w:p>
      <w:pPr>
        <w:spacing w:line="578" w:lineRule="exact"/>
        <w:rPr>
          <w:rFonts w:ascii="Times New Roman" w:hAnsi="Times New Roman" w:eastAsia="方正小标宋简体" w:cs="Times New Roman"/>
          <w:sz w:val="36"/>
          <w:szCs w:val="36"/>
        </w:rPr>
        <w:sectPr>
          <w:pgSz w:w="16838" w:h="11906" w:orient="landscape"/>
          <w:pgMar w:top="1800" w:right="1440" w:bottom="1800" w:left="1440" w:header="851" w:footer="992" w:gutter="0"/>
          <w:pgNumType w:fmt="numberInDash"/>
          <w:cols w:space="425" w:num="1"/>
          <w:docGrid w:type="lines" w:linePitch="312" w:charSpace="0"/>
        </w:sectPr>
      </w:pPr>
    </w:p>
    <w:p>
      <w:pPr>
        <w:rPr>
          <w:rFonts w:ascii="仿宋" w:hAnsi="仿宋" w:eastAsia="仿宋" w:cs="仿宋"/>
          <w:sz w:val="28"/>
          <w:szCs w:val="2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pPr>
                <w:r>
                  <w:rPr>
                    <w:rFonts w:hint="eastAsia" w:ascii="黑体" w:hAnsi="黑体" w:eastAsia="黑体" w:cs="黑体"/>
                    <w:sz w:val="24"/>
                  </w:rPr>
                  <w:fldChar w:fldCharType="begin"/>
                </w:r>
                <w:r>
                  <w:rPr>
                    <w:rFonts w:hint="eastAsia" w:ascii="黑体" w:hAnsi="黑体" w:eastAsia="黑体" w:cs="黑体"/>
                    <w:sz w:val="24"/>
                  </w:rPr>
                  <w:instrText xml:space="preserve"> PAGE  \* MERGEFORMAT </w:instrText>
                </w:r>
                <w:r>
                  <w:rPr>
                    <w:rFonts w:hint="eastAsia" w:ascii="黑体" w:hAnsi="黑体" w:eastAsia="黑体" w:cs="黑体"/>
                    <w:sz w:val="24"/>
                  </w:rPr>
                  <w:fldChar w:fldCharType="separate"/>
                </w:r>
                <w:r>
                  <w:rPr>
                    <w:rFonts w:ascii="黑体" w:hAnsi="黑体" w:eastAsia="黑体" w:cs="黑体"/>
                    <w:sz w:val="24"/>
                  </w:rPr>
                  <w:t>- 4 -</w:t>
                </w:r>
                <w:r>
                  <w:rPr>
                    <w:rFonts w:hint="eastAsia" w:ascii="黑体" w:hAnsi="黑体" w:eastAsia="黑体" w:cs="黑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E344A"/>
    <w:rsid w:val="00093FDB"/>
    <w:rsid w:val="00113790"/>
    <w:rsid w:val="00227ED0"/>
    <w:rsid w:val="002A09D4"/>
    <w:rsid w:val="0055701B"/>
    <w:rsid w:val="0063128A"/>
    <w:rsid w:val="006C6B74"/>
    <w:rsid w:val="00702C43"/>
    <w:rsid w:val="00743460"/>
    <w:rsid w:val="008B7F47"/>
    <w:rsid w:val="008E344A"/>
    <w:rsid w:val="00946480"/>
    <w:rsid w:val="00B3091E"/>
    <w:rsid w:val="00C03FE5"/>
    <w:rsid w:val="00CF1629"/>
    <w:rsid w:val="00D21E21"/>
    <w:rsid w:val="00D57989"/>
    <w:rsid w:val="00D95D16"/>
    <w:rsid w:val="00EC47D3"/>
    <w:rsid w:val="00F94B9C"/>
    <w:rsid w:val="00FE1FBC"/>
    <w:rsid w:val="03756D6D"/>
    <w:rsid w:val="053A5249"/>
    <w:rsid w:val="079736CA"/>
    <w:rsid w:val="07B21959"/>
    <w:rsid w:val="09195FFB"/>
    <w:rsid w:val="09C473F2"/>
    <w:rsid w:val="0E783B90"/>
    <w:rsid w:val="10E45982"/>
    <w:rsid w:val="128B4C0F"/>
    <w:rsid w:val="15846C22"/>
    <w:rsid w:val="16C91AD8"/>
    <w:rsid w:val="16D95793"/>
    <w:rsid w:val="19173103"/>
    <w:rsid w:val="1AA62695"/>
    <w:rsid w:val="1ABA1DEC"/>
    <w:rsid w:val="1E7C5D31"/>
    <w:rsid w:val="1FD7768E"/>
    <w:rsid w:val="204914EA"/>
    <w:rsid w:val="234D4609"/>
    <w:rsid w:val="24601C7C"/>
    <w:rsid w:val="263F74F5"/>
    <w:rsid w:val="27A9715D"/>
    <w:rsid w:val="2B5608A2"/>
    <w:rsid w:val="2B6A1135"/>
    <w:rsid w:val="2D0E2335"/>
    <w:rsid w:val="2EA35CA7"/>
    <w:rsid w:val="315B4C45"/>
    <w:rsid w:val="316B600E"/>
    <w:rsid w:val="334D51AD"/>
    <w:rsid w:val="35270A9B"/>
    <w:rsid w:val="38E65680"/>
    <w:rsid w:val="39692E64"/>
    <w:rsid w:val="3B8E639F"/>
    <w:rsid w:val="418E1A9F"/>
    <w:rsid w:val="44E555EF"/>
    <w:rsid w:val="4B437C88"/>
    <w:rsid w:val="4BB83E25"/>
    <w:rsid w:val="4C565156"/>
    <w:rsid w:val="4D3623B6"/>
    <w:rsid w:val="4E9F1A99"/>
    <w:rsid w:val="4F7862E1"/>
    <w:rsid w:val="4FE8597B"/>
    <w:rsid w:val="50B956D1"/>
    <w:rsid w:val="51EF105A"/>
    <w:rsid w:val="52011544"/>
    <w:rsid w:val="52D821EC"/>
    <w:rsid w:val="5433353C"/>
    <w:rsid w:val="54B01E10"/>
    <w:rsid w:val="591B643F"/>
    <w:rsid w:val="5A8C5F46"/>
    <w:rsid w:val="5B4468BC"/>
    <w:rsid w:val="5FB84B86"/>
    <w:rsid w:val="606A704A"/>
    <w:rsid w:val="61207AF4"/>
    <w:rsid w:val="6193124A"/>
    <w:rsid w:val="61D9447C"/>
    <w:rsid w:val="64250CB0"/>
    <w:rsid w:val="64B619D7"/>
    <w:rsid w:val="65E309B0"/>
    <w:rsid w:val="668F487D"/>
    <w:rsid w:val="6A40694D"/>
    <w:rsid w:val="6AF3092B"/>
    <w:rsid w:val="6BB30366"/>
    <w:rsid w:val="6BF82A74"/>
    <w:rsid w:val="6CDF4CEA"/>
    <w:rsid w:val="6E493B27"/>
    <w:rsid w:val="71D821C4"/>
    <w:rsid w:val="73065F02"/>
    <w:rsid w:val="781F01A6"/>
    <w:rsid w:val="7840342D"/>
    <w:rsid w:val="7862480F"/>
    <w:rsid w:val="7A243EFA"/>
    <w:rsid w:val="7D871F97"/>
    <w:rsid w:val="7DCC755F"/>
    <w:rsid w:val="7EE71801"/>
    <w:rsid w:val="7F00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FollowedHyperlink"/>
    <w:basedOn w:val="8"/>
    <w:qFormat/>
    <w:uiPriority w:val="0"/>
    <w:rPr>
      <w:color w:val="800080"/>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0000FF"/>
      <w:u w:val="none"/>
    </w:rPr>
  </w:style>
  <w:style w:type="character" w:styleId="14">
    <w:name w:val="HTML Cite"/>
    <w:basedOn w:val="8"/>
    <w:qFormat/>
    <w:uiPriority w:val="0"/>
  </w:style>
  <w:style w:type="character" w:customStyle="1" w:styleId="15">
    <w:name w:val="not([class*=suffix])"/>
    <w:basedOn w:val="8"/>
    <w:qFormat/>
    <w:uiPriority w:val="0"/>
  </w:style>
  <w:style w:type="character" w:customStyle="1" w:styleId="16">
    <w:name w:val="not([class*=suffix])1"/>
    <w:basedOn w:val="8"/>
    <w:qFormat/>
    <w:uiPriority w:val="0"/>
    <w:rPr>
      <w:sz w:val="15"/>
      <w:szCs w:val="15"/>
    </w:rPr>
  </w:style>
  <w:style w:type="character" w:customStyle="1" w:styleId="17">
    <w:name w:val="active[data-v-5fc98bdc]"/>
    <w:basedOn w:val="8"/>
    <w:qFormat/>
    <w:uiPriority w:val="0"/>
    <w:rPr>
      <w:color w:val="FFFFFF"/>
      <w:shd w:val="clear" w:color="auto" w:fill="3464CD"/>
    </w:rPr>
  </w:style>
  <w:style w:type="character" w:customStyle="1" w:styleId="18">
    <w:name w:val="active[data-v-6afa3607]"/>
    <w:basedOn w:val="8"/>
    <w:qFormat/>
    <w:uiPriority w:val="0"/>
    <w:rPr>
      <w:color w:val="FFFFFF"/>
      <w:shd w:val="clear" w:color="auto" w:fill="3464C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374</Words>
  <Characters>2137</Characters>
  <Lines>17</Lines>
  <Paragraphs>5</Paragraphs>
  <TotalTime>39</TotalTime>
  <ScaleCrop>false</ScaleCrop>
  <LinksUpToDate>false</LinksUpToDate>
  <CharactersWithSpaces>2506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2021-08-31T10:17:00Z</dcterms:created>
  <dc:creator>ddh</dc:creator>
  <cp:lastModifiedBy>Administrator</cp:lastModifiedBy>
  <cp:lastPrinted>2021-09-06T10:08:00Z</cp:lastPrinted>
  <dcterms:modified xsi:type="dcterms:W3CDTF">2021-10-12T09:41:59Z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