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val="en-US" w:eastAsia="zh-CN"/>
        </w:rPr>
      </w:pPr>
      <w:bookmarkStart w:id="4" w:name="_GoBack"/>
      <w:bookmarkEnd w:id="4"/>
      <w:bookmarkStart w:id="0" w:name="_Toc27508"/>
      <w:bookmarkStart w:id="1" w:name="_Toc23791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附件：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val="en-US" w:eastAsia="zh-CN"/>
        </w:rPr>
        <w:t xml:space="preserve">     </w:t>
      </w:r>
      <w:bookmarkEnd w:id="0"/>
      <w:bookmarkEnd w:id="1"/>
    </w:p>
    <w:p>
      <w:pPr>
        <w:jc w:val="center"/>
        <w:outlineLvl w:val="0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sz w:val="44"/>
          <w:szCs w:val="44"/>
          <w:lang w:val="en-US" w:eastAsia="zh-CN"/>
        </w:rPr>
        <w:t>三亚市崖州区医疗机构评分表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bookmarkStart w:id="2" w:name="_Toc8091"/>
      <w:bookmarkStart w:id="3" w:name="_Toc5338"/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受评医疗机构：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 xml:space="preserve">  负责人：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 xml:space="preserve">  实得分：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 xml:space="preserve">分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等级</w:t>
      </w:r>
      <w:bookmarkEnd w:id="2"/>
      <w:bookmarkEnd w:id="3"/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none"/>
          <w:lang w:val="en-US" w:eastAsia="zh-CN"/>
        </w:rPr>
        <w:t xml:space="preserve"> </w:t>
      </w:r>
    </w:p>
    <w:tbl>
      <w:tblPr>
        <w:tblStyle w:val="6"/>
        <w:tblW w:w="139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3798"/>
        <w:gridCol w:w="3780"/>
        <w:gridCol w:w="907"/>
        <w:gridCol w:w="4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tblHeader/>
          <w:jc w:val="center"/>
        </w:trPr>
        <w:tc>
          <w:tcPr>
            <w:tcW w:w="920" w:type="dxa"/>
            <w:shd w:val="clear" w:color="auto" w:fill="BEBEBE"/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评价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内容</w:t>
            </w:r>
          </w:p>
        </w:tc>
        <w:tc>
          <w:tcPr>
            <w:tcW w:w="3798" w:type="dxa"/>
            <w:shd w:val="clear" w:color="auto" w:fill="BEBEBE"/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评价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要点</w:t>
            </w:r>
          </w:p>
        </w:tc>
        <w:tc>
          <w:tcPr>
            <w:tcW w:w="3780" w:type="dxa"/>
            <w:shd w:val="clear" w:color="auto" w:fill="BEBEBE"/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判定方法</w:t>
            </w:r>
          </w:p>
        </w:tc>
        <w:tc>
          <w:tcPr>
            <w:tcW w:w="907" w:type="dxa"/>
            <w:shd w:val="clear" w:color="auto" w:fill="BEBEBE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扣分情况</w:t>
            </w:r>
          </w:p>
        </w:tc>
        <w:tc>
          <w:tcPr>
            <w:tcW w:w="4528" w:type="dxa"/>
            <w:shd w:val="clear" w:color="auto" w:fill="BEBEBE"/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920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依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法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执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业</w:t>
            </w:r>
          </w:p>
        </w:tc>
        <w:tc>
          <w:tcPr>
            <w:tcW w:w="379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按照卫生行政部门核准的诊疗科目开展执业活动，诊疗科目应按卫生行政部门核准开展，无超范围执业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超范围执业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现象，直接评为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D级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（不合格）。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2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20" w:type="dxa"/>
            <w:vMerge w:val="continue"/>
            <w:noWrap w:val="0"/>
            <w:vAlign w:val="top"/>
          </w:tcPr>
          <w:p>
            <w:pPr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79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、《医疗机构执业许可证》按规定时限校验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、按规定悬挂于明显处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《医疗机构执业许可证》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未按规定悬挂于明显处扣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2分；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《医疗机构执业许可证》逾期未校验仍继续从事诊疗活动的直接评为D级（不合格）。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28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920" w:type="dxa"/>
            <w:vMerge w:val="continue"/>
            <w:noWrap w:val="0"/>
            <w:vAlign w:val="top"/>
          </w:tcPr>
          <w:p>
            <w:pPr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79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严禁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使用非卫生技术人员从事医疗卫生技术工作。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使用非卫生技术人员从事医疗卫生技术工作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直接评为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D级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（不合格）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2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920" w:type="dxa"/>
            <w:vMerge w:val="continue"/>
            <w:noWrap w:val="0"/>
            <w:vAlign w:val="top"/>
          </w:tcPr>
          <w:p>
            <w:pPr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79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4、一次性医疗用品使用规范。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违规使用一次性医疗用品的直接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D级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（不合格）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52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20" w:type="dxa"/>
            <w:vMerge w:val="continue"/>
            <w:noWrap w:val="0"/>
            <w:vAlign w:val="top"/>
          </w:tcPr>
          <w:p>
            <w:pPr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798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、专业技术人员应具备相应岗位资质，不得超范围执业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执业范围与执业证书相符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；执业医护人员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应完成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注册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后再上岗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18分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instrText xml:space="preserve">○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instrText xml:space="preserve">,</w:instrText>
            </w:r>
            <w:r>
              <w:rPr>
                <w:rFonts w:hint="eastAsia" w:ascii="宋体" w:hAnsi="宋体" w:eastAsia="宋体" w:cs="宋体"/>
                <w:color w:val="auto"/>
                <w:kern w:val="2"/>
                <w:position w:val="2"/>
                <w:sz w:val="14"/>
                <w:szCs w:val="21"/>
                <w:lang w:val="en-US" w:eastAsia="zh-CN" w:bidi="ar-SA"/>
              </w:rPr>
              <w:instrText xml:space="preserve">1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查专业技术人员任职资格证书和执业证书，与实际执业范围是否一致，违规一人扣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，扣完为止。（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2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0" w:type="dxa"/>
            <w:vMerge w:val="continue"/>
            <w:noWrap w:val="0"/>
            <w:vAlign w:val="top"/>
          </w:tcPr>
          <w:p>
            <w:pPr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798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instrText xml:space="preserve">○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instrText xml:space="preserve">,</w:instrText>
            </w:r>
            <w:r>
              <w:rPr>
                <w:rFonts w:hint="eastAsia" w:ascii="宋体" w:hAnsi="宋体" w:eastAsia="宋体" w:cs="宋体"/>
                <w:color w:val="auto"/>
                <w:kern w:val="2"/>
                <w:position w:val="2"/>
                <w:sz w:val="14"/>
                <w:szCs w:val="21"/>
                <w:lang w:val="en-US" w:eastAsia="zh-CN" w:bidi="ar-SA"/>
              </w:rPr>
              <w:instrText xml:space="preserve">2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抽查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医护人员执业证件，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注册一人扣2分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，扣完为止。（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2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20" w:type="dxa"/>
            <w:vMerge w:val="continue"/>
            <w:noWrap w:val="0"/>
            <w:vAlign w:val="top"/>
          </w:tcPr>
          <w:p>
            <w:pPr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79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使用或购进未取得医疗器械注册证的第二类、第三类医疗器械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抽查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医疗机构的第二类及第三类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医疗器械，每个医疗器械发现存在缺少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医疗器械注册证的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，扣完为止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2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920" w:type="dxa"/>
            <w:vMerge w:val="continue"/>
            <w:noWrap w:val="0"/>
            <w:vAlign w:val="top"/>
          </w:tcPr>
          <w:p>
            <w:pPr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79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7、从无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《药品经营许可证》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药品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生产许可证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的企业购进药品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抽查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医疗机构内使用的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医疗药品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及相关进药单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每发现一种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，扣完为止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28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920" w:type="dxa"/>
            <w:vMerge w:val="continue"/>
            <w:noWrap w:val="0"/>
            <w:vAlign w:val="top"/>
          </w:tcPr>
          <w:p>
            <w:pPr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79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、严禁使用“三无”（无生产日期，无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生产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批号，无生产地）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医疗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药品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或未及时处理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过期药品。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抽查医疗药品，存在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“三无”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药品或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未及时处理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过期药品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的，每种扣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4分，扣完为止。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28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920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规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范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诊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疗</w:t>
            </w:r>
          </w:p>
        </w:tc>
        <w:tc>
          <w:tcPr>
            <w:tcW w:w="379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1、医护人员参加技能培训或继续教育学习。（6分）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抽查医护人员技能培训或者继续教育学习证书，近两年内未取得执业岗位技能培训或者继续教育学习证书的一人扣2分，扣完为止。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528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jc w:val="both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798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、医疗文件书写规范。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抽查门诊患者日志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存在记录不完整规范的扣2分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</w:tc>
        <w:tc>
          <w:tcPr>
            <w:tcW w:w="9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28" w:type="dxa"/>
            <w:vMerge w:val="restart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jc w:val="both"/>
            </w:pPr>
          </w:p>
        </w:tc>
        <w:tc>
          <w:tcPr>
            <w:tcW w:w="3798" w:type="dxa"/>
            <w:vMerge w:val="continue"/>
            <w:noWrap w:val="0"/>
            <w:vAlign w:val="center"/>
          </w:tcPr>
          <w:p>
            <w:pPr>
              <w:jc w:val="both"/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②抽查处方，每发现一例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未规范填写处方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扣完为止。（8分）</w:t>
            </w:r>
          </w:p>
        </w:tc>
        <w:tc>
          <w:tcPr>
            <w:tcW w:w="90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528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jc w:val="both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79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定期进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紫外线的消毒，并有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相应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记录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，且记录有具体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起止日期。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无消毒记录扣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4分，消毒记录不完整规范扣2分。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28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jc w:val="both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798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医疗废弃物存放、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处置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符合相关规定，及时处理。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12分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医疗废弃物未进行分类处理存放或未与生活垃圾分开存放的扣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28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3798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未设置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符合标准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医疗废弃物暂存间的扣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6分。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已设置暂存间，但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暂存间内杂乱无章，不整洁的扣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2分；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暂存间外未张贴“禁止吸烟、饮食”的扣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2分；暂存间内存放与医疗废物无关物品的扣2分。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528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3798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未委托具备相关资质的第三方公司处理医疗废弃物的直接评为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D级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（不合格）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52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798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④未按合同约定及时处理医疗废物并在移交时共同填写《危险废物转移联单》（属于医疗机构责任的），每次扣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分，扣完为止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。（4分）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52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920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质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量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安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全</w:t>
            </w:r>
          </w:p>
        </w:tc>
        <w:tc>
          <w:tcPr>
            <w:tcW w:w="379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1、加强医疗服务安全管理，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定期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开展全员医疗安全教育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并做记录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医疗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安全教育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记录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28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79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制定传染病及突发公共卫生事件报告和处理服务流程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未制定传染病及突发公共卫生事件报告和处理服务流程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分。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2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jc w:val="both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79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、抗生素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使用管理。（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建立抗生素使用制度扣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2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jc w:val="both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798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建立医疗机构医生和护士职责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制度，责任明确。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instrText xml:space="preserve">○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instrText xml:space="preserve">,</w:instrText>
            </w:r>
            <w:r>
              <w:rPr>
                <w:rFonts w:hint="eastAsia" w:ascii="宋体" w:hAnsi="宋体" w:eastAsia="宋体" w:cs="宋体"/>
                <w:color w:val="auto"/>
                <w:kern w:val="2"/>
                <w:position w:val="2"/>
                <w:sz w:val="14"/>
                <w:szCs w:val="21"/>
                <w:lang w:val="en-US" w:eastAsia="zh-CN" w:bidi="ar-SA"/>
              </w:rPr>
              <w:instrText xml:space="preserve">1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未制定医生职责制度扣2分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both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2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798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instrText xml:space="preserve">○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instrText xml:space="preserve">,</w:instrText>
            </w:r>
            <w:r>
              <w:rPr>
                <w:rFonts w:hint="eastAsia" w:ascii="宋体" w:hAnsi="宋体" w:eastAsia="宋体" w:cs="宋体"/>
                <w:color w:val="auto"/>
                <w:kern w:val="2"/>
                <w:position w:val="2"/>
                <w:sz w:val="14"/>
                <w:szCs w:val="21"/>
                <w:lang w:val="en-US" w:eastAsia="zh-CN" w:bidi="ar-SA"/>
              </w:rPr>
              <w:instrText xml:space="preserve">2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未制定护士职责制度扣2分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both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528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920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合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理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收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费</w:t>
            </w:r>
          </w:p>
        </w:tc>
        <w:tc>
          <w:tcPr>
            <w:tcW w:w="379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建立收费管理制度或措施，严禁出现违规收费，价格欺诈行为；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因违规收费而受到行政处罚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因违规收费而受到行政处罚，每次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，扣完为止。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28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jc w:val="both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79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2、实行医疗服务价格公示制度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提高收费透明度。在门诊醒目位置公示常规诊疗项目的收费标准。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无费用公示扣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2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20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文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明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服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务</w:t>
            </w:r>
          </w:p>
        </w:tc>
        <w:tc>
          <w:tcPr>
            <w:tcW w:w="379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组织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医务人员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学习医德规范和有关教材，定期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进行医德医风教育和培训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督促医务人员恪守职业道德。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无培训记录扣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分。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528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jc w:val="both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798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、根据医疗机构规模和特点，提供适宜的服务设施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美化服务环境，做到清洁、舒适、温馨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患者诊疗等候场所备有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座椅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；服务标识规范、清楚、醒目；环境清洁、美化，符合卫生学要求。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instrText xml:space="preserve">○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instrText xml:space="preserve">,</w:instrText>
            </w:r>
            <w:r>
              <w:rPr>
                <w:rFonts w:hint="eastAsia" w:ascii="宋体" w:hAnsi="宋体" w:eastAsia="宋体" w:cs="宋体"/>
                <w:color w:val="auto"/>
                <w:kern w:val="2"/>
                <w:position w:val="2"/>
                <w:sz w:val="14"/>
                <w:szCs w:val="21"/>
                <w:lang w:val="en-US" w:eastAsia="zh-CN" w:bidi="ar-SA"/>
              </w:rPr>
              <w:instrText xml:space="preserve">1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服务设施不完善扣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2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3798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instrText xml:space="preserve">○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instrText xml:space="preserve">,</w:instrText>
            </w:r>
            <w:r>
              <w:rPr>
                <w:rFonts w:hint="eastAsia" w:ascii="宋体" w:hAnsi="宋体" w:eastAsia="宋体" w:cs="宋体"/>
                <w:color w:val="auto"/>
                <w:kern w:val="2"/>
                <w:position w:val="2"/>
                <w:sz w:val="14"/>
                <w:szCs w:val="21"/>
                <w:lang w:val="en-US" w:eastAsia="zh-CN" w:bidi="ar-SA"/>
              </w:rPr>
              <w:instrText xml:space="preserve">2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环境不合要求扣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分。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52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现场</w:t>
            </w:r>
          </w:p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得分</w:t>
            </w:r>
          </w:p>
        </w:tc>
        <w:tc>
          <w:tcPr>
            <w:tcW w:w="8485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528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此得分为现场考核得分，最终得分及等级以经三亚市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崖州区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卫生健康委员会核实后的结果为准。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评分标准：医疗机构诚信评价实行评分制，评价等级分为A（优秀）、B（良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好）、C（</w:t>
      </w:r>
      <w:r>
        <w:rPr>
          <w:rFonts w:hint="eastAsia"/>
          <w:b w:val="0"/>
          <w:bCs w:val="0"/>
          <w:color w:val="000000"/>
          <w:sz w:val="24"/>
          <w:szCs w:val="24"/>
          <w:lang w:val="en-US" w:eastAsia="zh-CN"/>
        </w:rPr>
        <w:t>警示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）、D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4"/>
          <w:szCs w:val="24"/>
          <w:lang w:val="en-US" w:eastAsia="zh-CN"/>
        </w:rPr>
        <w:t>（不合格）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四个等级。考核评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价分值</w:t>
      </w:r>
      <w:r>
        <w:rPr>
          <w:rFonts w:hint="eastAsia"/>
          <w:b w:val="0"/>
          <w:bCs w:val="0"/>
          <w:color w:val="000000"/>
          <w:sz w:val="24"/>
          <w:szCs w:val="24"/>
          <w:lang w:val="en-US" w:eastAsia="zh-CN"/>
        </w:rPr>
        <w:t>90分-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1</w:t>
      </w:r>
      <w:r>
        <w:rPr>
          <w:rFonts w:hint="eastAsia"/>
          <w:b w:val="0"/>
          <w:bCs w:val="0"/>
          <w:color w:val="000000"/>
          <w:sz w:val="24"/>
          <w:szCs w:val="24"/>
          <w:lang w:val="en-US" w:eastAsia="zh-CN"/>
        </w:rPr>
        <w:t>00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分为A级（优秀），</w:t>
      </w:r>
      <w:r>
        <w:rPr>
          <w:rFonts w:hint="eastAsia"/>
          <w:b w:val="0"/>
          <w:bCs w:val="0"/>
          <w:color w:val="000000"/>
          <w:sz w:val="24"/>
          <w:szCs w:val="24"/>
          <w:lang w:val="en-US" w:eastAsia="zh-CN"/>
        </w:rPr>
        <w:t>80分-89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分为B级（良好）、</w:t>
      </w:r>
      <w:r>
        <w:rPr>
          <w:rFonts w:hint="eastAsia"/>
          <w:b w:val="0"/>
          <w:bCs w:val="0"/>
          <w:color w:val="000000"/>
          <w:sz w:val="24"/>
          <w:szCs w:val="24"/>
          <w:lang w:val="en-US" w:eastAsia="zh-CN"/>
        </w:rPr>
        <w:t>60分-79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分为C级（</w:t>
      </w:r>
      <w:r>
        <w:rPr>
          <w:rFonts w:hint="eastAsia"/>
          <w:b w:val="0"/>
          <w:bCs w:val="0"/>
          <w:color w:val="000000"/>
          <w:sz w:val="24"/>
          <w:szCs w:val="24"/>
          <w:lang w:val="en-US" w:eastAsia="zh-CN"/>
        </w:rPr>
        <w:t>警示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）、</w:t>
      </w:r>
      <w:r>
        <w:rPr>
          <w:rFonts w:hint="eastAsia"/>
          <w:b w:val="0"/>
          <w:bCs w:val="0"/>
          <w:color w:val="000000"/>
          <w:sz w:val="24"/>
          <w:szCs w:val="24"/>
          <w:lang w:val="en-US" w:eastAsia="zh-CN"/>
        </w:rPr>
        <w:t>0-59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为D级（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4"/>
          <w:szCs w:val="24"/>
          <w:lang w:val="en-US" w:eastAsia="zh-CN"/>
        </w:rPr>
        <w:t>不合格）</w:t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YjFiN2Q3OWI2M2UzODdkMmRmOTgwM2RjMWNlOWQifQ=="/>
  </w:docVars>
  <w:rsids>
    <w:rsidRoot w:val="00840995"/>
    <w:rsid w:val="000102BE"/>
    <w:rsid w:val="0010302F"/>
    <w:rsid w:val="001A622D"/>
    <w:rsid w:val="00211CA8"/>
    <w:rsid w:val="00247AB0"/>
    <w:rsid w:val="0036320C"/>
    <w:rsid w:val="00383F69"/>
    <w:rsid w:val="003A1034"/>
    <w:rsid w:val="00460BBD"/>
    <w:rsid w:val="004A519C"/>
    <w:rsid w:val="004E0975"/>
    <w:rsid w:val="00570AD3"/>
    <w:rsid w:val="005810BD"/>
    <w:rsid w:val="00601D51"/>
    <w:rsid w:val="00677D28"/>
    <w:rsid w:val="00715120"/>
    <w:rsid w:val="0076532F"/>
    <w:rsid w:val="00840995"/>
    <w:rsid w:val="00862DDD"/>
    <w:rsid w:val="0087189F"/>
    <w:rsid w:val="0089105E"/>
    <w:rsid w:val="0099115F"/>
    <w:rsid w:val="00A456A3"/>
    <w:rsid w:val="00A51501"/>
    <w:rsid w:val="00D110B4"/>
    <w:rsid w:val="00E45E5B"/>
    <w:rsid w:val="00EB678A"/>
    <w:rsid w:val="00F24ED3"/>
    <w:rsid w:val="00F90F91"/>
    <w:rsid w:val="012F0ECD"/>
    <w:rsid w:val="015B451B"/>
    <w:rsid w:val="017237D0"/>
    <w:rsid w:val="02745B70"/>
    <w:rsid w:val="02864BF1"/>
    <w:rsid w:val="02CC143C"/>
    <w:rsid w:val="02EB6C1F"/>
    <w:rsid w:val="03C33E01"/>
    <w:rsid w:val="03D815FE"/>
    <w:rsid w:val="03DC5A20"/>
    <w:rsid w:val="03E02EB7"/>
    <w:rsid w:val="03EE578C"/>
    <w:rsid w:val="040E7F02"/>
    <w:rsid w:val="0415033C"/>
    <w:rsid w:val="042F5C82"/>
    <w:rsid w:val="048D18C0"/>
    <w:rsid w:val="04F45975"/>
    <w:rsid w:val="0525491D"/>
    <w:rsid w:val="054722F8"/>
    <w:rsid w:val="054C1F1D"/>
    <w:rsid w:val="05614D7F"/>
    <w:rsid w:val="05793C8D"/>
    <w:rsid w:val="061A7CCD"/>
    <w:rsid w:val="0652113E"/>
    <w:rsid w:val="06A12773"/>
    <w:rsid w:val="073956B9"/>
    <w:rsid w:val="07603EE2"/>
    <w:rsid w:val="0773582F"/>
    <w:rsid w:val="077B4F93"/>
    <w:rsid w:val="07A6169D"/>
    <w:rsid w:val="07C31FB9"/>
    <w:rsid w:val="07D8787D"/>
    <w:rsid w:val="08033FFA"/>
    <w:rsid w:val="0877158A"/>
    <w:rsid w:val="08A5419E"/>
    <w:rsid w:val="092D520A"/>
    <w:rsid w:val="09BF68C9"/>
    <w:rsid w:val="09CE6653"/>
    <w:rsid w:val="09E607E9"/>
    <w:rsid w:val="09E6524A"/>
    <w:rsid w:val="0A131831"/>
    <w:rsid w:val="0A1F3350"/>
    <w:rsid w:val="0A227389"/>
    <w:rsid w:val="0A2A615C"/>
    <w:rsid w:val="0A3245ED"/>
    <w:rsid w:val="0A3E0E74"/>
    <w:rsid w:val="0A486121"/>
    <w:rsid w:val="0AE85131"/>
    <w:rsid w:val="0B033AEC"/>
    <w:rsid w:val="0B78206B"/>
    <w:rsid w:val="0B911F21"/>
    <w:rsid w:val="0C8C53C1"/>
    <w:rsid w:val="0C991919"/>
    <w:rsid w:val="0CB61EC7"/>
    <w:rsid w:val="0CE6461D"/>
    <w:rsid w:val="0CEB40A5"/>
    <w:rsid w:val="0D1452F8"/>
    <w:rsid w:val="0D8C5789"/>
    <w:rsid w:val="0DAB6C7F"/>
    <w:rsid w:val="0E260412"/>
    <w:rsid w:val="0E357AFD"/>
    <w:rsid w:val="0E847047"/>
    <w:rsid w:val="0E9C6AE2"/>
    <w:rsid w:val="0FA94C01"/>
    <w:rsid w:val="0FBF778B"/>
    <w:rsid w:val="0FD95F3D"/>
    <w:rsid w:val="0FF17CA9"/>
    <w:rsid w:val="10294939"/>
    <w:rsid w:val="10335F9A"/>
    <w:rsid w:val="10375135"/>
    <w:rsid w:val="10523E95"/>
    <w:rsid w:val="107114BA"/>
    <w:rsid w:val="10C71C86"/>
    <w:rsid w:val="111577E7"/>
    <w:rsid w:val="11F72CD4"/>
    <w:rsid w:val="11FC7F8C"/>
    <w:rsid w:val="123E0666"/>
    <w:rsid w:val="126F61BB"/>
    <w:rsid w:val="12CC5469"/>
    <w:rsid w:val="132F7405"/>
    <w:rsid w:val="13552280"/>
    <w:rsid w:val="140603E2"/>
    <w:rsid w:val="14231E8C"/>
    <w:rsid w:val="14A32348"/>
    <w:rsid w:val="14C2220F"/>
    <w:rsid w:val="152572C2"/>
    <w:rsid w:val="154C3ACE"/>
    <w:rsid w:val="159D56C7"/>
    <w:rsid w:val="15E76CB4"/>
    <w:rsid w:val="16013794"/>
    <w:rsid w:val="166502C3"/>
    <w:rsid w:val="16A67347"/>
    <w:rsid w:val="16DA6782"/>
    <w:rsid w:val="16FE4395"/>
    <w:rsid w:val="182F6C29"/>
    <w:rsid w:val="183B30B1"/>
    <w:rsid w:val="18494DEC"/>
    <w:rsid w:val="18607007"/>
    <w:rsid w:val="18623E39"/>
    <w:rsid w:val="18CA466F"/>
    <w:rsid w:val="18ED0C6F"/>
    <w:rsid w:val="193906AA"/>
    <w:rsid w:val="196544BA"/>
    <w:rsid w:val="19BA2868"/>
    <w:rsid w:val="19CC3581"/>
    <w:rsid w:val="19EC6F62"/>
    <w:rsid w:val="19F736CC"/>
    <w:rsid w:val="19FE4141"/>
    <w:rsid w:val="1A132949"/>
    <w:rsid w:val="1ACA04F7"/>
    <w:rsid w:val="1AFE229B"/>
    <w:rsid w:val="1B4321B8"/>
    <w:rsid w:val="1BB94AE8"/>
    <w:rsid w:val="1C0B2A55"/>
    <w:rsid w:val="1C15634B"/>
    <w:rsid w:val="1C3A332C"/>
    <w:rsid w:val="1C8C51AE"/>
    <w:rsid w:val="1C904C03"/>
    <w:rsid w:val="1CA50972"/>
    <w:rsid w:val="1CBE7C3B"/>
    <w:rsid w:val="1D434E54"/>
    <w:rsid w:val="1D593B6C"/>
    <w:rsid w:val="1D755BF3"/>
    <w:rsid w:val="1D896941"/>
    <w:rsid w:val="1DCF2578"/>
    <w:rsid w:val="1DFE063A"/>
    <w:rsid w:val="1E460C91"/>
    <w:rsid w:val="1E94424C"/>
    <w:rsid w:val="1E9C6B0D"/>
    <w:rsid w:val="1F0033C0"/>
    <w:rsid w:val="1F4E253A"/>
    <w:rsid w:val="1FE5713C"/>
    <w:rsid w:val="1FE95B01"/>
    <w:rsid w:val="203E1D54"/>
    <w:rsid w:val="204479B6"/>
    <w:rsid w:val="205A161C"/>
    <w:rsid w:val="20934E95"/>
    <w:rsid w:val="21052375"/>
    <w:rsid w:val="21371ED1"/>
    <w:rsid w:val="213A50CB"/>
    <w:rsid w:val="213B0012"/>
    <w:rsid w:val="21670C86"/>
    <w:rsid w:val="22D719D0"/>
    <w:rsid w:val="22E467DD"/>
    <w:rsid w:val="22ED4F08"/>
    <w:rsid w:val="23665875"/>
    <w:rsid w:val="24050F40"/>
    <w:rsid w:val="24264509"/>
    <w:rsid w:val="2462587D"/>
    <w:rsid w:val="24694CF2"/>
    <w:rsid w:val="252C3CEF"/>
    <w:rsid w:val="25506D46"/>
    <w:rsid w:val="25AE3AB1"/>
    <w:rsid w:val="25C64B91"/>
    <w:rsid w:val="25D82E44"/>
    <w:rsid w:val="25D92161"/>
    <w:rsid w:val="2638683F"/>
    <w:rsid w:val="26C11D38"/>
    <w:rsid w:val="26D0616E"/>
    <w:rsid w:val="26E57908"/>
    <w:rsid w:val="26EB3822"/>
    <w:rsid w:val="272632D6"/>
    <w:rsid w:val="277861A2"/>
    <w:rsid w:val="27A227AB"/>
    <w:rsid w:val="28394EAC"/>
    <w:rsid w:val="28974998"/>
    <w:rsid w:val="28A83012"/>
    <w:rsid w:val="28BE4E45"/>
    <w:rsid w:val="2901742D"/>
    <w:rsid w:val="290A6D51"/>
    <w:rsid w:val="294B59D7"/>
    <w:rsid w:val="29A9489E"/>
    <w:rsid w:val="29BD5460"/>
    <w:rsid w:val="29DC33AF"/>
    <w:rsid w:val="29DF7D1E"/>
    <w:rsid w:val="2A331EA3"/>
    <w:rsid w:val="2A693A84"/>
    <w:rsid w:val="2A94186C"/>
    <w:rsid w:val="2AF10281"/>
    <w:rsid w:val="2B076EBD"/>
    <w:rsid w:val="2B166094"/>
    <w:rsid w:val="2B2E3659"/>
    <w:rsid w:val="2B3C4256"/>
    <w:rsid w:val="2B7F35F1"/>
    <w:rsid w:val="2BB92722"/>
    <w:rsid w:val="2C675BA9"/>
    <w:rsid w:val="2C6D571E"/>
    <w:rsid w:val="2C946FDB"/>
    <w:rsid w:val="2CF1697A"/>
    <w:rsid w:val="2E260A18"/>
    <w:rsid w:val="2E9D6498"/>
    <w:rsid w:val="2F676C1D"/>
    <w:rsid w:val="2F8A137D"/>
    <w:rsid w:val="2F8A6207"/>
    <w:rsid w:val="2F8A708E"/>
    <w:rsid w:val="2FB64C9C"/>
    <w:rsid w:val="302946AD"/>
    <w:rsid w:val="30302FF6"/>
    <w:rsid w:val="303C5A9C"/>
    <w:rsid w:val="305A6258"/>
    <w:rsid w:val="305F1B4D"/>
    <w:rsid w:val="30941899"/>
    <w:rsid w:val="30AB4E24"/>
    <w:rsid w:val="30B76254"/>
    <w:rsid w:val="30D56940"/>
    <w:rsid w:val="30FE3909"/>
    <w:rsid w:val="312B3D15"/>
    <w:rsid w:val="3146013C"/>
    <w:rsid w:val="314A65D6"/>
    <w:rsid w:val="31686B3B"/>
    <w:rsid w:val="31EA1222"/>
    <w:rsid w:val="31F11C1E"/>
    <w:rsid w:val="322E09B6"/>
    <w:rsid w:val="324E2F0F"/>
    <w:rsid w:val="32902F7E"/>
    <w:rsid w:val="338211FC"/>
    <w:rsid w:val="33AC6977"/>
    <w:rsid w:val="343C4A19"/>
    <w:rsid w:val="346D1103"/>
    <w:rsid w:val="34DE6282"/>
    <w:rsid w:val="34EE5D89"/>
    <w:rsid w:val="35B61FBA"/>
    <w:rsid w:val="361D39AC"/>
    <w:rsid w:val="369109FF"/>
    <w:rsid w:val="3702563D"/>
    <w:rsid w:val="372C0A71"/>
    <w:rsid w:val="37991B01"/>
    <w:rsid w:val="382400A8"/>
    <w:rsid w:val="38301FC5"/>
    <w:rsid w:val="384A5AD9"/>
    <w:rsid w:val="386D7399"/>
    <w:rsid w:val="389E6AFF"/>
    <w:rsid w:val="38AF404B"/>
    <w:rsid w:val="38F67782"/>
    <w:rsid w:val="39272B80"/>
    <w:rsid w:val="39E75686"/>
    <w:rsid w:val="3A2A085F"/>
    <w:rsid w:val="3A4A7D25"/>
    <w:rsid w:val="3A5008E2"/>
    <w:rsid w:val="3A830353"/>
    <w:rsid w:val="3B0553AB"/>
    <w:rsid w:val="3B6F5EED"/>
    <w:rsid w:val="3B9E6429"/>
    <w:rsid w:val="3B9E6D19"/>
    <w:rsid w:val="3BB72F1D"/>
    <w:rsid w:val="3C175717"/>
    <w:rsid w:val="3C783576"/>
    <w:rsid w:val="3C8E181C"/>
    <w:rsid w:val="3CC620B7"/>
    <w:rsid w:val="3D0607E7"/>
    <w:rsid w:val="3D355B66"/>
    <w:rsid w:val="3D5B6386"/>
    <w:rsid w:val="3D93649D"/>
    <w:rsid w:val="3DAD40E1"/>
    <w:rsid w:val="3EB557C2"/>
    <w:rsid w:val="3F09340E"/>
    <w:rsid w:val="3F0F5E18"/>
    <w:rsid w:val="3F307E0E"/>
    <w:rsid w:val="3F5B664E"/>
    <w:rsid w:val="40473DB9"/>
    <w:rsid w:val="40CF1310"/>
    <w:rsid w:val="41602F3E"/>
    <w:rsid w:val="417D06B0"/>
    <w:rsid w:val="41BB4A24"/>
    <w:rsid w:val="41C00C09"/>
    <w:rsid w:val="42100AD4"/>
    <w:rsid w:val="425724D1"/>
    <w:rsid w:val="42896018"/>
    <w:rsid w:val="438874AE"/>
    <w:rsid w:val="43E43D84"/>
    <w:rsid w:val="440E3ABB"/>
    <w:rsid w:val="444E1A6D"/>
    <w:rsid w:val="44504767"/>
    <w:rsid w:val="44566643"/>
    <w:rsid w:val="4497547D"/>
    <w:rsid w:val="44A55A4A"/>
    <w:rsid w:val="44F24918"/>
    <w:rsid w:val="44F52D6F"/>
    <w:rsid w:val="45946BE8"/>
    <w:rsid w:val="45D4409B"/>
    <w:rsid w:val="463B6F9F"/>
    <w:rsid w:val="4640664B"/>
    <w:rsid w:val="467854B6"/>
    <w:rsid w:val="467B69D4"/>
    <w:rsid w:val="46CE5A74"/>
    <w:rsid w:val="46D858D0"/>
    <w:rsid w:val="46FB2B5E"/>
    <w:rsid w:val="47027950"/>
    <w:rsid w:val="470541C6"/>
    <w:rsid w:val="47084CCE"/>
    <w:rsid w:val="47921737"/>
    <w:rsid w:val="481B5314"/>
    <w:rsid w:val="48330D47"/>
    <w:rsid w:val="483B06DF"/>
    <w:rsid w:val="48401356"/>
    <w:rsid w:val="48722D1A"/>
    <w:rsid w:val="48A0522A"/>
    <w:rsid w:val="48B757EC"/>
    <w:rsid w:val="48CC6327"/>
    <w:rsid w:val="49710C36"/>
    <w:rsid w:val="4A374823"/>
    <w:rsid w:val="4A382FEE"/>
    <w:rsid w:val="4A447BAF"/>
    <w:rsid w:val="4B472FB5"/>
    <w:rsid w:val="4BC25BD1"/>
    <w:rsid w:val="4BE836C4"/>
    <w:rsid w:val="4C2C3F19"/>
    <w:rsid w:val="4C40142E"/>
    <w:rsid w:val="4CC7050D"/>
    <w:rsid w:val="4CD34AED"/>
    <w:rsid w:val="4D147C74"/>
    <w:rsid w:val="4D2B670D"/>
    <w:rsid w:val="4D464817"/>
    <w:rsid w:val="4DCB33DD"/>
    <w:rsid w:val="4DF00FB3"/>
    <w:rsid w:val="4E8D69BE"/>
    <w:rsid w:val="4EA57BB7"/>
    <w:rsid w:val="4F3312A1"/>
    <w:rsid w:val="4FFE3BFC"/>
    <w:rsid w:val="50660AEA"/>
    <w:rsid w:val="506B653E"/>
    <w:rsid w:val="50D201DA"/>
    <w:rsid w:val="50D23B84"/>
    <w:rsid w:val="51255E36"/>
    <w:rsid w:val="514B2A25"/>
    <w:rsid w:val="517415ED"/>
    <w:rsid w:val="51CE1703"/>
    <w:rsid w:val="51FC5712"/>
    <w:rsid w:val="53061833"/>
    <w:rsid w:val="5336072C"/>
    <w:rsid w:val="53453910"/>
    <w:rsid w:val="53955365"/>
    <w:rsid w:val="53976125"/>
    <w:rsid w:val="53CC4779"/>
    <w:rsid w:val="53CF7D80"/>
    <w:rsid w:val="53DE6687"/>
    <w:rsid w:val="543354F5"/>
    <w:rsid w:val="546B4405"/>
    <w:rsid w:val="54A44B10"/>
    <w:rsid w:val="54F22060"/>
    <w:rsid w:val="54FE2771"/>
    <w:rsid w:val="55A256D2"/>
    <w:rsid w:val="55B517F2"/>
    <w:rsid w:val="55CE7FBA"/>
    <w:rsid w:val="55CF3E42"/>
    <w:rsid w:val="56463FB0"/>
    <w:rsid w:val="565C7FC0"/>
    <w:rsid w:val="572A3D82"/>
    <w:rsid w:val="5788516A"/>
    <w:rsid w:val="579834E9"/>
    <w:rsid w:val="57DC3212"/>
    <w:rsid w:val="58293D1F"/>
    <w:rsid w:val="583A0330"/>
    <w:rsid w:val="588267B1"/>
    <w:rsid w:val="588B3A1C"/>
    <w:rsid w:val="58BA6269"/>
    <w:rsid w:val="58E07735"/>
    <w:rsid w:val="58EA619F"/>
    <w:rsid w:val="590C57B8"/>
    <w:rsid w:val="5918750A"/>
    <w:rsid w:val="59B93683"/>
    <w:rsid w:val="59C9760F"/>
    <w:rsid w:val="59CA5B5B"/>
    <w:rsid w:val="5A385236"/>
    <w:rsid w:val="5A6B4541"/>
    <w:rsid w:val="5B3D2E8C"/>
    <w:rsid w:val="5B744116"/>
    <w:rsid w:val="5B7970DF"/>
    <w:rsid w:val="5B9F4C24"/>
    <w:rsid w:val="5BB46F5D"/>
    <w:rsid w:val="5BC9251E"/>
    <w:rsid w:val="5BCD4373"/>
    <w:rsid w:val="5BFD1A56"/>
    <w:rsid w:val="5C0378F7"/>
    <w:rsid w:val="5C414DC6"/>
    <w:rsid w:val="5D381DF5"/>
    <w:rsid w:val="5D4B263B"/>
    <w:rsid w:val="5D6B21B5"/>
    <w:rsid w:val="5E56744D"/>
    <w:rsid w:val="5E707847"/>
    <w:rsid w:val="5EB56C9E"/>
    <w:rsid w:val="5EC91485"/>
    <w:rsid w:val="5F5061CE"/>
    <w:rsid w:val="5F5E096B"/>
    <w:rsid w:val="5F9F32D7"/>
    <w:rsid w:val="5FAD1B70"/>
    <w:rsid w:val="5FF7552F"/>
    <w:rsid w:val="605E4D3F"/>
    <w:rsid w:val="60A10F25"/>
    <w:rsid w:val="60F8651E"/>
    <w:rsid w:val="610912DE"/>
    <w:rsid w:val="61152486"/>
    <w:rsid w:val="611C28B4"/>
    <w:rsid w:val="6120345C"/>
    <w:rsid w:val="61C2241B"/>
    <w:rsid w:val="61F22A0E"/>
    <w:rsid w:val="6211367B"/>
    <w:rsid w:val="62406734"/>
    <w:rsid w:val="62C14C07"/>
    <w:rsid w:val="638F3002"/>
    <w:rsid w:val="64060F2D"/>
    <w:rsid w:val="642759CD"/>
    <w:rsid w:val="64670DAD"/>
    <w:rsid w:val="64824C7F"/>
    <w:rsid w:val="651A21AF"/>
    <w:rsid w:val="655473F0"/>
    <w:rsid w:val="65CA72BF"/>
    <w:rsid w:val="65EC4162"/>
    <w:rsid w:val="6627362B"/>
    <w:rsid w:val="663423E8"/>
    <w:rsid w:val="66397B6D"/>
    <w:rsid w:val="663D74E4"/>
    <w:rsid w:val="665B2C14"/>
    <w:rsid w:val="666A3C94"/>
    <w:rsid w:val="669F4979"/>
    <w:rsid w:val="66D71B76"/>
    <w:rsid w:val="67205852"/>
    <w:rsid w:val="674F2A25"/>
    <w:rsid w:val="675200B4"/>
    <w:rsid w:val="67C33694"/>
    <w:rsid w:val="67FD47EA"/>
    <w:rsid w:val="67FD5F09"/>
    <w:rsid w:val="684D2554"/>
    <w:rsid w:val="68884452"/>
    <w:rsid w:val="68BC3985"/>
    <w:rsid w:val="68C107E4"/>
    <w:rsid w:val="68C70189"/>
    <w:rsid w:val="68FF7D4B"/>
    <w:rsid w:val="6903069D"/>
    <w:rsid w:val="69290D27"/>
    <w:rsid w:val="69432C2C"/>
    <w:rsid w:val="694C7F1B"/>
    <w:rsid w:val="695E19AC"/>
    <w:rsid w:val="6989667B"/>
    <w:rsid w:val="6A333953"/>
    <w:rsid w:val="6A3675EA"/>
    <w:rsid w:val="6A4C5F5B"/>
    <w:rsid w:val="6A745FD7"/>
    <w:rsid w:val="6A9218EF"/>
    <w:rsid w:val="6A95176C"/>
    <w:rsid w:val="6AF324BB"/>
    <w:rsid w:val="6B5D07DE"/>
    <w:rsid w:val="6BA14D63"/>
    <w:rsid w:val="6C205DF1"/>
    <w:rsid w:val="6C730280"/>
    <w:rsid w:val="6C782474"/>
    <w:rsid w:val="6C8074D6"/>
    <w:rsid w:val="6D1C511C"/>
    <w:rsid w:val="6D7851C4"/>
    <w:rsid w:val="6DB6717D"/>
    <w:rsid w:val="6DC01E02"/>
    <w:rsid w:val="6DCF3B92"/>
    <w:rsid w:val="6DF05DD8"/>
    <w:rsid w:val="6E2A1A28"/>
    <w:rsid w:val="6E3154CE"/>
    <w:rsid w:val="6ECB5C59"/>
    <w:rsid w:val="6ED11650"/>
    <w:rsid w:val="6F157D71"/>
    <w:rsid w:val="6F384826"/>
    <w:rsid w:val="6F822C6F"/>
    <w:rsid w:val="6F9D78E6"/>
    <w:rsid w:val="6FA90B60"/>
    <w:rsid w:val="6FC21A23"/>
    <w:rsid w:val="6FE43C84"/>
    <w:rsid w:val="6FF30E63"/>
    <w:rsid w:val="7015468D"/>
    <w:rsid w:val="7020249E"/>
    <w:rsid w:val="7053127F"/>
    <w:rsid w:val="706127C1"/>
    <w:rsid w:val="70815047"/>
    <w:rsid w:val="709A4099"/>
    <w:rsid w:val="715111E5"/>
    <w:rsid w:val="71646119"/>
    <w:rsid w:val="71961C19"/>
    <w:rsid w:val="71BD444C"/>
    <w:rsid w:val="71C82E5E"/>
    <w:rsid w:val="723B6906"/>
    <w:rsid w:val="732162FD"/>
    <w:rsid w:val="73385773"/>
    <w:rsid w:val="73414E93"/>
    <w:rsid w:val="734C45A1"/>
    <w:rsid w:val="73512AB3"/>
    <w:rsid w:val="73E02DD6"/>
    <w:rsid w:val="743910FA"/>
    <w:rsid w:val="748D10B7"/>
    <w:rsid w:val="749B45A4"/>
    <w:rsid w:val="74B76954"/>
    <w:rsid w:val="74BC2D60"/>
    <w:rsid w:val="750F5B29"/>
    <w:rsid w:val="75144D11"/>
    <w:rsid w:val="75C7609C"/>
    <w:rsid w:val="760213F9"/>
    <w:rsid w:val="76462DFB"/>
    <w:rsid w:val="76530671"/>
    <w:rsid w:val="76C23132"/>
    <w:rsid w:val="77007A36"/>
    <w:rsid w:val="77475E87"/>
    <w:rsid w:val="7757551C"/>
    <w:rsid w:val="77800617"/>
    <w:rsid w:val="77F41327"/>
    <w:rsid w:val="78023EFB"/>
    <w:rsid w:val="780F0193"/>
    <w:rsid w:val="786235B1"/>
    <w:rsid w:val="78947CCC"/>
    <w:rsid w:val="78961277"/>
    <w:rsid w:val="78AC3761"/>
    <w:rsid w:val="78B92848"/>
    <w:rsid w:val="78E93633"/>
    <w:rsid w:val="79295D4E"/>
    <w:rsid w:val="79351080"/>
    <w:rsid w:val="79366CDC"/>
    <w:rsid w:val="7947160F"/>
    <w:rsid w:val="794F18B3"/>
    <w:rsid w:val="795600EF"/>
    <w:rsid w:val="797A3FAA"/>
    <w:rsid w:val="798E209B"/>
    <w:rsid w:val="79D63F8A"/>
    <w:rsid w:val="7A090A07"/>
    <w:rsid w:val="7A1338FD"/>
    <w:rsid w:val="7A4F0427"/>
    <w:rsid w:val="7AB65EDA"/>
    <w:rsid w:val="7ABF0886"/>
    <w:rsid w:val="7BE35223"/>
    <w:rsid w:val="7CD81BA7"/>
    <w:rsid w:val="7D3B5137"/>
    <w:rsid w:val="7D3D2AF5"/>
    <w:rsid w:val="7E0B1E78"/>
    <w:rsid w:val="7F476C28"/>
    <w:rsid w:val="7F5819F5"/>
    <w:rsid w:val="7F7D3B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3221</Words>
  <Characters>3326</Characters>
  <Lines>9</Lines>
  <Paragraphs>2</Paragraphs>
  <TotalTime>1</TotalTime>
  <ScaleCrop>false</ScaleCrop>
  <LinksUpToDate>false</LinksUpToDate>
  <CharactersWithSpaces>3457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air</dc:creator>
  <cp:lastModifiedBy>麦世茹</cp:lastModifiedBy>
  <cp:lastPrinted>2019-01-03T07:22:00Z</cp:lastPrinted>
  <dcterms:modified xsi:type="dcterms:W3CDTF">2023-02-14T02:22:48Z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DF166046A9E04DD496B3D6231A6B73AD</vt:lpwstr>
  </property>
</Properties>
</file>