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157" w:beforeLines="50" w:after="313" w:afterLines="100"/>
        <w:ind w:left="0" w:leftChars="0" w:firstLine="0" w:firstLineChars="0"/>
        <w:jc w:val="center"/>
        <w:textAlignment w:val="auto"/>
        <w:rPr>
          <w:rFonts w:hint="eastAsia" w:ascii="方正小标宋简体" w:hAnsi="方正小标宋简体" w:eastAsia="方正小标宋简体" w:cs="方正小标宋简体"/>
          <w:b w:val="0"/>
          <w:bCs w:val="0"/>
          <w:sz w:val="40"/>
          <w:szCs w:val="40"/>
          <w:lang w:val="en-US" w:eastAsia="zh-CN"/>
        </w:rPr>
      </w:pPr>
      <w:r>
        <w:rPr>
          <w:rFonts w:hint="eastAsia" w:ascii="方正小标宋简体" w:hAnsi="方正小标宋简体" w:eastAsia="方正小标宋简体" w:cs="方正小标宋简体"/>
          <w:b w:val="0"/>
          <w:bCs w:val="0"/>
          <w:sz w:val="40"/>
          <w:szCs w:val="40"/>
          <w:lang w:val="en-US" w:eastAsia="zh-CN"/>
        </w:rPr>
        <w:t>尽职调查（含法律、财务、资质）服务采购文件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一、项目基本情况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（一）项目名称：</w:t>
      </w:r>
      <w:r>
        <w:rPr>
          <w:rFonts w:hint="eastAsia" w:ascii="仿宋_GB2312" w:hAnsi="仿宋_GB2312" w:eastAsia="仿宋_GB2312" w:cs="仿宋_GB2312"/>
          <w:bCs/>
          <w:color w:val="auto"/>
          <w:sz w:val="32"/>
          <w:szCs w:val="32"/>
          <w:lang w:val="en-US" w:eastAsia="zh-CN" w:bidi="ar"/>
        </w:rPr>
        <w:t>三亚仕泓农业科技有限公司</w:t>
      </w:r>
      <w:r>
        <w:rPr>
          <w:rFonts w:hint="eastAsia" w:ascii="仿宋_GB2312" w:hAnsi="仿宋_GB2312" w:eastAsia="仿宋_GB2312" w:cs="仿宋_GB2312"/>
          <w:b w:val="0"/>
          <w:bCs w:val="0"/>
          <w:sz w:val="32"/>
          <w:szCs w:val="32"/>
          <w:lang w:val="en-US" w:eastAsia="zh-CN"/>
        </w:rPr>
        <w:t>法律、财务、资质专项尽职调查服务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（二）项目内容：</w:t>
      </w:r>
      <w:r>
        <w:rPr>
          <w:rFonts w:hint="eastAsia" w:ascii="仿宋_GB2312" w:hAnsi="仿宋_GB2312" w:eastAsia="仿宋_GB2312" w:cs="仿宋_GB2312"/>
          <w:b w:val="0"/>
          <w:bCs w:val="0"/>
          <w:sz w:val="32"/>
          <w:szCs w:val="32"/>
          <w:lang w:val="en-US" w:eastAsia="zh-CN"/>
        </w:rPr>
        <w:t>对三亚仕泓农业科技有限公司开展法律、财务、行业资质全维度尽职调查，由中标</w:t>
      </w:r>
      <w:r>
        <w:rPr>
          <w:rFonts w:hint="eastAsia" w:ascii="仿宋_GB2312" w:hAnsi="仿宋_GB2312" w:eastAsia="仿宋_GB2312" w:cs="仿宋_GB2312"/>
          <w:bCs/>
          <w:color w:val="auto"/>
          <w:sz w:val="32"/>
          <w:szCs w:val="32"/>
          <w:lang w:val="en-US" w:eastAsia="zh-CN" w:bidi="ar"/>
        </w:rPr>
        <w:t>第三方尽职调查服务机构（律师事务所）</w:t>
      </w:r>
      <w:r>
        <w:rPr>
          <w:rFonts w:hint="eastAsia" w:ascii="仿宋_GB2312" w:hAnsi="仿宋_GB2312" w:eastAsia="仿宋_GB2312" w:cs="仿宋_GB2312"/>
          <w:b w:val="0"/>
          <w:bCs w:val="0"/>
          <w:sz w:val="32"/>
          <w:szCs w:val="32"/>
          <w:lang w:val="en-US" w:eastAsia="zh-CN"/>
        </w:rPr>
        <w:t>统筹完成并出具合并版尽职调查报告，防控政府资金合作风险。</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（三）项目采购单位：</w:t>
      </w:r>
      <w:r>
        <w:rPr>
          <w:rFonts w:hint="eastAsia" w:ascii="仿宋_GB2312" w:hAnsi="仿宋_GB2312" w:eastAsia="仿宋_GB2312" w:cs="仿宋_GB2312"/>
          <w:b w:val="0"/>
          <w:bCs w:val="0"/>
          <w:sz w:val="32"/>
          <w:szCs w:val="32"/>
          <w:lang w:val="en-US" w:eastAsia="zh-CN"/>
        </w:rPr>
        <w:t>三亚市崖州区农业农村局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（四）资金来源：</w:t>
      </w:r>
      <w:r>
        <w:rPr>
          <w:rFonts w:hint="eastAsia" w:ascii="仿宋_GB2312" w:hAnsi="仿宋_GB2312" w:eastAsia="仿宋_GB2312" w:cs="仿宋_GB2312"/>
          <w:b w:val="0"/>
          <w:bCs w:val="0"/>
          <w:sz w:val="32"/>
          <w:szCs w:val="32"/>
          <w:lang w:val="en-US" w:eastAsia="zh-CN"/>
        </w:rPr>
        <w:t>政府资金</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（五）服务完成地点：</w:t>
      </w:r>
      <w:r>
        <w:rPr>
          <w:rFonts w:hint="eastAsia" w:ascii="仿宋_GB2312" w:hAnsi="仿宋_GB2312" w:eastAsia="仿宋_GB2312" w:cs="仿宋_GB2312"/>
          <w:b w:val="0"/>
          <w:bCs w:val="0"/>
          <w:sz w:val="32"/>
          <w:szCs w:val="32"/>
          <w:lang w:val="en-US" w:eastAsia="zh-CN"/>
        </w:rPr>
        <w:t>采购人指定地点（目标公司现场核查相关工作，相关费用由成交方承担）</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二、采购范围及内容</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方正仿宋_GB18030" w:hAnsi="方正仿宋_GB18030" w:eastAsia="方正仿宋_GB18030" w:cs="方正仿宋_GB18030"/>
          <w:b w:val="0"/>
          <w:bCs w:val="0"/>
          <w:sz w:val="32"/>
          <w:szCs w:val="32"/>
          <w:lang w:val="en-US" w:eastAsia="zh-CN"/>
        </w:rPr>
      </w:pPr>
      <w:r>
        <w:rPr>
          <w:rFonts w:hint="eastAsia" w:ascii="楷体_GB2312" w:hAnsi="楷体_GB2312" w:eastAsia="楷体_GB2312" w:cs="楷体_GB2312"/>
          <w:b w:val="0"/>
          <w:bCs w:val="0"/>
          <w:sz w:val="32"/>
          <w:szCs w:val="32"/>
          <w:lang w:val="en-US" w:eastAsia="zh-CN"/>
        </w:rPr>
        <w:t>（一）采购对象：</w:t>
      </w:r>
      <w:r>
        <w:rPr>
          <w:rFonts w:hint="eastAsia" w:ascii="方正仿宋_GB18030" w:hAnsi="方正仿宋_GB18030" w:eastAsia="方正仿宋_GB18030" w:cs="方正仿宋_GB18030"/>
          <w:b w:val="0"/>
          <w:bCs w:val="0"/>
          <w:sz w:val="32"/>
          <w:szCs w:val="32"/>
          <w:lang w:val="en-US" w:eastAsia="zh-CN"/>
        </w:rPr>
        <w:t>具备法定资质的律师事务所（成交后由律师事务所自行选聘具备合法资质的会计师事务所完成财务尽调工作，会计师事务所相关服务费用包含在本项目报价内，采购人不另行支付）。</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（二）尽调核心内容</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法律尽调：目标公司主体资格、股权结构、章程及治理机制、行政许可及备案、资产权属、重大合同履行、债权债务、劳动用工、税务合规、涉诉/仲裁/行政处罚、环保与安全生产合规、关联交易、法律风险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财务尽调：目标公司财务报表真实性、资产负债状况、现金流及盈利能力、成本费用核算、纳税申报、财务内控体系、重大财务风险及潜在财务问题等（由律师事务所选聘的会计师事务所完成，出具财务尽调专项报告供律所整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3.资质尽调：目标公司牧业、渔业相关行业资质、生产经营许可、动物防疫相关资质、备案文件有效性及合规性、资质续期风险等。</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成果交付：由中标律师事务所统一出具《三亚仕泓农业科技有限公司专项尽职调查报告》（法律、财务、资质）各一套，每套包含纸质版一式3份（证据材料刻录光盘及报告胶装订好，均加盖律所公章及骑缝章），电子版1份（PDF格式一份，含可编辑版底稿）；报告需明确尽调结论、风险清单及针对性防控建议，并附会计师事务所财务尽调报告、律所工作底稿、证据材料及查询截图备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三、服务时限</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合同签订后，目标公司提供完整材料后的30日内完成全部尽职调查工作，出具调查报告成果并提交采购人验收。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四、付款方式</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合同签订后，成交方在约定期限内完成尽职调查并出具成果报告，待报告通过采购人验收合格后，采购人一次性支付100%服务费；最终支付条款以双方签订的正式合同为准，付款流程按三亚市崖州区财政资金支付相关规定执行。</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黑体" w:hAnsi="黑体" w:eastAsia="黑体" w:cs="黑体"/>
          <w:b w:val="0"/>
          <w:bCs w:val="0"/>
          <w:sz w:val="32"/>
          <w:szCs w:val="32"/>
          <w:lang w:val="en-US" w:eastAsia="zh-CN"/>
        </w:rPr>
        <w:t>五、费用说明</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律师事务所报价包干总价，包含律师事务所服务费、会计师事务所财务尽调费、差旅费、成果报告打印装订费、税费、现场核查费等成交方为完成本项目全部工作所需的一切费用，由采购方按三亚市崖州区财政部门相关规定依法依规办理结算手续。</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六、选择方式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1.我局组织相关人员对报名并提交选聘资料的律师事务所进行资格审查，并拆封所有通过资格审查的报价函。</w:t>
      </w:r>
      <w:r>
        <w:rPr>
          <w:rFonts w:hint="eastAsia" w:ascii="仿宋_GB2312" w:hAnsi="仿宋_GB2312" w:eastAsia="仿宋_GB2312" w:cs="仿宋_GB2312"/>
          <w:b w:val="0"/>
          <w:bCs w:val="0"/>
          <w:sz w:val="32"/>
          <w:szCs w:val="32"/>
          <w:lang w:val="en-US" w:eastAsia="zh-CN"/>
        </w:rPr>
        <w:br w:type="textWrapping"/>
      </w:r>
      <w:r>
        <w:rPr>
          <w:rFonts w:hint="eastAsia" w:ascii="仿宋_GB2312" w:hAnsi="仿宋_GB2312" w:eastAsia="仿宋_GB2312" w:cs="仿宋_GB2312"/>
          <w:b w:val="0"/>
          <w:bCs w:val="0"/>
          <w:sz w:val="32"/>
          <w:szCs w:val="32"/>
          <w:lang w:val="en-US" w:eastAsia="zh-CN"/>
        </w:rPr>
        <w:t xml:space="preserve">    2.若通过资格审查的有效报价只有一家时，该单位直接作为本次中选的第三方尽职调查服务机构（律师事务所）。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3.若通过资格审查的有效报价超过二家（含二家）时，以我局综合评定为准，择优选择；超过二家（含二家）资质等条件平等时，优先选择低价者。</w:t>
      </w:r>
      <w:r>
        <w:rPr>
          <w:rFonts w:hint="eastAsia" w:ascii="仿宋_GB2312" w:hAnsi="仿宋_GB2312" w:eastAsia="仿宋_GB2312" w:cs="仿宋_GB2312"/>
          <w:b w:val="0"/>
          <w:bCs w:val="0"/>
          <w:sz w:val="32"/>
          <w:szCs w:val="32"/>
          <w:lang w:val="en-US" w:eastAsia="zh-CN"/>
        </w:rPr>
        <w:br w:type="textWrapping"/>
      </w:r>
      <w:r>
        <w:rPr>
          <w:rFonts w:hint="eastAsia" w:ascii="仿宋_GB2312" w:hAnsi="仿宋_GB2312" w:eastAsia="仿宋_GB2312" w:cs="仿宋_GB2312"/>
          <w:b w:val="0"/>
          <w:bCs w:val="0"/>
          <w:sz w:val="32"/>
          <w:szCs w:val="32"/>
          <w:lang w:val="en-US" w:eastAsia="zh-CN"/>
        </w:rPr>
        <w:t xml:space="preserve">   4.由我局与中选的第三方尽职调查服务机构（律师事务所）签订合同。</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七、其他要求</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1.成交方须保证选聘的会计师事务所具备《会计师事务所执业证书》，且无不良执业记录，选聘情况需书面告知采购人备案。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2.尽职调查工作需严格遵循律师执业规范、注册会计师执业准则及政府采购相关规定，保证调查结果真实、客观、完整，若因尽调疏漏导致采购人损失，成交方需承担相应法律责任。</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3.成交方对项目过程中获取的采购人及目标公司商业秘密、财务数据等信息承担永久保密义务，未经采购人书面同意，不得向任何第三方泄露。</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b w:val="0"/>
          <w:bCs w:val="0"/>
          <w:color w:val="000000"/>
          <w:sz w:val="32"/>
          <w:szCs w:val="32"/>
          <w:highlight w:val="none"/>
          <w:lang w:val="en-US" w:eastAsia="zh-CN"/>
        </w:rPr>
      </w:pPr>
      <w:r>
        <w:rPr>
          <w:rFonts w:hint="eastAsia" w:ascii="黑体" w:hAnsi="黑体" w:eastAsia="黑体" w:cs="黑体"/>
          <w:b w:val="0"/>
          <w:bCs w:val="0"/>
          <w:color w:val="000000"/>
          <w:sz w:val="32"/>
          <w:szCs w:val="32"/>
          <w:highlight w:val="none"/>
          <w:lang w:val="en-US" w:eastAsia="zh-CN"/>
        </w:rPr>
        <w:t>八、报名相关事宜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凡有意参与者，须为依法设立的律师事务所，按本需求说明附件要求准备投标资料，资料每页加盖律所公章，提交纸质版资料并用档案袋密封好送至接收地址或通过邮寄方式邮寄至接收地址，未按要求提交的视为放弃参与资格。</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接收地址：三亚市崖州区琼粤科技合作城A4栋3楼区农业农村局；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2.报名截止（北京时间）：2026年10月09日18:00。超出报名截止时间提交的投标文件，一律视为无效报价文件，不予受理。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eastAsia"/>
          <w:lang w:val="en-US" w:eastAsia="zh-CN"/>
        </w:rPr>
      </w:pPr>
      <w:r>
        <w:rPr>
          <w:rFonts w:hint="eastAsia" w:ascii="仿宋_GB2312" w:hAnsi="仿宋_GB2312" w:eastAsia="仿宋_GB2312" w:cs="仿宋_GB2312"/>
          <w:b w:val="0"/>
          <w:bCs w:val="0"/>
          <w:sz w:val="32"/>
          <w:szCs w:val="32"/>
          <w:lang w:val="en-US" w:eastAsia="zh-CN"/>
        </w:rPr>
        <w:t>3.联系人及联系方式：熊洪 15108988048。</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方正仿宋_GB18030" w:hAnsi="方正仿宋_GB18030" w:eastAsia="方正仿宋_GB18030" w:cs="方正仿宋_GB18030"/>
          <w:b w:val="0"/>
          <w:bCs w:val="0"/>
          <w:sz w:val="28"/>
          <w:szCs w:val="28"/>
          <w:lang w:val="en-US" w:eastAsia="zh-CN"/>
        </w:rPr>
        <w:t xml:space="preserve">                              </w:t>
      </w:r>
      <w:r>
        <w:rPr>
          <w:rFonts w:hint="eastAsia" w:ascii="仿宋_GB2312" w:hAnsi="仿宋_GB2312" w:eastAsia="仿宋_GB2312" w:cs="仿宋_GB2312"/>
          <w:b w:val="0"/>
          <w:bCs w:val="0"/>
          <w:sz w:val="32"/>
          <w:szCs w:val="32"/>
          <w:lang w:val="en-US" w:eastAsia="zh-CN"/>
        </w:rPr>
        <w:t>三亚市崖州区农业农村局</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2026年9月28日</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eastAsia" w:ascii="仿宋_GB2312" w:hAnsi="仿宋_GB2312" w:eastAsia="仿宋_GB2312" w:cs="仿宋_GB2312"/>
          <w:b w:val="0"/>
          <w:bCs w:val="0"/>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eastAsia" w:ascii="仿宋_GB2312" w:hAnsi="仿宋_GB2312" w:eastAsia="仿宋_GB2312" w:cs="仿宋_GB2312"/>
          <w:b w:val="0"/>
          <w:bCs w:val="0"/>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eastAsia" w:ascii="仿宋_GB2312" w:hAnsi="仿宋_GB2312" w:eastAsia="仿宋_GB2312" w:cs="仿宋_GB2312"/>
          <w:b w:val="0"/>
          <w:bCs w:val="0"/>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eastAsia" w:ascii="仿宋_GB2312" w:hAnsi="仿宋_GB2312" w:eastAsia="仿宋_GB2312" w:cs="仿宋_GB2312"/>
          <w:b w:val="0"/>
          <w:bCs w:val="0"/>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eastAsia" w:ascii="仿宋_GB2312" w:hAnsi="仿宋_GB2312" w:eastAsia="仿宋_GB2312" w:cs="仿宋_GB2312"/>
          <w:b w:val="0"/>
          <w:bCs w:val="0"/>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eastAsia" w:ascii="仿宋_GB2312" w:hAnsi="仿宋_GB2312" w:eastAsia="仿宋_GB2312" w:cs="仿宋_GB2312"/>
          <w:b w:val="0"/>
          <w:bCs w:val="0"/>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eastAsia" w:ascii="仿宋_GB2312" w:hAnsi="仿宋_GB2312" w:eastAsia="仿宋_GB2312" w:cs="仿宋_GB2312"/>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157" w:beforeLines="50" w:after="313" w:afterLines="100"/>
        <w:ind w:left="0" w:leftChars="0" w:firstLine="0" w:firstLineChars="0"/>
        <w:jc w:val="center"/>
        <w:textAlignment w:val="auto"/>
        <w:rPr>
          <w:rFonts w:hint="eastAsia" w:ascii="黑体" w:hAnsi="黑体" w:eastAsia="黑体" w:cs="黑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before="157" w:beforeLines="50" w:after="313" w:afterLines="100"/>
        <w:ind w:left="0" w:leftChars="0" w:firstLine="0" w:firstLineChars="0"/>
        <w:jc w:val="center"/>
        <w:textAlignment w:val="auto"/>
        <w:rPr>
          <w:rFonts w:hint="eastAsia" w:ascii="黑体" w:hAnsi="黑体" w:eastAsia="黑体" w:cs="黑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before="157" w:beforeLines="50" w:after="313" w:afterLines="100"/>
        <w:ind w:left="0" w:leftChars="0" w:firstLine="0" w:firstLineChars="0"/>
        <w:jc w:val="center"/>
        <w:textAlignment w:val="auto"/>
        <w:rPr>
          <w:rFonts w:hint="eastAsia" w:ascii="黑体" w:hAnsi="黑体" w:eastAsia="黑体" w:cs="黑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before="157" w:beforeLines="50" w:after="313" w:afterLines="100"/>
        <w:ind w:left="0" w:leftChars="0" w:firstLine="0" w:firstLineChars="0"/>
        <w:jc w:val="center"/>
        <w:textAlignment w:val="auto"/>
        <w:rPr>
          <w:rFonts w:hint="eastAsia" w:ascii="黑体" w:hAnsi="黑体" w:eastAsia="黑体" w:cs="黑体"/>
          <w:b w:val="0"/>
          <w:bCs w:val="0"/>
          <w:sz w:val="44"/>
          <w:szCs w:val="44"/>
          <w:lang w:val="en-US" w:eastAsia="zh-CN"/>
        </w:rPr>
      </w:pPr>
      <w:r>
        <w:rPr>
          <w:rFonts w:hint="eastAsia" w:ascii="黑体" w:hAnsi="黑体" w:eastAsia="黑体" w:cs="黑体"/>
          <w:b w:val="0"/>
          <w:bCs w:val="0"/>
          <w:sz w:val="44"/>
          <w:szCs w:val="44"/>
          <w:lang w:val="en-US" w:eastAsia="zh-CN"/>
        </w:rPr>
        <w:t>尽职调查（含法律、财务、资质）服务采购文件</w:t>
      </w:r>
    </w:p>
    <w:p>
      <w:pPr>
        <w:keepNext w:val="0"/>
        <w:keepLines w:val="0"/>
        <w:pageBreakBefore w:val="0"/>
        <w:widowControl w:val="0"/>
        <w:kinsoku/>
        <w:wordWrap/>
        <w:overflowPunct/>
        <w:topLinePunct w:val="0"/>
        <w:autoSpaceDE/>
        <w:autoSpaceDN/>
        <w:bidi w:val="0"/>
        <w:adjustRightInd/>
        <w:snapToGrid/>
        <w:ind w:left="0" w:leftChars="0" w:firstLine="560" w:firstLineChars="200"/>
        <w:jc w:val="left"/>
        <w:textAlignment w:val="auto"/>
        <w:rPr>
          <w:rFonts w:hint="eastAsia" w:ascii="方正仿宋_GB18030" w:hAnsi="方正仿宋_GB18030" w:eastAsia="方正仿宋_GB18030" w:cs="方正仿宋_GB18030"/>
          <w:b w:val="0"/>
          <w:bCs w:val="0"/>
          <w:sz w:val="28"/>
          <w:szCs w:val="28"/>
          <w:lang w:val="en-US" w:eastAsia="zh-CN"/>
        </w:rPr>
      </w:pPr>
      <w:r>
        <w:rPr>
          <w:rFonts w:hint="eastAsia" w:ascii="方正仿宋_GB18030" w:hAnsi="方正仿宋_GB18030" w:eastAsia="方正仿宋_GB18030" w:cs="方正仿宋_GB18030"/>
          <w:b w:val="0"/>
          <w:bCs w:val="0"/>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供应商：（律师事务所盖单位章）</w:t>
      </w:r>
    </w:p>
    <w:p>
      <w:pPr>
        <w:pStyle w:val="2"/>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法定代表人或其委托代理人：</w:t>
      </w:r>
      <w:r>
        <w:rPr>
          <w:rFonts w:hint="eastAsia" w:ascii="仿宋_GB2312" w:hAnsi="仿宋_GB2312" w:eastAsia="仿宋_GB2312" w:cs="仿宋_GB2312"/>
          <w:b w:val="0"/>
          <w:bCs w:val="0"/>
          <w:i w:val="0"/>
          <w:iCs w:val="0"/>
          <w:sz w:val="32"/>
          <w:szCs w:val="32"/>
          <w:u w:val="single"/>
          <w:lang w:val="en-US" w:eastAsia="zh-CN"/>
        </w:rPr>
        <w:t xml:space="preserve">     </w:t>
      </w:r>
      <w:r>
        <w:rPr>
          <w:rFonts w:hint="eastAsia" w:ascii="仿宋_GB2312" w:hAnsi="仿宋_GB2312" w:eastAsia="仿宋_GB2312" w:cs="仿宋_GB2312"/>
          <w:b w:val="0"/>
          <w:bCs w:val="0"/>
          <w:sz w:val="32"/>
          <w:szCs w:val="32"/>
          <w:lang w:val="en-US" w:eastAsia="zh-CN"/>
        </w:rPr>
        <w:t>（签字或盖章）</w:t>
      </w:r>
    </w:p>
    <w:p>
      <w:pPr>
        <w:pStyle w:val="2"/>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640" w:firstLineChars="200"/>
        <w:jc w:val="left"/>
        <w:textAlignment w:val="auto"/>
        <w:rPr>
          <w:rFonts w:hint="default" w:ascii="仿宋_GB2312" w:hAnsi="仿宋_GB2312" w:eastAsia="仿宋_GB2312" w:cs="仿宋_GB2312"/>
          <w:b w:val="0"/>
          <w:bCs w:val="0"/>
          <w:sz w:val="32"/>
          <w:szCs w:val="32"/>
          <w:u w:val="single"/>
          <w:lang w:val="en-US" w:eastAsia="zh-CN"/>
        </w:rPr>
      </w:pPr>
      <w:r>
        <w:rPr>
          <w:rFonts w:hint="eastAsia" w:ascii="仿宋_GB2312" w:hAnsi="仿宋_GB2312" w:eastAsia="仿宋_GB2312" w:cs="仿宋_GB2312"/>
          <w:b w:val="0"/>
          <w:bCs w:val="0"/>
          <w:sz w:val="32"/>
          <w:szCs w:val="32"/>
          <w:lang w:val="en-US" w:eastAsia="zh-CN"/>
        </w:rPr>
        <w:t>联系方式：</w:t>
      </w:r>
      <w:r>
        <w:rPr>
          <w:rFonts w:hint="eastAsia" w:ascii="仿宋_GB2312" w:hAnsi="仿宋_GB2312" w:eastAsia="仿宋_GB2312" w:cs="仿宋_GB2312"/>
          <w:b w:val="0"/>
          <w:bCs w:val="0"/>
          <w:sz w:val="32"/>
          <w:szCs w:val="32"/>
          <w:u w:val="single"/>
          <w:lang w:val="en-US" w:eastAsia="zh-CN"/>
        </w:rPr>
        <w:t xml:space="preserve">                 </w:t>
      </w:r>
    </w:p>
    <w:p>
      <w:pPr>
        <w:pStyle w:val="2"/>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1920" w:firstLineChars="6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年    月    日</w:t>
      </w:r>
    </w:p>
    <w:p>
      <w:pPr>
        <w:keepNext w:val="0"/>
        <w:keepLines w:val="0"/>
        <w:pageBreakBefore w:val="0"/>
        <w:widowControl w:val="0"/>
        <w:kinsoku/>
        <w:wordWrap/>
        <w:overflowPunct/>
        <w:topLinePunct w:val="0"/>
        <w:autoSpaceDE/>
        <w:autoSpaceDN/>
        <w:bidi w:val="0"/>
        <w:adjustRightInd/>
        <w:snapToGrid/>
        <w:ind w:left="0" w:leftChars="0" w:firstLine="560" w:firstLineChars="200"/>
        <w:jc w:val="left"/>
        <w:textAlignment w:val="auto"/>
        <w:rPr>
          <w:rFonts w:hint="eastAsia" w:ascii="方正仿宋_GB18030" w:hAnsi="方正仿宋_GB18030" w:eastAsia="方正仿宋_GB18030" w:cs="方正仿宋_GB18030"/>
          <w:b w:val="0"/>
          <w:bCs w:val="0"/>
          <w:sz w:val="28"/>
          <w:szCs w:val="28"/>
          <w:lang w:val="en-US" w:eastAsia="zh-CN"/>
        </w:rPr>
      </w:pPr>
      <w:r>
        <w:rPr>
          <w:rFonts w:hint="eastAsia" w:ascii="方正仿宋_GB18030" w:hAnsi="方正仿宋_GB18030" w:eastAsia="方正仿宋_GB18030" w:cs="方正仿宋_GB18030"/>
          <w:b w:val="0"/>
          <w:bCs w:val="0"/>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ind w:firstLine="3654" w:firstLineChars="1300"/>
        <w:jc w:val="both"/>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2811" w:firstLineChars="1000"/>
        <w:jc w:val="both"/>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2811" w:firstLineChars="1000"/>
        <w:jc w:val="both"/>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2811" w:firstLineChars="1000"/>
        <w:jc w:val="both"/>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2811" w:firstLineChars="1000"/>
        <w:jc w:val="both"/>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2811" w:firstLineChars="1000"/>
        <w:jc w:val="both"/>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2811" w:firstLineChars="1000"/>
        <w:jc w:val="both"/>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2811" w:firstLineChars="1000"/>
        <w:jc w:val="both"/>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2811" w:firstLineChars="1000"/>
        <w:jc w:val="both"/>
        <w:textAlignment w:val="auto"/>
        <w:rPr>
          <w:rFonts w:hint="eastAsia" w:ascii="方正仿宋_GB18030" w:hAnsi="方正仿宋_GB18030" w:eastAsia="方正仿宋_GB18030" w:cs="方正仿宋_GB18030"/>
          <w:b/>
          <w:bCs/>
          <w:sz w:val="28"/>
          <w:szCs w:val="28"/>
          <w:lang w:val="en-US" w:eastAsia="zh-CN"/>
        </w:rPr>
      </w:pPr>
    </w:p>
    <w:p>
      <w:pPr>
        <w:pStyle w:val="2"/>
        <w:ind w:left="0" w:leftChars="0" w:firstLine="0" w:firstLineChars="0"/>
        <w:rPr>
          <w:rFonts w:hint="eastAsia"/>
          <w:lang w:val="en-US" w:eastAsia="zh-CN"/>
        </w:rPr>
      </w:pPr>
    </w:p>
    <w:p>
      <w:pPr>
        <w:keepNext w:val="0"/>
        <w:keepLines w:val="0"/>
        <w:pageBreakBefore w:val="0"/>
        <w:widowControl w:val="0"/>
        <w:kinsoku/>
        <w:wordWrap/>
        <w:overflowPunct/>
        <w:topLinePunct w:val="0"/>
        <w:autoSpaceDE/>
        <w:autoSpaceDN/>
        <w:bidi w:val="0"/>
        <w:adjustRightInd/>
        <w:snapToGrid/>
        <w:ind w:firstLine="3200" w:firstLineChars="10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一、报价函</w:t>
      </w: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r>
        <w:rPr>
          <w:rFonts w:hint="eastAsia" w:ascii="方正仿宋_GB18030" w:hAnsi="方正仿宋_GB18030" w:eastAsia="方正仿宋_GB18030" w:cs="方正仿宋_GB18030"/>
          <w:b w:val="0"/>
          <w:bCs w:val="0"/>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1.1 我方已仔细研究三亚仕泓农业科技有限公司法律+财务+资质专项尽职调查服务（服务采购文件）的全部内容，愿意以人民币（大写）______元（¥______元）的包干总价，在30日的服务时限内完成本项目全部工作，按采购文件规定的内容承担本项目，严格执行所承诺的责任和义务。</w:t>
      </w:r>
    </w:p>
    <w:p>
      <w:pPr>
        <w:keepNext w:val="0"/>
        <w:keepLines w:val="0"/>
        <w:pageBreakBefore w:val="0"/>
        <w:widowControl w:val="0"/>
        <w:kinsoku/>
        <w:wordWrap/>
        <w:overflowPunct/>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1.2 我方承认报价函及附件为我方报价文件的组成部分，我方选聘的会计师事务所相关服务费用已包含在本次报价中，无额外费用。</w:t>
      </w:r>
    </w:p>
    <w:p>
      <w:pPr>
        <w:keepNext w:val="0"/>
        <w:keepLines w:val="0"/>
        <w:pageBreakBefore w:val="0"/>
        <w:widowControl w:val="0"/>
        <w:kinsoku/>
        <w:wordWrap/>
        <w:overflowPunct/>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1.3 我方声明报价文件及所提供的一切资料均真实无误及有效，所提供的律师事务所执业资质、拟选聘会计师事务所资质等资料均合法有效；由于我方提供资料不实而造成的责任和后果由我方承担。</w:t>
      </w:r>
    </w:p>
    <w:p>
      <w:pPr>
        <w:keepNext w:val="0"/>
        <w:keepLines w:val="0"/>
        <w:pageBreakBefore w:val="0"/>
        <w:widowControl w:val="0"/>
        <w:kinsoku/>
        <w:wordWrap/>
        <w:overflowPunct/>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1.4 在签署协议书之前，本报价文件一直对我方具有约束力。</w:t>
      </w: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default" w:ascii="仿宋_GB2312" w:hAnsi="仿宋_GB2312" w:eastAsia="仿宋_GB2312" w:cs="仿宋_GB2312"/>
          <w:b w:val="0"/>
          <w:bCs w:val="0"/>
          <w:sz w:val="32"/>
          <w:szCs w:val="32"/>
          <w:u w:val="single"/>
          <w:lang w:val="en-US" w:eastAsia="zh-CN"/>
        </w:rPr>
      </w:pPr>
      <w:r>
        <w:rPr>
          <w:rFonts w:hint="eastAsia" w:ascii="仿宋_GB2312" w:hAnsi="仿宋_GB2312" w:eastAsia="仿宋_GB2312" w:cs="仿宋_GB2312"/>
          <w:b w:val="0"/>
          <w:bCs w:val="0"/>
          <w:sz w:val="32"/>
          <w:szCs w:val="32"/>
          <w:lang w:val="en-US" w:eastAsia="zh-CN"/>
        </w:rPr>
        <w:t>报价供应商（律师事务所盖章）：</w:t>
      </w:r>
      <w:r>
        <w:rPr>
          <w:rFonts w:hint="eastAsia" w:ascii="仿宋_GB2312" w:hAnsi="仿宋_GB2312" w:eastAsia="仿宋_GB2312" w:cs="仿宋_GB2312"/>
          <w:b w:val="0"/>
          <w:bCs w:val="0"/>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仿宋_GB2312" w:hAnsi="仿宋_GB2312" w:eastAsia="仿宋_GB2312" w:cs="仿宋_GB2312"/>
          <w:b w:val="0"/>
          <w:bCs w:val="0"/>
          <w:sz w:val="32"/>
          <w:szCs w:val="32"/>
          <w:u w:val="single"/>
          <w:lang w:val="en-US" w:eastAsia="zh-CN"/>
        </w:rPr>
      </w:pPr>
      <w:r>
        <w:rPr>
          <w:rFonts w:hint="eastAsia" w:ascii="仿宋_GB2312" w:hAnsi="仿宋_GB2312" w:eastAsia="仿宋_GB2312" w:cs="仿宋_GB2312"/>
          <w:b w:val="0"/>
          <w:bCs w:val="0"/>
          <w:sz w:val="32"/>
          <w:szCs w:val="32"/>
          <w:lang w:val="en-US" w:eastAsia="zh-CN"/>
        </w:rPr>
        <w:t>法人代表或委托代理人（签字或盖章）：</w:t>
      </w:r>
      <w:r>
        <w:rPr>
          <w:rFonts w:hint="eastAsia" w:ascii="仿宋_GB2312" w:hAnsi="仿宋_GB2312" w:eastAsia="仿宋_GB2312" w:cs="仿宋_GB2312"/>
          <w:b w:val="0"/>
          <w:bCs w:val="0"/>
          <w:sz w:val="32"/>
          <w:szCs w:val="32"/>
          <w:u w:val="single"/>
          <w:lang w:val="en-US" w:eastAsia="zh-CN"/>
        </w:rPr>
        <w:t xml:space="preserve">             </w:t>
      </w:r>
    </w:p>
    <w:p>
      <w:pPr>
        <w:pStyle w:val="2"/>
        <w:rPr>
          <w:rFonts w:hint="default"/>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日期：     年    月    日</w:t>
      </w: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黑体" w:hAnsi="黑体" w:eastAsia="黑体" w:cs="黑体"/>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黑体" w:hAnsi="黑体" w:eastAsia="黑体" w:cs="黑体"/>
          <w:b w:val="0"/>
          <w:bCs w:val="0"/>
          <w:sz w:val="32"/>
          <w:szCs w:val="32"/>
          <w:lang w:val="en-US" w:eastAsia="zh-CN"/>
        </w:rPr>
      </w:pPr>
      <w:bookmarkStart w:id="0" w:name="_GoBack"/>
      <w:bookmarkEnd w:id="0"/>
      <w:r>
        <w:rPr>
          <w:rFonts w:hint="eastAsia" w:ascii="黑体" w:hAnsi="黑体" w:eastAsia="黑体" w:cs="黑体"/>
          <w:b w:val="0"/>
          <w:bCs w:val="0"/>
          <w:sz w:val="32"/>
          <w:szCs w:val="32"/>
          <w:lang w:val="en-US" w:eastAsia="zh-CN"/>
        </w:rPr>
        <w:t>二、律师事务所执业许可证复印件（加盖公章）</w:t>
      </w: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r>
        <w:rPr>
          <w:rFonts w:hint="eastAsia" w:ascii="方正仿宋_GB18030" w:hAnsi="方正仿宋_GB18030" w:eastAsia="方正仿宋_GB18030" w:cs="方正仿宋_GB18030"/>
          <w:b w:val="0"/>
          <w:bCs w:val="0"/>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ind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三、拟选聘会计师事务所资质证明文件（加盖律所公章，含会计师事务所执业证书复印件、双方合作意向说明）</w:t>
      </w: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bCs/>
          <w:sz w:val="28"/>
          <w:szCs w:val="28"/>
          <w:lang w:val="en-US" w:eastAsia="zh-CN"/>
        </w:rPr>
      </w:pPr>
      <w:r>
        <w:rPr>
          <w:rFonts w:hint="eastAsia" w:ascii="方正仿宋_GB18030" w:hAnsi="方正仿宋_GB18030" w:eastAsia="方正仿宋_GB18030" w:cs="方正仿宋_GB18030"/>
          <w:b w:val="0"/>
          <w:bCs w:val="0"/>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ind w:left="0" w:leftChars="0"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843" w:firstLineChars="300"/>
        <w:jc w:val="left"/>
        <w:textAlignment w:val="auto"/>
        <w:rPr>
          <w:rFonts w:hint="eastAsia" w:ascii="方正仿宋_GB18030" w:hAnsi="方正仿宋_GB18030" w:eastAsia="方正仿宋_GB18030" w:cs="方正仿宋_GB18030"/>
          <w:b/>
          <w:bCs/>
          <w:sz w:val="28"/>
          <w:szCs w:val="28"/>
          <w:lang w:val="en-US" w:eastAsia="zh-CN"/>
        </w:rPr>
      </w:pPr>
    </w:p>
    <w:p>
      <w:pPr>
        <w:pageBreakBefore w:val="0"/>
        <w:widowControl w:val="0"/>
        <w:numPr>
          <w:ilvl w:val="0"/>
          <w:numId w:val="0"/>
        </w:numPr>
        <w:kinsoku/>
        <w:overflowPunct/>
        <w:topLinePunct w:val="0"/>
        <w:autoSpaceDE/>
        <w:autoSpaceDN/>
        <w:bidi w:val="0"/>
        <w:adjustRightInd/>
        <w:spacing w:line="578" w:lineRule="exact"/>
        <w:ind w:firstLine="0" w:firstLineChars="0"/>
        <w:jc w:val="left"/>
        <w:textAlignment w:val="auto"/>
        <w:rPr>
          <w:rFonts w:hint="eastAsia" w:eastAsia="仿宋_GB2312"/>
          <w:b/>
          <w:color w:val="000000"/>
          <w:spacing w:val="0"/>
          <w:sz w:val="28"/>
          <w:szCs w:val="28"/>
          <w:highlight w:val="none"/>
          <w:lang w:val="en-US" w:eastAsia="zh-CN"/>
        </w:rPr>
      </w:pPr>
    </w:p>
    <w:p>
      <w:pPr>
        <w:pageBreakBefore w:val="0"/>
        <w:widowControl w:val="0"/>
        <w:numPr>
          <w:ilvl w:val="0"/>
          <w:numId w:val="0"/>
        </w:numPr>
        <w:kinsoku/>
        <w:overflowPunct/>
        <w:topLinePunct w:val="0"/>
        <w:autoSpaceDE/>
        <w:autoSpaceDN/>
        <w:bidi w:val="0"/>
        <w:adjustRightInd/>
        <w:spacing w:line="578" w:lineRule="exact"/>
        <w:ind w:firstLine="0" w:firstLineChars="0"/>
        <w:jc w:val="left"/>
        <w:textAlignment w:val="auto"/>
        <w:rPr>
          <w:rFonts w:hint="eastAsia" w:eastAsia="仿宋_GB2312"/>
          <w:b/>
          <w:color w:val="000000"/>
          <w:spacing w:val="0"/>
          <w:sz w:val="28"/>
          <w:szCs w:val="28"/>
          <w:highlight w:val="none"/>
          <w:lang w:val="en-US" w:eastAsia="zh-CN"/>
        </w:rPr>
      </w:pPr>
    </w:p>
    <w:p>
      <w:pPr>
        <w:pageBreakBefore w:val="0"/>
        <w:widowControl w:val="0"/>
        <w:numPr>
          <w:ilvl w:val="0"/>
          <w:numId w:val="0"/>
        </w:numPr>
        <w:kinsoku/>
        <w:overflowPunct/>
        <w:topLinePunct w:val="0"/>
        <w:autoSpaceDE/>
        <w:autoSpaceDN/>
        <w:bidi w:val="0"/>
        <w:adjustRightInd/>
        <w:spacing w:line="578" w:lineRule="exact"/>
        <w:ind w:firstLine="0" w:firstLineChars="0"/>
        <w:jc w:val="left"/>
        <w:textAlignment w:val="auto"/>
        <w:rPr>
          <w:rFonts w:hint="eastAsia" w:eastAsia="仿宋_GB2312"/>
          <w:b/>
          <w:color w:val="000000"/>
          <w:spacing w:val="0"/>
          <w:sz w:val="28"/>
          <w:szCs w:val="28"/>
          <w:highlight w:val="none"/>
          <w:lang w:val="en-US" w:eastAsia="zh-CN"/>
        </w:rPr>
      </w:pPr>
    </w:p>
    <w:p>
      <w:pPr>
        <w:pageBreakBefore w:val="0"/>
        <w:widowControl w:val="0"/>
        <w:numPr>
          <w:ilvl w:val="0"/>
          <w:numId w:val="0"/>
        </w:numPr>
        <w:kinsoku/>
        <w:overflowPunct/>
        <w:topLinePunct w:val="0"/>
        <w:autoSpaceDE/>
        <w:autoSpaceDN/>
        <w:bidi w:val="0"/>
        <w:adjustRightInd/>
        <w:spacing w:line="578" w:lineRule="exact"/>
        <w:ind w:firstLine="0" w:firstLineChars="0"/>
        <w:jc w:val="left"/>
        <w:textAlignment w:val="auto"/>
        <w:rPr>
          <w:rFonts w:hint="eastAsia" w:eastAsia="仿宋_GB2312"/>
          <w:b/>
          <w:color w:val="000000"/>
          <w:spacing w:val="0"/>
          <w:sz w:val="28"/>
          <w:szCs w:val="28"/>
          <w:highlight w:val="none"/>
          <w:lang w:val="en-US" w:eastAsia="zh-CN"/>
        </w:rPr>
      </w:pPr>
    </w:p>
    <w:p>
      <w:pPr>
        <w:pageBreakBefore w:val="0"/>
        <w:widowControl w:val="0"/>
        <w:numPr>
          <w:ilvl w:val="0"/>
          <w:numId w:val="0"/>
        </w:numPr>
        <w:kinsoku/>
        <w:overflowPunct/>
        <w:topLinePunct w:val="0"/>
        <w:autoSpaceDE/>
        <w:autoSpaceDN/>
        <w:bidi w:val="0"/>
        <w:adjustRightInd/>
        <w:spacing w:line="578" w:lineRule="exact"/>
        <w:ind w:firstLine="0" w:firstLineChars="0"/>
        <w:jc w:val="left"/>
        <w:textAlignment w:val="auto"/>
        <w:rPr>
          <w:rFonts w:hint="eastAsia" w:eastAsia="仿宋_GB2312"/>
          <w:b/>
          <w:color w:val="000000"/>
          <w:spacing w:val="0"/>
          <w:sz w:val="28"/>
          <w:szCs w:val="28"/>
          <w:highlight w:val="none"/>
          <w:lang w:val="en-US" w:eastAsia="zh-CN"/>
        </w:rPr>
      </w:pPr>
    </w:p>
    <w:p>
      <w:pPr>
        <w:pageBreakBefore w:val="0"/>
        <w:widowControl w:val="0"/>
        <w:numPr>
          <w:ilvl w:val="0"/>
          <w:numId w:val="0"/>
        </w:numPr>
        <w:kinsoku/>
        <w:overflowPunct/>
        <w:topLinePunct w:val="0"/>
        <w:autoSpaceDE/>
        <w:autoSpaceDN/>
        <w:bidi w:val="0"/>
        <w:adjustRightInd/>
        <w:spacing w:line="578" w:lineRule="exact"/>
        <w:ind w:firstLine="0" w:firstLineChars="0"/>
        <w:jc w:val="left"/>
        <w:textAlignment w:val="auto"/>
        <w:rPr>
          <w:rFonts w:hint="eastAsia" w:eastAsia="仿宋_GB2312"/>
          <w:b/>
          <w:color w:val="000000"/>
          <w:spacing w:val="0"/>
          <w:sz w:val="28"/>
          <w:szCs w:val="28"/>
          <w:highlight w:val="none"/>
          <w:lang w:val="en-US" w:eastAsia="zh-CN"/>
        </w:rPr>
      </w:pPr>
    </w:p>
    <w:p>
      <w:pPr>
        <w:pageBreakBefore w:val="0"/>
        <w:widowControl w:val="0"/>
        <w:numPr>
          <w:ilvl w:val="0"/>
          <w:numId w:val="0"/>
        </w:numPr>
        <w:kinsoku/>
        <w:overflowPunct/>
        <w:topLinePunct w:val="0"/>
        <w:autoSpaceDE/>
        <w:autoSpaceDN/>
        <w:bidi w:val="0"/>
        <w:adjustRightInd/>
        <w:spacing w:line="578" w:lineRule="exact"/>
        <w:ind w:firstLine="0" w:firstLineChars="0"/>
        <w:jc w:val="left"/>
        <w:textAlignment w:val="auto"/>
        <w:rPr>
          <w:rFonts w:hint="eastAsia" w:eastAsia="仿宋_GB2312"/>
          <w:b/>
          <w:color w:val="000000"/>
          <w:spacing w:val="0"/>
          <w:sz w:val="28"/>
          <w:szCs w:val="28"/>
          <w:highlight w:val="none"/>
          <w:lang w:val="en-US" w:eastAsia="zh-CN"/>
        </w:rPr>
      </w:pPr>
    </w:p>
    <w:p>
      <w:pPr>
        <w:pageBreakBefore w:val="0"/>
        <w:widowControl w:val="0"/>
        <w:numPr>
          <w:ilvl w:val="0"/>
          <w:numId w:val="0"/>
        </w:numPr>
        <w:kinsoku/>
        <w:overflowPunct/>
        <w:topLinePunct w:val="0"/>
        <w:autoSpaceDE/>
        <w:autoSpaceDN/>
        <w:bidi w:val="0"/>
        <w:adjustRightInd/>
        <w:spacing w:line="578" w:lineRule="exact"/>
        <w:ind w:firstLine="0" w:firstLineChars="0"/>
        <w:jc w:val="left"/>
        <w:textAlignment w:val="auto"/>
        <w:rPr>
          <w:rFonts w:hint="eastAsia" w:eastAsia="仿宋_GB2312"/>
          <w:b/>
          <w:color w:val="000000"/>
          <w:spacing w:val="0"/>
          <w:sz w:val="28"/>
          <w:szCs w:val="28"/>
          <w:highlight w:val="none"/>
          <w:lang w:val="en-US" w:eastAsia="zh-CN"/>
        </w:rPr>
      </w:pPr>
    </w:p>
    <w:p>
      <w:pPr>
        <w:pageBreakBefore w:val="0"/>
        <w:widowControl w:val="0"/>
        <w:numPr>
          <w:ilvl w:val="0"/>
          <w:numId w:val="0"/>
        </w:numPr>
        <w:kinsoku/>
        <w:overflowPunct/>
        <w:topLinePunct w:val="0"/>
        <w:autoSpaceDE/>
        <w:autoSpaceDN/>
        <w:bidi w:val="0"/>
        <w:adjustRightInd/>
        <w:spacing w:line="578" w:lineRule="exact"/>
        <w:ind w:firstLine="0" w:firstLineChars="0"/>
        <w:jc w:val="left"/>
        <w:textAlignment w:val="auto"/>
        <w:rPr>
          <w:rFonts w:hint="eastAsia" w:eastAsia="仿宋_GB2312"/>
          <w:b/>
          <w:color w:val="000000"/>
          <w:spacing w:val="0"/>
          <w:sz w:val="28"/>
          <w:szCs w:val="28"/>
          <w:highlight w:val="none"/>
          <w:lang w:val="en-US" w:eastAsia="zh-CN"/>
        </w:rPr>
      </w:pPr>
    </w:p>
    <w:p>
      <w:pPr>
        <w:pageBreakBefore w:val="0"/>
        <w:widowControl w:val="0"/>
        <w:numPr>
          <w:ilvl w:val="0"/>
          <w:numId w:val="0"/>
        </w:numPr>
        <w:kinsoku/>
        <w:overflowPunct/>
        <w:topLinePunct w:val="0"/>
        <w:autoSpaceDE/>
        <w:autoSpaceDN/>
        <w:bidi w:val="0"/>
        <w:adjustRightInd/>
        <w:spacing w:line="578" w:lineRule="exact"/>
        <w:ind w:firstLine="0" w:firstLineChars="0"/>
        <w:jc w:val="left"/>
        <w:textAlignment w:val="auto"/>
        <w:rPr>
          <w:rFonts w:hint="eastAsia" w:ascii="黑体" w:hAnsi="黑体" w:eastAsia="黑体" w:cs="黑体"/>
          <w:b w:val="0"/>
          <w:bCs/>
          <w:color w:val="000000"/>
          <w:spacing w:val="0"/>
          <w:sz w:val="32"/>
          <w:szCs w:val="32"/>
          <w:highlight w:val="none"/>
          <w:lang w:val="en-US" w:eastAsia="zh-CN"/>
        </w:rPr>
      </w:pPr>
      <w:r>
        <w:rPr>
          <w:rFonts w:hint="eastAsia" w:ascii="黑体" w:hAnsi="黑体" w:eastAsia="黑体" w:cs="黑体"/>
          <w:b w:val="0"/>
          <w:bCs/>
          <w:color w:val="000000"/>
          <w:spacing w:val="0"/>
          <w:sz w:val="32"/>
          <w:szCs w:val="32"/>
          <w:highlight w:val="none"/>
          <w:lang w:val="en-US" w:eastAsia="zh-CN"/>
        </w:rPr>
        <w:t>四、近三年已完成业绩汇总表</w:t>
      </w:r>
    </w:p>
    <w:tbl>
      <w:tblPr>
        <w:tblStyle w:val="8"/>
        <w:tblpPr w:leftFromText="180" w:rightFromText="180" w:vertAnchor="text" w:horzAnchor="page" w:tblpX="1321" w:tblpY="566"/>
        <w:tblOverlap w:val="never"/>
        <w:tblW w:w="98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2"/>
        <w:gridCol w:w="2025"/>
        <w:gridCol w:w="2807"/>
        <w:gridCol w:w="1530"/>
        <w:gridCol w:w="1410"/>
        <w:gridCol w:w="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b w:val="0"/>
                <w:bCs w:val="0"/>
                <w:color w:val="000000"/>
                <w:sz w:val="32"/>
                <w:szCs w:val="32"/>
                <w:highlight w:val="none"/>
                <w:vertAlign w:val="baseline"/>
                <w:lang w:val="en-US" w:eastAsia="zh-CN"/>
              </w:rPr>
            </w:pPr>
            <w:r>
              <w:rPr>
                <w:rFonts w:hint="eastAsia" w:ascii="仿宋_GB2312" w:hAnsi="仿宋_GB2312" w:eastAsia="仿宋_GB2312" w:cs="仿宋_GB2312"/>
                <w:b w:val="0"/>
                <w:bCs w:val="0"/>
                <w:color w:val="000000"/>
                <w:sz w:val="32"/>
                <w:szCs w:val="32"/>
                <w:highlight w:val="none"/>
                <w:vertAlign w:val="baseline"/>
                <w:lang w:val="en-US" w:eastAsia="zh-CN"/>
              </w:rPr>
              <w:t>日期</w:t>
            </w:r>
          </w:p>
        </w:tc>
        <w:tc>
          <w:tcPr>
            <w:tcW w:w="2025"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b w:val="0"/>
                <w:bCs w:val="0"/>
                <w:color w:val="000000"/>
                <w:sz w:val="32"/>
                <w:szCs w:val="32"/>
                <w:highlight w:val="none"/>
                <w:vertAlign w:val="baseline"/>
                <w:lang w:val="en-US" w:eastAsia="zh-CN"/>
              </w:rPr>
            </w:pPr>
            <w:r>
              <w:rPr>
                <w:rFonts w:hint="eastAsia" w:ascii="仿宋_GB2312" w:hAnsi="仿宋_GB2312" w:eastAsia="仿宋_GB2312" w:cs="仿宋_GB2312"/>
                <w:sz w:val="32"/>
                <w:szCs w:val="32"/>
                <w:vertAlign w:val="baseline"/>
                <w:lang w:val="en-US" w:eastAsia="zh-CN"/>
              </w:rPr>
              <w:t>用户名称</w:t>
            </w:r>
          </w:p>
        </w:tc>
        <w:tc>
          <w:tcPr>
            <w:tcW w:w="2807"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b w:val="0"/>
                <w:bCs w:val="0"/>
                <w:color w:val="000000"/>
                <w:sz w:val="32"/>
                <w:szCs w:val="32"/>
                <w:highlight w:val="none"/>
                <w:vertAlign w:val="baseline"/>
                <w:lang w:val="en-US" w:eastAsia="zh-CN"/>
              </w:rPr>
            </w:pPr>
            <w:r>
              <w:rPr>
                <w:rFonts w:hint="eastAsia" w:ascii="仿宋_GB2312" w:hAnsi="仿宋_GB2312" w:eastAsia="仿宋_GB2312" w:cs="仿宋_GB2312"/>
                <w:sz w:val="32"/>
                <w:szCs w:val="32"/>
                <w:vertAlign w:val="baseline"/>
                <w:lang w:val="en-US" w:eastAsia="zh-CN"/>
              </w:rPr>
              <w:t>合同名称</w:t>
            </w:r>
          </w:p>
        </w:tc>
        <w:tc>
          <w:tcPr>
            <w:tcW w:w="1530"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b w:val="0"/>
                <w:bCs w:val="0"/>
                <w:color w:val="000000"/>
                <w:sz w:val="32"/>
                <w:szCs w:val="32"/>
                <w:highlight w:val="none"/>
                <w:vertAlign w:val="baseline"/>
                <w:lang w:val="en-US" w:eastAsia="zh-CN"/>
              </w:rPr>
            </w:pPr>
            <w:r>
              <w:rPr>
                <w:rFonts w:hint="eastAsia" w:ascii="仿宋_GB2312" w:hAnsi="仿宋_GB2312" w:eastAsia="仿宋_GB2312" w:cs="仿宋_GB2312"/>
                <w:sz w:val="32"/>
                <w:szCs w:val="32"/>
                <w:vertAlign w:val="baseline"/>
                <w:lang w:val="en-US" w:eastAsia="zh-CN"/>
              </w:rPr>
              <w:t>完成时间</w:t>
            </w:r>
          </w:p>
        </w:tc>
        <w:tc>
          <w:tcPr>
            <w:tcW w:w="1410"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仿宋_GB2312" w:hAnsi="仿宋_GB2312" w:eastAsia="仿宋_GB2312" w:cs="仿宋_GB2312"/>
                <w:b w:val="0"/>
                <w:bCs w:val="0"/>
                <w:color w:val="000000"/>
                <w:sz w:val="32"/>
                <w:szCs w:val="32"/>
                <w:highlight w:val="none"/>
                <w:vertAlign w:val="baseline"/>
                <w:lang w:val="en-US" w:eastAsia="zh-CN"/>
              </w:rPr>
            </w:pPr>
            <w:r>
              <w:rPr>
                <w:rFonts w:hint="eastAsia" w:ascii="仿宋_GB2312" w:hAnsi="仿宋_GB2312" w:eastAsia="仿宋_GB2312" w:cs="仿宋_GB2312"/>
                <w:sz w:val="32"/>
                <w:szCs w:val="32"/>
                <w:vertAlign w:val="baseline"/>
                <w:lang w:val="en-US" w:eastAsia="zh-CN"/>
              </w:rPr>
              <w:t>合同金额</w:t>
            </w:r>
          </w:p>
        </w:tc>
        <w:tc>
          <w:tcPr>
            <w:tcW w:w="845" w:type="dxa"/>
            <w:noWrap w:val="0"/>
            <w:vAlign w:val="center"/>
          </w:tcPr>
          <w:p>
            <w:pPr>
              <w:pageBreakBefore w:val="0"/>
              <w:widowControl w:val="0"/>
              <w:numPr>
                <w:ilvl w:val="0"/>
                <w:numId w:val="0"/>
              </w:numPr>
              <w:kinsoku/>
              <w:overflowPunct/>
              <w:topLinePunct w:val="0"/>
              <w:autoSpaceDE/>
              <w:autoSpaceDN/>
              <w:bidi w:val="0"/>
              <w:adjustRightInd/>
              <w:spacing w:line="578" w:lineRule="exact"/>
              <w:jc w:val="center"/>
              <w:textAlignment w:val="auto"/>
              <w:rPr>
                <w:rFonts w:hint="eastAsia" w:ascii="仿宋_GB2312" w:hAnsi="仿宋_GB2312" w:eastAsia="仿宋_GB2312" w:cs="仿宋_GB2312"/>
                <w:b w:val="0"/>
                <w:bCs w:val="0"/>
                <w:color w:val="000000"/>
                <w:sz w:val="32"/>
                <w:szCs w:val="32"/>
                <w:highlight w:val="none"/>
                <w:vertAlign w:val="baseline"/>
                <w:lang w:val="en-US" w:eastAsia="zh-CN"/>
              </w:rPr>
            </w:pPr>
            <w:r>
              <w:rPr>
                <w:rFonts w:hint="eastAsia" w:ascii="仿宋_GB2312" w:hAnsi="仿宋_GB2312" w:eastAsia="仿宋_GB2312" w:cs="仿宋_GB2312"/>
                <w:b w:val="0"/>
                <w:bCs w:val="0"/>
                <w:color w:val="000000"/>
                <w:sz w:val="32"/>
                <w:szCs w:val="32"/>
                <w:highlight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2025"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2807"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1530"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1410"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845"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2025"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2807"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1530"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1410"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845"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2025"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2807"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1530"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1410"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845"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2025"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2807"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1530"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1410"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845"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2025"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2807"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1530"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1410"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845"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2"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2025"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2807"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1530"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1410"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c>
          <w:tcPr>
            <w:tcW w:w="845" w:type="dxa"/>
            <w:noWrap w:val="0"/>
            <w:vAlign w:val="center"/>
          </w:tcPr>
          <w:p>
            <w:pPr>
              <w:pageBreakBefore w:val="0"/>
              <w:widowControl w:val="0"/>
              <w:numPr>
                <w:ilvl w:val="0"/>
                <w:numId w:val="0"/>
              </w:numPr>
              <w:kinsoku/>
              <w:overflowPunct/>
              <w:topLinePunct w:val="0"/>
              <w:autoSpaceDE/>
              <w:autoSpaceDN/>
              <w:bidi w:val="0"/>
              <w:adjustRightInd/>
              <w:spacing w:line="578" w:lineRule="exact"/>
              <w:jc w:val="left"/>
              <w:textAlignment w:val="auto"/>
              <w:rPr>
                <w:rFonts w:hint="eastAsia" w:ascii="仿宋_GB2312" w:hAnsi="仿宋_GB2312" w:eastAsia="仿宋_GB2312" w:cs="仿宋_GB2312"/>
                <w:b w:val="0"/>
                <w:bCs w:val="0"/>
                <w:color w:val="000000"/>
                <w:sz w:val="32"/>
                <w:szCs w:val="32"/>
                <w:highlight w:val="none"/>
                <w:vertAlign w:val="baseline"/>
                <w:lang w:val="en-US" w:eastAsia="zh-CN"/>
              </w:rPr>
            </w:pPr>
          </w:p>
        </w:tc>
      </w:tr>
    </w:tbl>
    <w:p>
      <w:pPr>
        <w:pageBreakBefore w:val="0"/>
        <w:widowControl w:val="0"/>
        <w:numPr>
          <w:ilvl w:val="0"/>
          <w:numId w:val="0"/>
        </w:numPr>
        <w:kinsoku/>
        <w:overflowPunct/>
        <w:topLinePunct w:val="0"/>
        <w:autoSpaceDE/>
        <w:autoSpaceDN/>
        <w:bidi w:val="0"/>
        <w:adjustRightInd/>
        <w:spacing w:line="578" w:lineRule="exact"/>
        <w:ind w:firstLine="0" w:firstLineChars="0"/>
        <w:jc w:val="left"/>
        <w:textAlignment w:val="auto"/>
        <w:rPr>
          <w:rFonts w:hint="eastAsia" w:eastAsia="仿宋_GB2312"/>
          <w:b/>
          <w:bCs w:val="0"/>
          <w:color w:val="000000"/>
          <w:spacing w:val="0"/>
          <w:sz w:val="28"/>
          <w:szCs w:val="28"/>
          <w:highlight w:val="none"/>
          <w:lang w:eastAsia="zh-CN"/>
        </w:rPr>
      </w:pPr>
      <w:r>
        <w:rPr>
          <w:rFonts w:hint="eastAsia" w:ascii="仿宋_GB2312" w:hAnsi="仿宋_GB2312" w:eastAsia="仿宋_GB2312" w:cs="仿宋_GB2312"/>
          <w:b w:val="0"/>
          <w:bCs/>
          <w:color w:val="000000"/>
          <w:sz w:val="32"/>
          <w:szCs w:val="32"/>
          <w:highlight w:val="none"/>
          <w:lang w:val="en-US" w:eastAsia="zh-CN"/>
        </w:rPr>
        <w:t>注：</w:t>
      </w:r>
      <w:r>
        <w:rPr>
          <w:rFonts w:hint="eastAsia" w:ascii="仿宋_GB2312" w:hAnsi="仿宋_GB2312" w:eastAsia="仿宋_GB2312" w:cs="仿宋_GB2312"/>
          <w:b w:val="0"/>
          <w:bCs w:val="0"/>
          <w:sz w:val="32"/>
          <w:szCs w:val="32"/>
          <w:lang w:val="en-US" w:eastAsia="zh-CN"/>
        </w:rPr>
        <w:t>需提供合同原件复印件作为证明材料，每页加盖律所公章，为财政资金支持的相关企业提供合规服务，需提交报告。</w:t>
      </w:r>
      <w:r>
        <w:rPr>
          <w:rFonts w:hint="eastAsia" w:eastAsia="仿宋_GB2312"/>
          <w:b/>
          <w:bCs w:val="0"/>
          <w:color w:val="000000"/>
          <w:sz w:val="28"/>
          <w:szCs w:val="28"/>
          <w:highlight w:val="none"/>
          <w:lang w:val="en-US" w:eastAsia="zh-CN"/>
        </w:rPr>
        <w:br w:type="page"/>
      </w: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五、“中国执行信息公开网”查询截图</w:t>
      </w:r>
    </w:p>
    <w:p>
      <w:pPr>
        <w:keepNext w:val="0"/>
        <w:keepLines w:val="0"/>
        <w:pageBreakBefore w:val="0"/>
        <w:widowControl w:val="0"/>
        <w:kinsoku/>
        <w:wordWrap/>
        <w:overflowPunct/>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报价人（律师事务所）未被人民法院列为失信被执行人的证明文件（网站查询截图，加盖公章）</w:t>
      </w: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r>
        <w:rPr>
          <w:rFonts w:hint="eastAsia" w:ascii="方正仿宋_GB18030" w:hAnsi="方正仿宋_GB18030" w:eastAsia="方正仿宋_GB18030" w:cs="方正仿宋_GB18030"/>
          <w:b w:val="0"/>
          <w:bCs w:val="0"/>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仿宋_GB2312" w:hAnsi="仿宋_GB2312" w:eastAsia="仿宋_GB2312" w:cs="仿宋_GB2312"/>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六、“信用中国”查询截图</w:t>
      </w:r>
    </w:p>
    <w:p>
      <w:pPr>
        <w:keepNext w:val="0"/>
        <w:keepLines w:val="0"/>
        <w:pageBreakBefore w:val="0"/>
        <w:widowControl w:val="0"/>
        <w:kinsoku/>
        <w:wordWrap/>
        <w:overflowPunct/>
        <w:topLinePunct w:val="0"/>
        <w:autoSpaceDE/>
        <w:autoSpaceDN/>
        <w:bidi w:val="0"/>
        <w:adjustRightInd/>
        <w:snapToGrid/>
        <w:ind w:left="0" w:leftChars="0" w:firstLine="640" w:firstLineChars="200"/>
        <w:jc w:val="left"/>
        <w:textAlignment w:val="auto"/>
        <w:rPr>
          <w:rFonts w:hint="eastAsia" w:ascii="宋体" w:hAnsi="宋体" w:eastAsia="宋体" w:cs="宋体"/>
          <w:b w:val="0"/>
          <w:bCs w:val="0"/>
          <w:sz w:val="28"/>
          <w:szCs w:val="28"/>
          <w:lang w:val="en-US" w:eastAsia="zh-CN"/>
        </w:rPr>
      </w:pPr>
      <w:r>
        <w:rPr>
          <w:rFonts w:hint="eastAsia" w:ascii="仿宋_GB2312" w:hAnsi="仿宋_GB2312" w:eastAsia="仿宋_GB2312" w:cs="仿宋_GB2312"/>
          <w:b w:val="0"/>
          <w:bCs w:val="0"/>
          <w:sz w:val="32"/>
          <w:szCs w:val="32"/>
          <w:lang w:val="en-US" w:eastAsia="zh-CN"/>
        </w:rPr>
        <w:t>报价人（律师事务所）未被列为严重失信主体的证明文件（网站查询截图，加盖公章）；拟选聘会计师事务所未被列为严重失信主体的查询截图（加盖律所公章）。</w:t>
      </w: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r>
        <w:rPr>
          <w:rFonts w:hint="eastAsia" w:ascii="方正仿宋_GB18030" w:hAnsi="方正仿宋_GB18030" w:eastAsia="方正仿宋_GB18030" w:cs="方正仿宋_GB18030"/>
          <w:b w:val="0"/>
          <w:bCs w:val="0"/>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七、“中国政府采购网”查询截图</w:t>
      </w:r>
    </w:p>
    <w:p>
      <w:pPr>
        <w:keepNext w:val="0"/>
        <w:keepLines w:val="0"/>
        <w:pageBreakBefore w:val="0"/>
        <w:widowControl w:val="0"/>
        <w:kinsoku/>
        <w:wordWrap/>
        <w:overflowPunct/>
        <w:topLinePunct w:val="0"/>
        <w:autoSpaceDE/>
        <w:autoSpaceDN/>
        <w:bidi w:val="0"/>
        <w:adjustRightInd/>
        <w:snapToGrid/>
        <w:ind w:left="0" w:leftChars="0" w:firstLine="640" w:firstLineChars="200"/>
        <w:jc w:val="left"/>
        <w:textAlignment w:val="auto"/>
        <w:rPr>
          <w:rFonts w:hint="eastAsia" w:ascii="方正仿宋_GB18030" w:hAnsi="方正仿宋_GB18030" w:eastAsia="方正仿宋_GB18030" w:cs="方正仿宋_GB18030"/>
          <w:b w:val="0"/>
          <w:bCs w:val="0"/>
          <w:sz w:val="28"/>
          <w:szCs w:val="28"/>
          <w:lang w:val="en-US" w:eastAsia="zh-CN"/>
        </w:rPr>
      </w:pPr>
      <w:r>
        <w:rPr>
          <w:rFonts w:hint="eastAsia" w:ascii="仿宋_GB2312" w:hAnsi="仿宋_GB2312" w:eastAsia="仿宋_GB2312" w:cs="仿宋_GB2312"/>
          <w:b w:val="0"/>
          <w:bCs w:val="0"/>
          <w:sz w:val="32"/>
          <w:szCs w:val="32"/>
          <w:lang w:val="en-US" w:eastAsia="zh-CN"/>
        </w:rPr>
        <w:t>报价人（律师事务所）未被列入政府采购严重违法失信行为记录名单的证明文件（网站查询截图，加盖公章）</w:t>
      </w: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r>
        <w:rPr>
          <w:rFonts w:hint="eastAsia" w:ascii="方正仿宋_GB18030" w:hAnsi="方正仿宋_GB18030" w:eastAsia="方正仿宋_GB18030" w:cs="方正仿宋_GB18030"/>
          <w:b w:val="0"/>
          <w:bCs w:val="0"/>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八、项目负责人及团队资质证明文件（加盖公章）</w:t>
      </w: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含项目负责人执业律师证书、执业年限证明等。</w:t>
      </w: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eastAsia"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562" w:firstLineChars="200"/>
        <w:jc w:val="left"/>
        <w:textAlignment w:val="auto"/>
        <w:rPr>
          <w:rFonts w:hint="eastAsia"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九、服务方案与保障（含承诺函，格式自拟）</w:t>
      </w:r>
    </w:p>
    <w:p>
      <w:pPr>
        <w:keepNext w:val="0"/>
        <w:keepLines w:val="0"/>
        <w:pageBreakBefore w:val="0"/>
        <w:widowControl w:val="0"/>
        <w:kinsoku/>
        <w:wordWrap/>
        <w:overflowPunct/>
        <w:topLinePunct w:val="0"/>
        <w:autoSpaceDE/>
        <w:autoSpaceDN/>
        <w:bidi w:val="0"/>
        <w:adjustRightInd/>
        <w:snapToGrid/>
        <w:ind w:left="0" w:leftChars="0" w:firstLine="562" w:firstLineChars="200"/>
        <w:jc w:val="left"/>
        <w:textAlignment w:val="auto"/>
        <w:rPr>
          <w:rFonts w:hint="default" w:ascii="方正仿宋_GB18030" w:hAnsi="方正仿宋_GB18030" w:eastAsia="方正仿宋_GB18030" w:cs="方正仿宋_GB18030"/>
          <w:b/>
          <w:bCs/>
          <w:sz w:val="28"/>
          <w:szCs w:val="2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left"/>
        <w:textAlignment w:val="auto"/>
        <w:rPr>
          <w:rFonts w:hint="default" w:ascii="方正仿宋_GB18030" w:hAnsi="方正仿宋_GB18030" w:eastAsia="方正仿宋_GB18030" w:cs="方正仿宋_GB18030"/>
          <w:b w:val="0"/>
          <w:bCs w:val="0"/>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left"/>
        <w:textAlignment w:val="auto"/>
        <w:rPr>
          <w:rFonts w:hint="eastAsia"/>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left"/>
        <w:textAlignment w:val="auto"/>
        <w:rPr>
          <w:rFonts w:hint="default" w:ascii="仿宋_GB2312" w:hAnsi="仿宋_GB2312" w:eastAsia="仿宋_GB2312" w:cs="仿宋_GB2312"/>
          <w:b w:val="0"/>
          <w:bCs w:val="0"/>
          <w:color w:val="000000"/>
          <w:sz w:val="28"/>
          <w:szCs w:val="28"/>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leftChars="0" w:firstLine="562" w:firstLineChars="200"/>
        <w:jc w:val="left"/>
        <w:textAlignment w:val="auto"/>
        <w:rPr>
          <w:rFonts w:hint="eastAsia" w:ascii="仿宋_GB2312" w:hAnsi="仿宋_GB2312" w:eastAsia="仿宋_GB2312" w:cs="仿宋_GB2312"/>
          <w:b/>
          <w:bCs/>
          <w:color w:val="000000"/>
          <w:sz w:val="28"/>
          <w:szCs w:val="28"/>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leftChars="0" w:firstLine="562" w:firstLineChars="200"/>
        <w:jc w:val="left"/>
        <w:textAlignment w:val="auto"/>
        <w:rPr>
          <w:rFonts w:hint="eastAsia" w:ascii="仿宋_GB2312" w:hAnsi="仿宋_GB2312" w:eastAsia="仿宋_GB2312" w:cs="仿宋_GB2312"/>
          <w:b/>
          <w:bCs/>
          <w:color w:val="000000"/>
          <w:sz w:val="28"/>
          <w:szCs w:val="28"/>
          <w:highlight w:val="none"/>
          <w:lang w:val="en-US" w:eastAsia="zh-CN"/>
        </w:rPr>
      </w:pPr>
    </w:p>
    <w:p>
      <w:pPr>
        <w:pStyle w:val="5"/>
        <w:jc w:val="left"/>
        <w:rPr>
          <w:rFonts w:hint="eastAsia" w:ascii="仿宋_GB2312" w:hAnsi="仿宋_GB2312" w:eastAsia="仿宋_GB2312" w:cs="仿宋_GB2312"/>
          <w:b/>
          <w:bCs/>
          <w:color w:val="000000"/>
          <w:sz w:val="28"/>
          <w:szCs w:val="28"/>
          <w:highlight w:val="none"/>
          <w:lang w:val="en-US" w:eastAsia="zh-CN"/>
        </w:rPr>
      </w:pPr>
    </w:p>
    <w:p>
      <w:pPr>
        <w:jc w:val="left"/>
        <w:rPr>
          <w:rFonts w:hint="eastAsia" w:ascii="仿宋_GB2312" w:hAnsi="仿宋_GB2312" w:eastAsia="仿宋_GB2312" w:cs="仿宋_GB2312"/>
          <w:b/>
          <w:bCs/>
          <w:color w:val="000000"/>
          <w:sz w:val="28"/>
          <w:szCs w:val="28"/>
          <w:highlight w:val="none"/>
          <w:lang w:val="en-US" w:eastAsia="zh-CN"/>
        </w:rPr>
      </w:pPr>
    </w:p>
    <w:p>
      <w:pPr>
        <w:jc w:val="left"/>
        <w:rPr>
          <w:rFonts w:hint="eastAsia" w:ascii="仿宋_GB2312" w:hAnsi="仿宋_GB2312" w:eastAsia="仿宋_GB2312" w:cs="仿宋_GB2312"/>
          <w:b/>
          <w:bCs/>
          <w:color w:val="000000"/>
          <w:sz w:val="28"/>
          <w:szCs w:val="28"/>
          <w:highlight w:val="none"/>
          <w:lang w:val="en-US" w:eastAsia="zh-CN"/>
        </w:rPr>
      </w:pPr>
    </w:p>
    <w:p>
      <w:pPr>
        <w:jc w:val="left"/>
        <w:rPr>
          <w:rFonts w:hint="eastAsia" w:ascii="仿宋_GB2312" w:hAnsi="仿宋_GB2312" w:eastAsia="仿宋_GB2312" w:cs="仿宋_GB2312"/>
          <w:b/>
          <w:bCs/>
          <w:color w:val="000000"/>
          <w:sz w:val="28"/>
          <w:szCs w:val="28"/>
          <w:highlight w:val="none"/>
          <w:lang w:val="en-US" w:eastAsia="zh-CN"/>
        </w:rPr>
      </w:pPr>
    </w:p>
    <w:p>
      <w:pPr>
        <w:jc w:val="left"/>
        <w:rPr>
          <w:rFonts w:hint="eastAsia" w:ascii="仿宋_GB2312" w:hAnsi="仿宋_GB2312" w:eastAsia="仿宋_GB2312" w:cs="仿宋_GB2312"/>
          <w:b/>
          <w:bCs/>
          <w:color w:val="000000"/>
          <w:sz w:val="28"/>
          <w:szCs w:val="28"/>
          <w:highlight w:val="none"/>
          <w:lang w:val="en-US" w:eastAsia="zh-CN"/>
        </w:rPr>
      </w:pPr>
    </w:p>
    <w:p>
      <w:pPr>
        <w:jc w:val="left"/>
        <w:rPr>
          <w:rFonts w:hint="eastAsia" w:ascii="仿宋_GB2312" w:hAnsi="仿宋_GB2312" w:eastAsia="仿宋_GB2312" w:cs="仿宋_GB2312"/>
          <w:b/>
          <w:bCs/>
          <w:color w:val="000000"/>
          <w:sz w:val="28"/>
          <w:szCs w:val="28"/>
          <w:highlight w:val="none"/>
          <w:lang w:val="en-US" w:eastAsia="zh-CN"/>
        </w:rPr>
      </w:pPr>
    </w:p>
    <w:p>
      <w:pPr>
        <w:pageBreakBefore w:val="0"/>
        <w:widowControl w:val="0"/>
        <w:kinsoku/>
        <w:overflowPunct/>
        <w:topLinePunct w:val="0"/>
        <w:autoSpaceDE/>
        <w:autoSpaceDN/>
        <w:bidi w:val="0"/>
        <w:adjustRightInd/>
        <w:spacing w:line="578" w:lineRule="exact"/>
        <w:jc w:val="left"/>
        <w:textAlignment w:val="auto"/>
        <w:rPr>
          <w:rFonts w:ascii="Times New Roman" w:eastAsia="仿宋_GB2312"/>
          <w:color w:val="000000"/>
          <w:sz w:val="28"/>
          <w:szCs w:val="28"/>
          <w:highlight w:val="none"/>
        </w:rPr>
      </w:pPr>
    </w:p>
    <w:p>
      <w:pPr>
        <w:pageBreakBefore w:val="0"/>
        <w:widowControl w:val="0"/>
        <w:kinsoku/>
        <w:overflowPunct/>
        <w:topLinePunct w:val="0"/>
        <w:autoSpaceDE/>
        <w:autoSpaceDN/>
        <w:bidi w:val="0"/>
        <w:adjustRightInd/>
        <w:spacing w:line="578" w:lineRule="exact"/>
        <w:jc w:val="left"/>
        <w:textAlignment w:val="auto"/>
        <w:rPr>
          <w:rFonts w:ascii="Times New Roman" w:eastAsia="仿宋_GB2312"/>
          <w:color w:val="000000"/>
          <w:sz w:val="28"/>
          <w:szCs w:val="28"/>
          <w:highlight w:val="none"/>
        </w:rPr>
      </w:pPr>
    </w:p>
    <w:p>
      <w:pPr>
        <w:pageBreakBefore w:val="0"/>
        <w:widowControl w:val="0"/>
        <w:kinsoku/>
        <w:overflowPunct/>
        <w:topLinePunct w:val="0"/>
        <w:autoSpaceDE/>
        <w:autoSpaceDN/>
        <w:bidi w:val="0"/>
        <w:adjustRightInd/>
        <w:spacing w:line="578" w:lineRule="exact"/>
        <w:jc w:val="left"/>
        <w:textAlignment w:val="auto"/>
        <w:rPr>
          <w:rFonts w:ascii="Times New Roman" w:eastAsia="仿宋_GB2312"/>
          <w:color w:val="000000"/>
          <w:sz w:val="28"/>
          <w:szCs w:val="28"/>
          <w:highlight w:val="none"/>
        </w:rPr>
      </w:pPr>
    </w:p>
    <w:p>
      <w:pPr>
        <w:jc w:val="left"/>
        <w:rPr>
          <w:rFonts w:hint="default" w:eastAsiaTheme="minorEastAsia"/>
          <w:sz w:val="28"/>
          <w:szCs w:val="28"/>
          <w:lang w:val="en-US" w:eastAsia="zh-CN"/>
        </w:rPr>
      </w:pPr>
    </w:p>
    <w:sectPr>
      <w:footerReference r:id="rId3" w:type="default"/>
      <w:pgSz w:w="11906" w:h="16838"/>
      <w:pgMar w:top="1440" w:right="1474" w:bottom="1440"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18030">
    <w:altName w:val="仿宋"/>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snapToGrid w:val="0"/>
                            <w:rPr>
                              <w:rFonts w:hint="eastAsia" w:eastAsia="宋体"/>
                              <w:sz w:val="32"/>
                              <w:szCs w:val="32"/>
                              <w:lang w:eastAsia="zh-CN"/>
                            </w:rPr>
                          </w:pPr>
                          <w:r>
                            <w:rPr>
                              <w:rFonts w:hint="eastAsia"/>
                              <w:sz w:val="32"/>
                              <w:szCs w:val="32"/>
                              <w:lang w:eastAsia="zh-CN"/>
                            </w:rPr>
                            <w:fldChar w:fldCharType="begin"/>
                          </w:r>
                          <w:r>
                            <w:rPr>
                              <w:rFonts w:hint="eastAsia"/>
                              <w:sz w:val="32"/>
                              <w:szCs w:val="32"/>
                              <w:lang w:eastAsia="zh-CN"/>
                            </w:rPr>
                            <w:instrText xml:space="preserve"> PAGE  \* MERGEFORMAT </w:instrText>
                          </w:r>
                          <w:r>
                            <w:rPr>
                              <w:rFonts w:hint="eastAsia"/>
                              <w:sz w:val="32"/>
                              <w:szCs w:val="32"/>
                              <w:lang w:eastAsia="zh-CN"/>
                            </w:rPr>
                            <w:fldChar w:fldCharType="separate"/>
                          </w:r>
                          <w:r>
                            <w:rPr>
                              <w:sz w:val="32"/>
                              <w:szCs w:val="32"/>
                            </w:rPr>
                            <w:t>1</w:t>
                          </w:r>
                          <w:r>
                            <w:rPr>
                              <w:rFonts w:hint="eastAsia"/>
                              <w:sz w:val="32"/>
                              <w:szCs w:val="32"/>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pPr>
                      <w:snapToGrid w:val="0"/>
                      <w:rPr>
                        <w:rFonts w:hint="eastAsia" w:eastAsia="宋体"/>
                        <w:sz w:val="32"/>
                        <w:szCs w:val="32"/>
                        <w:lang w:eastAsia="zh-CN"/>
                      </w:rPr>
                    </w:pPr>
                    <w:r>
                      <w:rPr>
                        <w:rFonts w:hint="eastAsia"/>
                        <w:sz w:val="32"/>
                        <w:szCs w:val="32"/>
                        <w:lang w:eastAsia="zh-CN"/>
                      </w:rPr>
                      <w:fldChar w:fldCharType="begin"/>
                    </w:r>
                    <w:r>
                      <w:rPr>
                        <w:rFonts w:hint="eastAsia"/>
                        <w:sz w:val="32"/>
                        <w:szCs w:val="32"/>
                        <w:lang w:eastAsia="zh-CN"/>
                      </w:rPr>
                      <w:instrText xml:space="preserve"> PAGE  \* MERGEFORMAT </w:instrText>
                    </w:r>
                    <w:r>
                      <w:rPr>
                        <w:rFonts w:hint="eastAsia"/>
                        <w:sz w:val="32"/>
                        <w:szCs w:val="32"/>
                        <w:lang w:eastAsia="zh-CN"/>
                      </w:rPr>
                      <w:fldChar w:fldCharType="separate"/>
                    </w:r>
                    <w:r>
                      <w:rPr>
                        <w:sz w:val="32"/>
                        <w:szCs w:val="32"/>
                      </w:rPr>
                      <w:t>1</w:t>
                    </w:r>
                    <w:r>
                      <w:rPr>
                        <w:rFonts w:hint="eastAsia"/>
                        <w:sz w:val="32"/>
                        <w:szCs w:val="32"/>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1NmE3MGU5YzEzYmEwM2FiMGNlZTBhYjYzYzY2NzYifQ=="/>
  </w:docVars>
  <w:rsids>
    <w:rsidRoot w:val="00000000"/>
    <w:rsid w:val="007037C0"/>
    <w:rsid w:val="04A646BD"/>
    <w:rsid w:val="04EE1694"/>
    <w:rsid w:val="06BC743A"/>
    <w:rsid w:val="085D46D0"/>
    <w:rsid w:val="0AFF602D"/>
    <w:rsid w:val="0C50504C"/>
    <w:rsid w:val="0C881BE1"/>
    <w:rsid w:val="118C1EAB"/>
    <w:rsid w:val="14397409"/>
    <w:rsid w:val="1A7F1C1E"/>
    <w:rsid w:val="1C430EFE"/>
    <w:rsid w:val="1CD74320"/>
    <w:rsid w:val="1F631C95"/>
    <w:rsid w:val="20F160F1"/>
    <w:rsid w:val="20FA4DE9"/>
    <w:rsid w:val="2153489D"/>
    <w:rsid w:val="222B3179"/>
    <w:rsid w:val="23C11084"/>
    <w:rsid w:val="23F42E06"/>
    <w:rsid w:val="25FF8B28"/>
    <w:rsid w:val="26C863CA"/>
    <w:rsid w:val="275413AC"/>
    <w:rsid w:val="275E56CA"/>
    <w:rsid w:val="28F22FEE"/>
    <w:rsid w:val="2BC8710C"/>
    <w:rsid w:val="2C236143"/>
    <w:rsid w:val="2D07557A"/>
    <w:rsid w:val="2DCFF7FE"/>
    <w:rsid w:val="2E8159FF"/>
    <w:rsid w:val="31FD1339"/>
    <w:rsid w:val="328C132C"/>
    <w:rsid w:val="35102C4F"/>
    <w:rsid w:val="36E45076"/>
    <w:rsid w:val="393C4D86"/>
    <w:rsid w:val="3A1360A5"/>
    <w:rsid w:val="3D7F7FBC"/>
    <w:rsid w:val="42F235D8"/>
    <w:rsid w:val="45455877"/>
    <w:rsid w:val="472737A1"/>
    <w:rsid w:val="4B8D55A8"/>
    <w:rsid w:val="4C827D0C"/>
    <w:rsid w:val="4F197259"/>
    <w:rsid w:val="4FAD7EC7"/>
    <w:rsid w:val="55CD4024"/>
    <w:rsid w:val="56D00078"/>
    <w:rsid w:val="56FC054C"/>
    <w:rsid w:val="57074813"/>
    <w:rsid w:val="58DC15A9"/>
    <w:rsid w:val="5D687C71"/>
    <w:rsid w:val="5F1F1842"/>
    <w:rsid w:val="5FF32293"/>
    <w:rsid w:val="643D5E0D"/>
    <w:rsid w:val="673037D0"/>
    <w:rsid w:val="6822347D"/>
    <w:rsid w:val="6923681C"/>
    <w:rsid w:val="6C810439"/>
    <w:rsid w:val="6F731D6F"/>
    <w:rsid w:val="743A3A4F"/>
    <w:rsid w:val="76761A38"/>
    <w:rsid w:val="76F13ED2"/>
    <w:rsid w:val="7AC60144"/>
    <w:rsid w:val="7B78583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pPr>
    <w:rPr>
      <w:rFonts w:eastAsia="宋体"/>
      <w:sz w:val="30"/>
      <w:szCs w:val="20"/>
    </w:rPr>
  </w:style>
  <w:style w:type="paragraph" w:styleId="3">
    <w:name w:val="Body Text Indent"/>
    <w:basedOn w:val="1"/>
    <w:unhideWhenUsed/>
    <w:qFormat/>
    <w:uiPriority w:val="0"/>
    <w:pPr>
      <w:spacing w:after="120"/>
      <w:ind w:left="420" w:leftChars="200" w:firstLine="480"/>
    </w:pPr>
    <w:rPr>
      <w:rFonts w:eastAsia="仿宋_GB2312"/>
      <w:sz w:val="24"/>
      <w:szCs w:val="24"/>
    </w:rPr>
  </w:style>
  <w:style w:type="paragraph" w:styleId="6">
    <w:name w:val="footer"/>
    <w:basedOn w:val="1"/>
    <w:unhideWhenUsed/>
    <w:qFormat/>
    <w:uiPriority w:val="99"/>
    <w:pPr>
      <w:tabs>
        <w:tab w:val="center" w:pos="4153"/>
        <w:tab w:val="right" w:pos="8306"/>
      </w:tabs>
      <w:snapToGrid w:val="0"/>
      <w:jc w:val="left"/>
    </w:pPr>
    <w:rPr>
      <w:sz w:val="18"/>
    </w:rPr>
  </w:style>
  <w:style w:type="paragraph" w:styleId="7">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14</Pages>
  <Words>3164</Words>
  <Characters>3383</Characters>
  <Lines>0</Lines>
  <Paragraphs>0</Paragraphs>
  <TotalTime>5</TotalTime>
  <ScaleCrop>false</ScaleCrop>
  <LinksUpToDate>false</LinksUpToDate>
  <CharactersWithSpaces>3431</CharactersWithSpaces>
  <Application>WPS Office_11.8.2.11473_F1E327BC-269C-435d-A152-05C5408002CA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2025-05-29T22:33:00Z</dcterms:created>
  <dc:creator>Administrator</dc:creator>
  <cp:lastModifiedBy>陈想想</cp:lastModifiedBy>
  <dcterms:modified xsi:type="dcterms:W3CDTF">2026-09-29T01:42:00Z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2052-11.8.2.11473</vt:lpwstr>
  </property>
  <property fmtid="{D5CDD505-2E9C-101B-9397-08002B2CF9AE}" pid="3" name="KSOTemplateDocerSaveRecord">
    <vt:lpwstr>eyJoZGlkIjoiMzEwNTM5NzYwMDRjMzkwZTVkZjY2ODkwMGIxNGU0OTUiLCJ1c2VySWQiOiI2NTIzNzg4NjUifQ==</vt:lpwstr>
  </property>
  <property fmtid="{D5CDD505-2E9C-101B-9397-08002B2CF9AE}" pid="4" name="ICV">
    <vt:lpwstr>59F6859835944433AB60F9E8729D94E5_13</vt:lpwstr>
  </property>
</Properties>
</file>