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ind w:firstLineChars="0"/>
        <w:jc w:val="center"/>
        <w:textAlignment w:val="auto"/>
        <w:rPr>
          <w:rFonts w:hint="eastAsia" w:ascii="方正小标宋_GBK" w:hAnsi="方正小标宋_GBK" w:eastAsia="方正小标宋_GBK" w:cs="方正小标宋_GBK"/>
          <w:color w:val="000000"/>
          <w:sz w:val="44"/>
          <w:szCs w:val="44"/>
          <w:highlight w:val="none"/>
          <w:lang w:val="en-US" w:eastAsia="zh-CN"/>
        </w:rPr>
      </w:pPr>
      <w:bookmarkStart w:id="0" w:name="_GoBack"/>
      <w:bookmarkEnd w:id="0"/>
      <w:r>
        <w:rPr>
          <w:rFonts w:hint="eastAsia" w:ascii="方正小标宋_GBK" w:hAnsi="方正小标宋_GBK" w:eastAsia="方正小标宋_GBK" w:cs="方正小标宋_GBK"/>
          <w:color w:val="000000"/>
          <w:sz w:val="44"/>
          <w:szCs w:val="44"/>
          <w:highlight w:val="none"/>
          <w:lang w:val="en-US" w:eastAsia="zh-CN"/>
        </w:rPr>
        <w:t>三亚崖州湾科技城与保港组团跨宁远河</w:t>
      </w:r>
    </w:p>
    <w:p>
      <w:pPr>
        <w:keepNext w:val="0"/>
        <w:keepLines w:val="0"/>
        <w:pageBreakBefore w:val="0"/>
        <w:widowControl/>
        <w:kinsoku/>
        <w:wordWrap/>
        <w:overflowPunct/>
        <w:topLinePunct w:val="0"/>
        <w:autoSpaceDE/>
        <w:autoSpaceDN/>
        <w:bidi w:val="0"/>
        <w:adjustRightInd/>
        <w:snapToGrid/>
        <w:spacing w:line="600" w:lineRule="exact"/>
        <w:ind w:firstLineChars="0"/>
        <w:jc w:val="center"/>
        <w:textAlignment w:val="auto"/>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连通通道工程项目集体土地上房屋</w:t>
      </w:r>
    </w:p>
    <w:p>
      <w:pPr>
        <w:keepNext w:val="0"/>
        <w:keepLines w:val="0"/>
        <w:pageBreakBefore w:val="0"/>
        <w:widowControl/>
        <w:kinsoku/>
        <w:wordWrap/>
        <w:overflowPunct/>
        <w:topLinePunct w:val="0"/>
        <w:autoSpaceDE/>
        <w:autoSpaceDN/>
        <w:bidi w:val="0"/>
        <w:adjustRightInd/>
        <w:snapToGrid/>
        <w:spacing w:line="600" w:lineRule="exact"/>
        <w:ind w:firstLineChars="0"/>
        <w:jc w:val="center"/>
        <w:textAlignment w:val="auto"/>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征收补偿安置方案</w:t>
      </w:r>
    </w:p>
    <w:p>
      <w:pPr>
        <w:keepNext w:val="0"/>
        <w:keepLines w:val="0"/>
        <w:pageBreakBefore w:val="0"/>
        <w:widowControl/>
        <w:kinsoku/>
        <w:wordWrap/>
        <w:overflowPunct/>
        <w:topLinePunct w:val="0"/>
        <w:autoSpaceDE/>
        <w:autoSpaceDN/>
        <w:bidi w:val="0"/>
        <w:adjustRightInd/>
        <w:snapToGrid/>
        <w:spacing w:line="578" w:lineRule="exact"/>
        <w:ind w:firstLineChars="0"/>
        <w:jc w:val="center"/>
        <w:textAlignment w:val="auto"/>
        <w:rPr>
          <w:rFonts w:hint="eastAsia" w:ascii="方正小标宋_GBK" w:hAnsi="方正小标宋_GBK" w:eastAsia="方正小标宋_GBK" w:cs="方正小标宋_GBK"/>
          <w:color w:val="000000"/>
          <w:sz w:val="32"/>
          <w:szCs w:val="32"/>
          <w:highlight w:val="none"/>
          <w:lang w:val="en-US" w:eastAsia="zh-CN"/>
        </w:rPr>
      </w:pP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为加快推进三亚崖州湾科技城与保港组团跨宁远河连通通道工程项目的建设，保障被搬迁人的合法权益，根据相关法律法规及其他规范性文件的规定，结合</w:t>
      </w:r>
      <w:r>
        <w:rPr>
          <w:rFonts w:hint="eastAsia" w:ascii="仿宋_GB2312" w:hAnsi="仿宋_GB2312" w:cs="仿宋_GB2312"/>
          <w:color w:val="000000"/>
          <w:kern w:val="2"/>
          <w:sz w:val="32"/>
          <w:szCs w:val="32"/>
          <w:highlight w:val="none"/>
          <w:lang w:val="en-US" w:eastAsia="zh-CN" w:bidi="ar-SA"/>
        </w:rPr>
        <w:t>征收范围内</w:t>
      </w:r>
      <w:r>
        <w:rPr>
          <w:rFonts w:hint="eastAsia" w:ascii="仿宋_GB2312" w:hAnsi="仿宋_GB2312" w:eastAsia="仿宋_GB2312" w:cs="仿宋_GB2312"/>
          <w:color w:val="000000"/>
          <w:kern w:val="2"/>
          <w:sz w:val="32"/>
          <w:szCs w:val="32"/>
          <w:highlight w:val="none"/>
          <w:lang w:val="en-US" w:eastAsia="zh-CN" w:bidi="ar-SA"/>
        </w:rPr>
        <w:t>的实际情况，制定本征收补偿安置方案。</w:t>
      </w: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ind w:firstLine="640"/>
        <w:textAlignment w:val="auto"/>
        <w:rPr>
          <w:rFonts w:hint="default"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rPr>
        <w:t>一、</w:t>
      </w:r>
      <w:r>
        <w:rPr>
          <w:rFonts w:hint="eastAsia" w:ascii="黑体" w:hAnsi="黑体" w:eastAsia="黑体" w:cs="黑体"/>
          <w:bCs/>
          <w:color w:val="000000"/>
          <w:sz w:val="32"/>
          <w:szCs w:val="32"/>
          <w:highlight w:val="none"/>
          <w:lang w:val="en-US" w:eastAsia="zh-CN"/>
        </w:rPr>
        <w:t>征收</w:t>
      </w:r>
      <w:r>
        <w:rPr>
          <w:rFonts w:hint="eastAsia" w:ascii="黑体" w:hAnsi="黑体" w:eastAsia="黑体" w:cs="黑体"/>
          <w:bCs/>
          <w:color w:val="000000"/>
          <w:sz w:val="32"/>
          <w:szCs w:val="32"/>
          <w:highlight w:val="none"/>
        </w:rPr>
        <w:t>范围</w:t>
      </w:r>
      <w:r>
        <w:rPr>
          <w:rFonts w:hint="eastAsia" w:ascii="黑体" w:hAnsi="黑体" w:eastAsia="黑体" w:cs="黑体"/>
          <w:bCs/>
          <w:color w:val="000000"/>
          <w:sz w:val="32"/>
          <w:szCs w:val="32"/>
          <w:highlight w:val="none"/>
          <w:lang w:val="en-US" w:eastAsia="zh-CN"/>
        </w:rPr>
        <w:t>基本情况</w:t>
      </w: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hAnsi="仿宋_GB2312" w:cs="仿宋_GB2312"/>
          <w:color w:val="000000"/>
          <w:sz w:val="32"/>
          <w:szCs w:val="32"/>
          <w:highlight w:val="none"/>
        </w:rPr>
        <w:t xml:space="preserve">   </w:t>
      </w:r>
      <w:r>
        <w:rPr>
          <w:rFonts w:hint="eastAsia" w:ascii="仿宋_GB2312" w:hAnsi="仿宋_GB2312" w:eastAsia="仿宋_GB2312" w:cs="仿宋_GB2312"/>
          <w:color w:val="000000"/>
          <w:kern w:val="2"/>
          <w:sz w:val="32"/>
          <w:szCs w:val="32"/>
          <w:highlight w:val="none"/>
          <w:lang w:val="en-US" w:eastAsia="zh-CN" w:bidi="ar-SA"/>
        </w:rPr>
        <w:t>征收范围：</w:t>
      </w:r>
      <w:r>
        <w:rPr>
          <w:rFonts w:hint="eastAsia" w:ascii="仿宋_GB2312" w:hAnsi="仿宋_GB2312" w:cs="仿宋_GB2312"/>
          <w:color w:val="000000"/>
          <w:kern w:val="2"/>
          <w:sz w:val="32"/>
          <w:szCs w:val="32"/>
          <w:highlight w:val="none"/>
          <w:lang w:val="en-US" w:eastAsia="zh-CN" w:bidi="ar-SA"/>
        </w:rPr>
        <w:t>详见地块信息示意图，</w:t>
      </w:r>
      <w:r>
        <w:rPr>
          <w:rFonts w:hint="eastAsia" w:ascii="仿宋_GB2312" w:hAnsi="仿宋_GB2312" w:eastAsia="仿宋_GB2312" w:cs="仿宋_GB2312"/>
          <w:color w:val="000000"/>
          <w:kern w:val="2"/>
          <w:sz w:val="32"/>
          <w:szCs w:val="32"/>
          <w:highlight w:val="none"/>
          <w:lang w:val="en-US" w:eastAsia="zh-CN" w:bidi="ar-SA"/>
        </w:rPr>
        <w:t>具体范围四至坐标以项目规划红线的实际勘测定界为准。</w:t>
      </w:r>
    </w:p>
    <w:p>
      <w:pPr>
        <w:keepNext w:val="0"/>
        <w:keepLines w:val="0"/>
        <w:pageBreakBefore w:val="0"/>
        <w:widowControl w:val="0"/>
        <w:numPr>
          <w:ilvl w:val="0"/>
          <w:numId w:val="1"/>
        </w:numPr>
        <w:kinsoku/>
        <w:wordWrap w:val="0"/>
        <w:overflowPunct/>
        <w:topLinePunct/>
        <w:autoSpaceDE/>
        <w:autoSpaceDN/>
        <w:bidi w:val="0"/>
        <w:adjustRightInd w:val="0"/>
        <w:snapToGrid w:val="0"/>
        <w:spacing w:beforeAutospacing="0" w:afterAutospacing="0" w:line="578" w:lineRule="exact"/>
        <w:ind w:firstLine="640" w:firstLineChars="200"/>
        <w:jc w:val="both"/>
        <w:textAlignment w:val="auto"/>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征收主体及法律</w:t>
      </w:r>
      <w:r>
        <w:rPr>
          <w:rFonts w:hint="eastAsia" w:ascii="黑体" w:hAnsi="黑体" w:eastAsia="黑体" w:cs="黑体"/>
          <w:b w:val="0"/>
          <w:bCs/>
          <w:color w:val="000000"/>
          <w:sz w:val="32"/>
          <w:szCs w:val="32"/>
          <w:highlight w:val="none"/>
          <w:lang w:val="en-US" w:eastAsia="zh-CN"/>
        </w:rPr>
        <w:t>文件</w:t>
      </w:r>
      <w:r>
        <w:rPr>
          <w:rFonts w:hint="eastAsia" w:ascii="黑体" w:hAnsi="黑体" w:eastAsia="黑体" w:cs="黑体"/>
          <w:b w:val="0"/>
          <w:bCs/>
          <w:color w:val="000000"/>
          <w:sz w:val="32"/>
          <w:szCs w:val="32"/>
          <w:highlight w:val="none"/>
        </w:rPr>
        <w:t>依据</w:t>
      </w:r>
    </w:p>
    <w:p>
      <w:pPr>
        <w:keepNext w:val="0"/>
        <w:keepLines w:val="0"/>
        <w:pageBreakBefore w:val="0"/>
        <w:kinsoku/>
        <w:overflowPunct/>
        <w:autoSpaceDE/>
        <w:autoSpaceDN/>
        <w:bidi w:val="0"/>
        <w:adjustRightInd w:val="0"/>
        <w:snapToGrid w:val="0"/>
        <w:spacing w:beforeAutospacing="0" w:afterAutospacing="0" w:line="578" w:lineRule="exact"/>
        <w:ind w:firstLine="0"/>
        <w:textAlignment w:val="auto"/>
        <w:rPr>
          <w:rFonts w:hint="eastAsia" w:ascii="楷体_GB2312" w:hAnsi="楷体_GB2312" w:eastAsia="楷体_GB2312" w:cs="楷体_GB2312"/>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lang w:val="en-US" w:eastAsia="zh-CN"/>
        </w:rPr>
        <w:t>（一）征收主体</w:t>
      </w: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征收人：三亚市崖州区人民政府。</w:t>
      </w: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实施单位：三亚市崖州区项目推进服务中心。</w:t>
      </w: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被征收人：征收范围内需要征收的土地、青苗、房屋及地上附属物的合法产权人。</w:t>
      </w:r>
    </w:p>
    <w:p>
      <w:pPr>
        <w:keepNext w:val="0"/>
        <w:keepLines w:val="0"/>
        <w:pageBreakBefore w:val="0"/>
        <w:kinsoku/>
        <w:overflowPunct/>
        <w:autoSpaceDE/>
        <w:autoSpaceDN/>
        <w:bidi w:val="0"/>
        <w:adjustRightInd w:val="0"/>
        <w:snapToGrid w:val="0"/>
        <w:spacing w:beforeAutospacing="0" w:afterAutospacing="0" w:line="578"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（二）法律文件依据</w:t>
      </w:r>
    </w:p>
    <w:p>
      <w:pPr>
        <w:pStyle w:val="2"/>
        <w:keepNext w:val="0"/>
        <w:keepLines w:val="0"/>
        <w:pageBreakBefore w:val="0"/>
        <w:widowControl w:val="0"/>
        <w:numPr>
          <w:ilvl w:val="0"/>
          <w:numId w:val="0"/>
        </w:numPr>
        <w:kinsoku/>
        <w:overflowPunct/>
        <w:autoSpaceDE/>
        <w:autoSpaceDN/>
        <w:bidi w:val="0"/>
        <w:spacing w:beforeAutospacing="0" w:after="0" w:afterAutospacing="0"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1.《中华人民共和国土地管理法》（2019年修正）</w:t>
      </w:r>
    </w:p>
    <w:p>
      <w:pPr>
        <w:pStyle w:val="2"/>
        <w:keepNext w:val="0"/>
        <w:keepLines w:val="0"/>
        <w:pageBreakBefore w:val="0"/>
        <w:widowControl w:val="0"/>
        <w:numPr>
          <w:ilvl w:val="0"/>
          <w:numId w:val="0"/>
        </w:numPr>
        <w:kinsoku/>
        <w:overflowPunct/>
        <w:autoSpaceDE/>
        <w:autoSpaceDN/>
        <w:bidi w:val="0"/>
        <w:spacing w:beforeAutospacing="0" w:after="0" w:afterAutospacing="0"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2.《中华人民共和国城乡规划法》（2019年修正）</w:t>
      </w: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3.《中华人民共和国民法典》</w:t>
      </w: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4.《三亚市棚户区改造房屋征收补偿安置暂行办法》（三府〔2015〕112号）</w:t>
      </w:r>
    </w:p>
    <w:p>
      <w:pPr>
        <w:pStyle w:val="2"/>
        <w:keepNext w:val="0"/>
        <w:keepLines w:val="0"/>
        <w:pageBreakBefore w:val="0"/>
        <w:widowControl w:val="0"/>
        <w:kinsoku/>
        <w:overflowPunct/>
        <w:autoSpaceDE/>
        <w:autoSpaceDN/>
        <w:bidi w:val="0"/>
        <w:spacing w:beforeAutospacing="0" w:after="0" w:afterAutospacing="0"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5.《三亚市集体土地征收补偿安置管理规定（2013年修订）》（三府〔2013〕43号）</w:t>
      </w: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6.《三亚市征收集体土地青苗补偿费和征地经费包干管理办法》（三府规〔2021〕25号）</w:t>
      </w: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ind w:firstLine="640" w:firstLineChars="200"/>
        <w:jc w:val="both"/>
        <w:textAlignment w:val="auto"/>
        <w:rPr>
          <w:rFonts w:hint="eastAsia" w:ascii="仿宋" w:hAnsi="仿宋" w:eastAsia="仿宋" w:cs="仿宋"/>
          <w:bCs/>
          <w:color w:val="000000"/>
          <w:sz w:val="32"/>
          <w:szCs w:val="32"/>
          <w:highlight w:val="none"/>
        </w:rPr>
      </w:pPr>
      <w:r>
        <w:rPr>
          <w:rFonts w:hint="eastAsia" w:ascii="黑体" w:hAnsi="黑体" w:eastAsia="黑体" w:cs="黑体"/>
          <w:b w:val="0"/>
          <w:bCs/>
          <w:color w:val="000000"/>
          <w:sz w:val="32"/>
          <w:szCs w:val="32"/>
          <w:highlight w:val="none"/>
        </w:rPr>
        <w:t>三、</w:t>
      </w:r>
      <w:r>
        <w:rPr>
          <w:rFonts w:hint="eastAsia" w:ascii="黑体" w:hAnsi="黑体" w:eastAsia="黑体" w:cs="黑体"/>
          <w:b w:val="0"/>
          <w:bCs/>
          <w:color w:val="000000"/>
          <w:sz w:val="32"/>
          <w:szCs w:val="32"/>
          <w:highlight w:val="none"/>
          <w:lang w:val="en-US" w:eastAsia="zh-CN"/>
        </w:rPr>
        <w:t>征收补偿</w:t>
      </w:r>
      <w:r>
        <w:rPr>
          <w:rFonts w:hint="eastAsia" w:ascii="黑体" w:hAnsi="黑体" w:eastAsia="黑体" w:cs="黑体"/>
          <w:b w:val="0"/>
          <w:bCs/>
          <w:color w:val="000000"/>
          <w:sz w:val="32"/>
          <w:szCs w:val="32"/>
          <w:highlight w:val="none"/>
        </w:rPr>
        <w:t>安置原则</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（一）</w:t>
      </w:r>
      <w:r>
        <w:rPr>
          <w:rFonts w:hint="eastAsia" w:ascii="仿宋_GB2312" w:hAnsi="仿宋_GB2312" w:eastAsia="仿宋_GB2312" w:cs="仿宋_GB2312"/>
          <w:color w:val="000000"/>
          <w:kern w:val="2"/>
          <w:sz w:val="32"/>
          <w:szCs w:val="32"/>
          <w:highlight w:val="none"/>
          <w:lang w:val="en-US" w:eastAsia="zh-CN" w:bidi="ar-SA"/>
        </w:rPr>
        <w:t>坚持“公开、公平、公正”的补偿原则；</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（二）</w:t>
      </w:r>
      <w:r>
        <w:rPr>
          <w:rFonts w:hint="eastAsia" w:ascii="仿宋_GB2312" w:hAnsi="仿宋_GB2312" w:eastAsia="仿宋_GB2312" w:cs="仿宋_GB2312"/>
          <w:color w:val="000000"/>
          <w:kern w:val="2"/>
          <w:sz w:val="32"/>
          <w:szCs w:val="32"/>
          <w:highlight w:val="none"/>
          <w:lang w:val="en-US" w:eastAsia="zh-CN" w:bidi="ar-SA"/>
        </w:rPr>
        <w:t>本着“依法实施、合理补偿、妥善安置</w:t>
      </w:r>
      <w:r>
        <w:rPr>
          <w:rFonts w:hint="eastAsia" w:ascii="仿宋_GB2312" w:hAnsi="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原则；</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（三）</w:t>
      </w:r>
      <w:r>
        <w:rPr>
          <w:rFonts w:hint="eastAsia" w:ascii="仿宋_GB2312" w:hAnsi="仿宋_GB2312" w:eastAsia="仿宋_GB2312" w:cs="仿宋_GB2312"/>
          <w:color w:val="000000"/>
          <w:kern w:val="2"/>
          <w:sz w:val="32"/>
          <w:szCs w:val="32"/>
          <w:highlight w:val="none"/>
          <w:lang w:val="en-US" w:eastAsia="zh-CN" w:bidi="ar-SA"/>
        </w:rPr>
        <w:t>以人为本，让利于民，保障被征收单位和被征收人的合法权益原则；</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（四）</w:t>
      </w:r>
      <w:r>
        <w:rPr>
          <w:rFonts w:hint="eastAsia" w:ascii="仿宋_GB2312" w:hAnsi="仿宋_GB2312" w:eastAsia="仿宋_GB2312" w:cs="仿宋_GB2312"/>
          <w:color w:val="000000"/>
          <w:kern w:val="2"/>
          <w:sz w:val="32"/>
          <w:szCs w:val="32"/>
          <w:highlight w:val="none"/>
          <w:lang w:val="en-US" w:eastAsia="zh-CN" w:bidi="ar-SA"/>
        </w:rPr>
        <w:t>坚持保护合法建筑和坚决打击违法建筑相结合的原则。</w:t>
      </w:r>
    </w:p>
    <w:p>
      <w:pPr>
        <w:pStyle w:val="2"/>
        <w:keepNext w:val="0"/>
        <w:keepLines w:val="0"/>
        <w:pageBreakBefore w:val="0"/>
        <w:widowControl w:val="0"/>
        <w:kinsoku/>
        <w:overflowPunct/>
        <w:autoSpaceDE/>
        <w:autoSpaceDN/>
        <w:bidi w:val="0"/>
        <w:spacing w:after="0" w:line="578" w:lineRule="exact"/>
        <w:ind w:firstLine="640" w:firstLineChars="200"/>
        <w:jc w:val="left"/>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黑体" w:hAnsi="黑体" w:eastAsia="黑体" w:cs="黑体"/>
          <w:b w:val="0"/>
          <w:bCs w:val="0"/>
          <w:color w:val="000000"/>
          <w:kern w:val="2"/>
          <w:sz w:val="32"/>
          <w:szCs w:val="32"/>
          <w:highlight w:val="none"/>
          <w:lang w:val="en-US" w:eastAsia="zh-CN" w:bidi="ar-SA"/>
        </w:rPr>
        <w:t>四、安置对象认定与补偿</w:t>
      </w:r>
    </w:p>
    <w:p>
      <w:pPr>
        <w:keepNext w:val="0"/>
        <w:keepLines w:val="0"/>
        <w:pageBreakBefore w:val="0"/>
        <w:widowControl w:val="0"/>
        <w:kinsoku/>
        <w:overflowPunct/>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 xml:space="preserve">（一）安置对象认定 </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自本方案发布之日止，符合下列条件之一的人员，可认定为安置对象。</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1.原籍村民。指户籍在被征收土地所在的村，具有村集体经济组织成员资格的人员及其户籍在册子女（含因服兵役和在读大、中专学生等户籍临时外迁者）。</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新出生婴、幼儿，已办理合法领养手续人员，因客观原因未及时进行申报户籍登记的，按《中</w:t>
      </w:r>
      <w:r>
        <w:rPr>
          <w:rFonts w:hint="eastAsia" w:ascii="仿宋_GB2312" w:hAnsi="仿宋_GB2312" w:cs="仿宋_GB2312"/>
          <w:color w:val="000000"/>
          <w:kern w:val="2"/>
          <w:sz w:val="32"/>
          <w:szCs w:val="32"/>
          <w:highlight w:val="none"/>
          <w:lang w:val="en-US" w:eastAsia="zh-CN" w:bidi="ar-SA"/>
        </w:rPr>
        <w:t>华</w:t>
      </w:r>
      <w:r>
        <w:rPr>
          <w:rFonts w:hint="eastAsia" w:ascii="仿宋_GB2312" w:hAnsi="仿宋_GB2312" w:eastAsia="仿宋_GB2312" w:cs="仿宋_GB2312"/>
          <w:color w:val="000000"/>
          <w:kern w:val="2"/>
          <w:sz w:val="32"/>
          <w:szCs w:val="32"/>
          <w:highlight w:val="none"/>
          <w:lang w:val="en-US" w:eastAsia="zh-CN" w:bidi="ar-SA"/>
        </w:rPr>
        <w:t>人民共和国村民委员会组织法》和《中华人民共和国户口登记条例》的相关规定，由村委会审定上报，崖州区人民政府审核通过后按原籍村民认定。</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2.转户村民。指户籍关系转户至被征收土地所在的村，具有村集体经济组织成员资格，且长期居住生活在本村的人员及其户籍在册子女（含因服兵役和在读大、中专学生等户籍临时外迁者）。</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3.入赘女婿。在本方案发布之日前，办理婚姻登记手续，落户在被征收土地所在的村，具有村集体经济组织成员资格</w:t>
      </w:r>
      <w:r>
        <w:rPr>
          <w:rFonts w:hint="eastAsia" w:ascii="仿宋_GB2312" w:hAnsi="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且长期居住生活在本村的人员。</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4.入嫁媳妇。在本方案发布之日前办理婚姻登记手续，落户在被征收土地所在的村或户口未迁入但在原户口所在地未分配宅基地、无自建房，并随夫生活在本村的人员</w:t>
      </w:r>
      <w:r>
        <w:rPr>
          <w:rFonts w:hint="eastAsia" w:ascii="仿宋_GB2312" w:hAnsi="仿宋_GB2312" w:cs="仿宋_GB2312"/>
          <w:color w:val="000000"/>
          <w:kern w:val="2"/>
          <w:sz w:val="32"/>
          <w:szCs w:val="32"/>
          <w:highlight w:val="none"/>
          <w:lang w:val="en-US" w:eastAsia="zh-CN" w:bidi="ar-SA"/>
        </w:rPr>
        <w:t>及其户籍在册未成年子女（入嫁媳妇为再婚的，与前夫所生子女在方案发布前户籍未迁入</w:t>
      </w:r>
      <w:r>
        <w:rPr>
          <w:rFonts w:hint="eastAsia" w:ascii="仿宋_GB2312" w:hAnsi="仿宋_GB2312" w:eastAsia="仿宋_GB2312" w:cs="仿宋_GB2312"/>
          <w:color w:val="000000"/>
          <w:kern w:val="2"/>
          <w:sz w:val="32"/>
          <w:szCs w:val="32"/>
          <w:highlight w:val="none"/>
          <w:lang w:val="en-US" w:eastAsia="zh-CN" w:bidi="ar-SA"/>
        </w:rPr>
        <w:t>被征收土地所在村</w:t>
      </w:r>
      <w:r>
        <w:rPr>
          <w:rFonts w:hint="eastAsia" w:ascii="仿宋_GB2312" w:hAnsi="仿宋_GB2312" w:cs="仿宋_GB2312"/>
          <w:color w:val="000000"/>
          <w:kern w:val="2"/>
          <w:sz w:val="32"/>
          <w:szCs w:val="32"/>
          <w:highlight w:val="none"/>
          <w:lang w:val="en-US" w:eastAsia="zh-CN" w:bidi="ar-SA"/>
        </w:rPr>
        <w:t>的不给予安置）</w:t>
      </w:r>
      <w:r>
        <w:rPr>
          <w:rFonts w:hint="eastAsia" w:ascii="仿宋_GB2312" w:hAnsi="仿宋_GB2312" w:eastAsia="仿宋_GB2312" w:cs="仿宋_GB2312"/>
          <w:color w:val="000000"/>
          <w:kern w:val="2"/>
          <w:sz w:val="32"/>
          <w:szCs w:val="32"/>
          <w:highlight w:val="none"/>
          <w:lang w:val="en-US" w:eastAsia="zh-CN" w:bidi="ar-SA"/>
        </w:rPr>
        <w:t>。</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5.外嫁女。指婚后户籍未迁出被征收土地所在的村，未享受嫁入地集体福利（分红）待遇，具有本村集体经济组织成员资格的人员及其户籍在册未成年子女。</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6.外出工作人员。分为两种情况</w:t>
      </w:r>
      <w:r>
        <w:rPr>
          <w:rFonts w:hint="eastAsia" w:ascii="仿宋_GB2312" w:hAnsi="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（1）指原是被征收土地所在村的原籍村民</w:t>
      </w:r>
      <w:r>
        <w:rPr>
          <w:rFonts w:hint="eastAsia" w:ascii="仿宋_GB2312" w:hAnsi="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因工作原因户籍不在本村，但在本方案发布之日前在本村有自有住房，且未享受过福利分房（含经济适用房、单位分房、集资房、房改房、安置房、安居型商品房等）的人员。（2）指原是被征收土地所在村的原籍村民，因工作原因户籍不在本村，但在本方案发布之日前在本村有自有住房，已享受福利分房（含经济适用房、单位分房、集资房、房改房、安置房、安居型商品房等）的人员。</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7.其他特殊情况需列入安置范围的，由本人提出申请，经村委会派人调查核实后，报崖州区人民政府审议确定。</w:t>
      </w:r>
    </w:p>
    <w:p>
      <w:pPr>
        <w:keepNext w:val="0"/>
        <w:keepLines w:val="0"/>
        <w:pageBreakBefore w:val="0"/>
        <w:widowControl w:val="0"/>
        <w:kinsoku/>
        <w:overflowPunct/>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（二）分户原则</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1.原则上一本户口</w:t>
      </w:r>
      <w:r>
        <w:rPr>
          <w:rFonts w:hint="eastAsia" w:ascii="仿宋_GB2312" w:hAnsi="仿宋_GB2312" w:cs="仿宋_GB2312"/>
          <w:color w:val="000000"/>
          <w:kern w:val="2"/>
          <w:sz w:val="32"/>
          <w:szCs w:val="32"/>
          <w:highlight w:val="none"/>
          <w:lang w:val="en-US" w:eastAsia="zh-CN" w:bidi="ar-SA"/>
        </w:rPr>
        <w:t>簿</w:t>
      </w:r>
      <w:r>
        <w:rPr>
          <w:rFonts w:hint="eastAsia" w:ascii="仿宋_GB2312" w:hAnsi="仿宋_GB2312" w:eastAsia="仿宋_GB2312" w:cs="仿宋_GB2312"/>
          <w:color w:val="000000"/>
          <w:kern w:val="2"/>
          <w:sz w:val="32"/>
          <w:szCs w:val="32"/>
          <w:highlight w:val="none"/>
          <w:lang w:val="en-US" w:eastAsia="zh-CN" w:bidi="ar-SA"/>
        </w:rPr>
        <w:t>为一户。安置对象家庭成员符合分户的，可予分户。</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2.本方案发布前，已婚并办理婚姻登记的人员，可予分户。</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3.本方案发布前，未婚</w:t>
      </w:r>
      <w:r>
        <w:rPr>
          <w:rFonts w:hint="eastAsia" w:ascii="仿宋_GB2312" w:hAnsi="仿宋_GB2312" w:cs="仿宋_GB2312"/>
          <w:color w:val="000000"/>
          <w:kern w:val="2"/>
          <w:sz w:val="32"/>
          <w:szCs w:val="32"/>
          <w:highlight w:val="none"/>
          <w:lang w:val="en-US" w:eastAsia="zh-CN" w:bidi="ar-SA"/>
        </w:rPr>
        <w:t>但</w:t>
      </w:r>
      <w:r>
        <w:rPr>
          <w:rFonts w:hint="eastAsia" w:ascii="仿宋_GB2312" w:hAnsi="仿宋_GB2312" w:eastAsia="仿宋_GB2312" w:cs="仿宋_GB2312"/>
          <w:color w:val="000000"/>
          <w:kern w:val="2"/>
          <w:sz w:val="32"/>
          <w:szCs w:val="32"/>
          <w:highlight w:val="none"/>
          <w:lang w:val="en-US" w:eastAsia="zh-CN" w:bidi="ar-SA"/>
        </w:rPr>
        <w:t>达到法定婚龄的人员，可予以分户。</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4.本方案发布前离婚未满12个月或在本方案发布后离婚的不予分户。</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5.未达法定婚龄且父母双亡的，或父母一方去世另一方不符合安置的子女，可单独成一户。</w:t>
      </w:r>
    </w:p>
    <w:p>
      <w:pPr>
        <w:keepNext w:val="0"/>
        <w:keepLines w:val="0"/>
        <w:pageBreakBefore w:val="0"/>
        <w:widowControl w:val="0"/>
        <w:kinsoku/>
        <w:overflowPunct/>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（三）安置人员房屋的征收补偿</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1.符合1至5类的安置对象，补偿标准为每人安置建筑面积60平方米；第6类第（1）种安置对象，补偿标准为</w:t>
      </w:r>
      <w:r>
        <w:rPr>
          <w:rFonts w:hint="eastAsia" w:ascii="仿宋_GB2312" w:hAnsi="仿宋_GB2312" w:cs="仿宋_GB2312"/>
          <w:color w:val="000000"/>
          <w:kern w:val="2"/>
          <w:sz w:val="32"/>
          <w:szCs w:val="32"/>
          <w:highlight w:val="none"/>
          <w:lang w:val="en-US" w:eastAsia="zh-CN" w:bidi="ar-SA"/>
        </w:rPr>
        <w:t>以夫妻双方为一户</w:t>
      </w:r>
      <w:r>
        <w:rPr>
          <w:rFonts w:hint="eastAsia" w:ascii="仿宋_GB2312" w:hAnsi="仿宋_GB2312" w:eastAsia="仿宋_GB2312" w:cs="仿宋_GB2312"/>
          <w:color w:val="000000"/>
          <w:kern w:val="2"/>
          <w:sz w:val="32"/>
          <w:szCs w:val="32"/>
          <w:highlight w:val="none"/>
          <w:lang w:val="en-US" w:eastAsia="zh-CN" w:bidi="ar-SA"/>
        </w:rPr>
        <w:t>安置建筑面积</w:t>
      </w:r>
      <w:r>
        <w:rPr>
          <w:rFonts w:hint="eastAsia" w:ascii="仿宋_GB2312" w:hAnsi="仿宋_GB2312" w:cs="仿宋_GB2312"/>
          <w:color w:val="000000"/>
          <w:kern w:val="2"/>
          <w:sz w:val="32"/>
          <w:szCs w:val="32"/>
          <w:highlight w:val="none"/>
          <w:lang w:val="en-US" w:eastAsia="zh-CN" w:bidi="ar-SA"/>
        </w:rPr>
        <w:t>127.5</w:t>
      </w:r>
      <w:r>
        <w:rPr>
          <w:rFonts w:hint="eastAsia" w:ascii="仿宋_GB2312" w:hAnsi="仿宋_GB2312" w:eastAsia="仿宋_GB2312" w:cs="仿宋_GB2312"/>
          <w:color w:val="000000"/>
          <w:kern w:val="2"/>
          <w:sz w:val="32"/>
          <w:szCs w:val="32"/>
          <w:highlight w:val="none"/>
          <w:lang w:val="en-US" w:eastAsia="zh-CN" w:bidi="ar-SA"/>
        </w:rPr>
        <w:t>平方米；第1至5类及第6类第（2）种且享受过政策福利性分房的安置对象，补偿标准为</w:t>
      </w:r>
      <w:r>
        <w:rPr>
          <w:rFonts w:hint="eastAsia" w:ascii="仿宋_GB2312" w:hAnsi="仿宋_GB2312" w:cs="仿宋_GB2312"/>
          <w:color w:val="000000"/>
          <w:kern w:val="2"/>
          <w:sz w:val="32"/>
          <w:szCs w:val="32"/>
          <w:highlight w:val="none"/>
          <w:lang w:val="en-US" w:eastAsia="zh-CN" w:bidi="ar-SA"/>
        </w:rPr>
        <w:t>以夫妻双方为一户</w:t>
      </w:r>
      <w:r>
        <w:rPr>
          <w:rFonts w:hint="eastAsia" w:ascii="仿宋_GB2312" w:hAnsi="仿宋_GB2312" w:eastAsia="仿宋_GB2312" w:cs="仿宋_GB2312"/>
          <w:color w:val="000000"/>
          <w:kern w:val="2"/>
          <w:sz w:val="32"/>
          <w:szCs w:val="32"/>
          <w:highlight w:val="none"/>
          <w:lang w:val="en-US" w:eastAsia="zh-CN" w:bidi="ar-SA"/>
        </w:rPr>
        <w:t>安置建筑面积</w:t>
      </w:r>
      <w:r>
        <w:rPr>
          <w:rFonts w:hint="eastAsia" w:ascii="仿宋_GB2312" w:hAnsi="仿宋_GB2312" w:cs="仿宋_GB2312"/>
          <w:color w:val="000000"/>
          <w:kern w:val="2"/>
          <w:sz w:val="32"/>
          <w:szCs w:val="32"/>
          <w:highlight w:val="none"/>
          <w:lang w:val="en-US" w:eastAsia="zh-CN" w:bidi="ar-SA"/>
        </w:rPr>
        <w:t>42.5</w:t>
      </w:r>
      <w:r>
        <w:rPr>
          <w:rFonts w:hint="eastAsia" w:ascii="仿宋_GB2312" w:hAnsi="仿宋_GB2312" w:eastAsia="仿宋_GB2312" w:cs="仿宋_GB2312"/>
          <w:color w:val="000000"/>
          <w:kern w:val="2"/>
          <w:sz w:val="32"/>
          <w:szCs w:val="32"/>
          <w:highlight w:val="none"/>
          <w:lang w:val="en-US" w:eastAsia="zh-CN" w:bidi="ar-SA"/>
        </w:rPr>
        <w:t>平方米。</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w:t>
      </w:r>
      <w:r>
        <w:rPr>
          <w:rFonts w:hint="eastAsia" w:ascii="仿宋_GB2312" w:hAnsi="仿宋_GB2312" w:cs="仿宋_GB2312"/>
          <w:color w:val="000000"/>
          <w:kern w:val="2"/>
          <w:sz w:val="32"/>
          <w:szCs w:val="32"/>
          <w:highlight w:val="none"/>
          <w:lang w:val="en-US" w:eastAsia="zh-CN" w:bidi="ar-SA"/>
        </w:rPr>
        <w:t>安置房屋面积大于被征收房屋面积的部分由被征收人按照1350元/㎡的标准向征收人缴款，</w:t>
      </w:r>
      <w:r>
        <w:rPr>
          <w:rFonts w:hint="eastAsia" w:ascii="仿宋_GB2312" w:hAnsi="仿宋_GB2312" w:eastAsia="仿宋_GB2312" w:cs="仿宋_GB2312"/>
          <w:color w:val="000000"/>
          <w:kern w:val="2"/>
          <w:sz w:val="32"/>
          <w:szCs w:val="32"/>
          <w:highlight w:val="none"/>
          <w:lang w:val="en-US" w:eastAsia="zh-CN" w:bidi="ar-SA"/>
        </w:rPr>
        <w:t>该笔款项在被征收人签订安置补偿协议时，可从被征收人应得的征收补偿款中抵扣，征收补偿款不足抵扣该笔款项时，被征收人应补</w:t>
      </w:r>
      <w:r>
        <w:rPr>
          <w:rFonts w:hint="eastAsia" w:ascii="仿宋_GB2312" w:hAnsi="仿宋_GB2312" w:cs="仿宋_GB2312"/>
          <w:color w:val="000000"/>
          <w:kern w:val="2"/>
          <w:sz w:val="32"/>
          <w:szCs w:val="32"/>
          <w:highlight w:val="none"/>
          <w:lang w:val="en-US" w:eastAsia="zh-CN" w:bidi="ar-SA"/>
        </w:rPr>
        <w:t>足</w:t>
      </w:r>
      <w:r>
        <w:rPr>
          <w:rFonts w:hint="eastAsia" w:ascii="仿宋_GB2312" w:hAnsi="仿宋_GB2312" w:eastAsia="仿宋_GB2312" w:cs="仿宋_GB2312"/>
          <w:color w:val="000000"/>
          <w:kern w:val="2"/>
          <w:sz w:val="32"/>
          <w:szCs w:val="32"/>
          <w:highlight w:val="none"/>
          <w:lang w:val="en-US" w:eastAsia="zh-CN" w:bidi="ar-SA"/>
        </w:rPr>
        <w:t>该笔款</w:t>
      </w:r>
      <w:r>
        <w:rPr>
          <w:rFonts w:hint="eastAsia" w:ascii="仿宋_GB2312" w:hAnsi="仿宋_GB2312" w:cs="仿宋_GB2312"/>
          <w:color w:val="000000"/>
          <w:kern w:val="2"/>
          <w:sz w:val="32"/>
          <w:szCs w:val="32"/>
          <w:highlight w:val="none"/>
          <w:lang w:val="en-US" w:eastAsia="zh-CN" w:bidi="ar-SA"/>
        </w:rPr>
        <w:t>项。</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3.安置对象可选择货币补偿、产权置换、货币补偿和产权置换相结合任意一种补偿方式进行安置。为保障被征收人的基本居住条件，鼓励被征收人选择回迁安置。</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（1）货币补偿</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安置对象选择货币补偿的，按应安置建筑面积乘以</w:t>
      </w:r>
      <w:r>
        <w:rPr>
          <w:rFonts w:hint="eastAsia" w:ascii="仿宋_GB2312" w:hAnsi="仿宋_GB2312" w:cs="仿宋_GB2312"/>
          <w:color w:val="000000"/>
          <w:kern w:val="2"/>
          <w:sz w:val="32"/>
          <w:szCs w:val="32"/>
          <w:highlight w:val="none"/>
          <w:lang w:val="en-US" w:eastAsia="zh-CN" w:bidi="ar-SA"/>
        </w:rPr>
        <w:t>城西</w:t>
      </w:r>
      <w:r>
        <w:rPr>
          <w:rFonts w:hint="eastAsia" w:ascii="仿宋_GB2312" w:hAnsi="仿宋_GB2312" w:eastAsia="仿宋_GB2312" w:cs="仿宋_GB2312"/>
          <w:color w:val="000000"/>
          <w:kern w:val="2"/>
          <w:sz w:val="32"/>
          <w:szCs w:val="32"/>
          <w:highlight w:val="none"/>
          <w:lang w:val="en-US" w:eastAsia="zh-CN" w:bidi="ar-SA"/>
        </w:rPr>
        <w:t xml:space="preserve">安置区安置房屋建筑面积的市场评估单价计算。          </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（2）产权置换</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安置对象选择产权置换的，按应安置建筑面积1:1的比例提供安置房；安置房分配应当遵循面积就近原则，安置对象应选择与应安置面积差额最小的现有房源套型，并按照本方案第四条第（三）款第5项结算差价。</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（3）货币补偿和产权安置相结合</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货币补偿部分按本条第三款第（1）项执行，产权置换部分按本条第（三）款第（2）项执行。</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w:t>
      </w:r>
      <w:r>
        <w:rPr>
          <w:rFonts w:hint="eastAsia" w:ascii="仿宋_GB2312" w:hAnsi="仿宋_GB2312" w:cs="仿宋_GB2312"/>
          <w:color w:val="000000"/>
          <w:kern w:val="2"/>
          <w:sz w:val="32"/>
          <w:szCs w:val="32"/>
          <w:highlight w:val="none"/>
          <w:lang w:val="en-US" w:eastAsia="zh-CN" w:bidi="ar-SA"/>
        </w:rPr>
        <w:t>农民集体所有土地或耕地被征收面积累计达到60%以上（含60%），符合《海南省征地安置留用地管理办法》（琼府办</w:t>
      </w:r>
      <w:r>
        <w:rPr>
          <w:rFonts w:hint="eastAsia" w:ascii="仿宋_GB2312" w:hAnsi="仿宋_GB2312" w:eastAsia="仿宋_GB2312" w:cs="仿宋_GB2312"/>
          <w:color w:val="000000"/>
          <w:kern w:val="2"/>
          <w:sz w:val="32"/>
          <w:szCs w:val="32"/>
          <w:highlight w:val="none"/>
          <w:lang w:val="en-US" w:eastAsia="zh-CN" w:bidi="ar-SA"/>
        </w:rPr>
        <w:t>〔201</w:t>
      </w:r>
      <w:r>
        <w:rPr>
          <w:rFonts w:hint="eastAsia" w:ascii="仿宋_GB2312" w:hAnsi="仿宋_GB2312" w:cs="仿宋_GB2312"/>
          <w:color w:val="000000"/>
          <w:kern w:val="2"/>
          <w:sz w:val="32"/>
          <w:szCs w:val="32"/>
          <w:highlight w:val="none"/>
          <w:lang w:val="en-US" w:eastAsia="zh-CN" w:bidi="ar-SA"/>
        </w:rPr>
        <w:t>2</w:t>
      </w:r>
      <w:r>
        <w:rPr>
          <w:rFonts w:hint="eastAsia" w:ascii="仿宋_GB2312" w:hAnsi="仿宋_GB2312" w:eastAsia="仿宋_GB2312" w:cs="仿宋_GB2312"/>
          <w:color w:val="000000"/>
          <w:kern w:val="2"/>
          <w:sz w:val="32"/>
          <w:szCs w:val="32"/>
          <w:highlight w:val="none"/>
          <w:lang w:val="en-US" w:eastAsia="zh-CN" w:bidi="ar-SA"/>
        </w:rPr>
        <w:t>〕</w:t>
      </w:r>
      <w:r>
        <w:rPr>
          <w:rFonts w:hint="eastAsia" w:ascii="仿宋_GB2312" w:hAnsi="仿宋_GB2312" w:cs="仿宋_GB2312"/>
          <w:color w:val="000000"/>
          <w:kern w:val="2"/>
          <w:sz w:val="32"/>
          <w:szCs w:val="32"/>
          <w:highlight w:val="none"/>
          <w:lang w:val="en-US" w:eastAsia="zh-CN" w:bidi="ar-SA"/>
        </w:rPr>
        <w:t>97号）等政策的前提下，可以给该农村集体经济组织安排留用地权益，通过留用地或留经营性物业两种形式保障，原则上优先安排经营性物业。留用地权益及留用地土地指标面积和价值指标转换成的土地面积之和不得超过被征地总面积的6%。</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5.产权置换面积结差</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产权置换房屋建筑面积小于应安置面积的，差</w:t>
      </w:r>
      <w:r>
        <w:rPr>
          <w:rFonts w:hint="eastAsia" w:ascii="仿宋_GB2312" w:hAnsi="仿宋_GB2312" w:cs="仿宋_GB2312"/>
          <w:color w:val="000000"/>
          <w:kern w:val="2"/>
          <w:sz w:val="32"/>
          <w:szCs w:val="32"/>
          <w:highlight w:val="none"/>
          <w:lang w:val="en-US" w:eastAsia="zh-CN" w:bidi="ar-SA"/>
        </w:rPr>
        <w:t>额</w:t>
      </w:r>
      <w:r>
        <w:rPr>
          <w:rFonts w:hint="eastAsia" w:ascii="仿宋_GB2312" w:hAnsi="仿宋_GB2312" w:eastAsia="仿宋_GB2312" w:cs="仿宋_GB2312"/>
          <w:color w:val="000000"/>
          <w:kern w:val="2"/>
          <w:sz w:val="32"/>
          <w:szCs w:val="32"/>
          <w:highlight w:val="none"/>
          <w:lang w:val="en-US" w:eastAsia="zh-CN" w:bidi="ar-SA"/>
        </w:rPr>
        <w:t>面积部分按</w:t>
      </w:r>
      <w:r>
        <w:rPr>
          <w:rFonts w:hint="eastAsia" w:ascii="仿宋_GB2312" w:hAnsi="仿宋_GB2312" w:cs="仿宋_GB2312"/>
          <w:color w:val="000000"/>
          <w:kern w:val="2"/>
          <w:sz w:val="32"/>
          <w:szCs w:val="32"/>
          <w:highlight w:val="none"/>
          <w:lang w:val="en-US" w:eastAsia="zh-CN" w:bidi="ar-SA"/>
        </w:rPr>
        <w:t>城西</w:t>
      </w:r>
      <w:r>
        <w:rPr>
          <w:rFonts w:hint="eastAsia" w:ascii="仿宋_GB2312" w:hAnsi="仿宋_GB2312" w:eastAsia="仿宋_GB2312" w:cs="仿宋_GB2312"/>
          <w:color w:val="000000"/>
          <w:kern w:val="2"/>
          <w:sz w:val="32"/>
          <w:szCs w:val="32"/>
          <w:highlight w:val="none"/>
          <w:lang w:val="en-US" w:eastAsia="zh-CN" w:bidi="ar-SA"/>
        </w:rPr>
        <w:t>安置区安置房屋的市场评估单价结清差价；产权置换房屋建筑面积大于应安置面积的，超出面积5㎡以内（含5㎡）的，按</w:t>
      </w:r>
      <w:r>
        <w:rPr>
          <w:rFonts w:hint="eastAsia" w:ascii="仿宋_GB2312" w:hAnsi="仿宋_GB2312" w:cs="仿宋_GB2312"/>
          <w:color w:val="000000"/>
          <w:kern w:val="2"/>
          <w:sz w:val="32"/>
          <w:szCs w:val="32"/>
          <w:highlight w:val="none"/>
          <w:lang w:val="en-US" w:eastAsia="zh-CN" w:bidi="ar-SA"/>
        </w:rPr>
        <w:t>城西</w:t>
      </w:r>
      <w:r>
        <w:rPr>
          <w:rFonts w:hint="eastAsia" w:ascii="仿宋_GB2312" w:hAnsi="仿宋_GB2312" w:eastAsia="仿宋_GB2312" w:cs="仿宋_GB2312"/>
          <w:color w:val="000000"/>
          <w:kern w:val="2"/>
          <w:sz w:val="32"/>
          <w:szCs w:val="32"/>
          <w:highlight w:val="none"/>
          <w:lang w:val="en-US" w:eastAsia="zh-CN" w:bidi="ar-SA"/>
        </w:rPr>
        <w:t>安置区安置房屋的建安成本价（以概算批复价格为准）结清差价；超出面积5㎡以上的，按</w:t>
      </w:r>
      <w:r>
        <w:rPr>
          <w:rFonts w:hint="eastAsia" w:ascii="仿宋_GB2312" w:hAnsi="仿宋_GB2312" w:cs="仿宋_GB2312"/>
          <w:color w:val="000000"/>
          <w:kern w:val="2"/>
          <w:sz w:val="32"/>
          <w:szCs w:val="32"/>
          <w:highlight w:val="none"/>
          <w:lang w:val="en-US" w:eastAsia="zh-CN" w:bidi="ar-SA"/>
        </w:rPr>
        <w:t>城西</w:t>
      </w:r>
      <w:r>
        <w:rPr>
          <w:rFonts w:hint="eastAsia" w:ascii="仿宋_GB2312" w:hAnsi="仿宋_GB2312" w:eastAsia="仿宋_GB2312" w:cs="仿宋_GB2312"/>
          <w:color w:val="000000"/>
          <w:kern w:val="2"/>
          <w:sz w:val="32"/>
          <w:szCs w:val="32"/>
          <w:highlight w:val="none"/>
          <w:lang w:val="en-US" w:eastAsia="zh-CN" w:bidi="ar-SA"/>
        </w:rPr>
        <w:t>安置区安置房屋的市场评估单价结清差价。</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6.安置对象超选安置房建筑面积原则上不得超过15平方米，安置房源套型面积不匹配的特殊情形除外。</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7.被征收房屋的面积及结构由具备合法资质的第三方测绘公司予以认定。</w:t>
      </w:r>
    </w:p>
    <w:p>
      <w:pPr>
        <w:pStyle w:val="2"/>
        <w:keepNext w:val="0"/>
        <w:keepLines w:val="0"/>
        <w:pageBreakBefore w:val="0"/>
        <w:widowControl w:val="0"/>
        <w:kinsoku/>
        <w:overflowPunct/>
        <w:autoSpaceDE/>
        <w:autoSpaceDN/>
        <w:bidi w:val="0"/>
        <w:spacing w:after="0" w:line="578" w:lineRule="exact"/>
        <w:ind w:firstLine="640" w:firstLineChars="200"/>
        <w:jc w:val="left"/>
        <w:textAlignment w:val="auto"/>
        <w:rPr>
          <w:rFonts w:hint="eastAsia" w:ascii="仿宋" w:hAnsi="仿宋" w:eastAsia="仿宋" w:cs="仿宋"/>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五、现有居住房屋面积扣除应安置面积后剩余建筑面积</w:t>
      </w:r>
      <w:r>
        <w:rPr>
          <w:rFonts w:hint="eastAsia" w:ascii="黑体" w:hAnsi="黑体" w:eastAsia="黑体" w:cs="黑体"/>
          <w:b w:val="0"/>
          <w:bCs w:val="0"/>
          <w:color w:val="000000"/>
          <w:sz w:val="32"/>
          <w:szCs w:val="32"/>
          <w:highlight w:val="none"/>
          <w:lang w:eastAsia="zh-CN"/>
        </w:rPr>
        <w:t>及</w:t>
      </w:r>
      <w:r>
        <w:rPr>
          <w:rFonts w:hint="eastAsia" w:ascii="黑体" w:hAnsi="黑体" w:eastAsia="黑体" w:cs="黑体"/>
          <w:b w:val="0"/>
          <w:bCs/>
          <w:color w:val="000000"/>
          <w:sz w:val="32"/>
          <w:szCs w:val="32"/>
          <w:highlight w:val="none"/>
        </w:rPr>
        <w:t>地上附着物</w:t>
      </w:r>
      <w:r>
        <w:rPr>
          <w:rFonts w:hint="eastAsia" w:ascii="黑体" w:hAnsi="黑体" w:eastAsia="黑体" w:cs="黑体"/>
          <w:b w:val="0"/>
          <w:bCs/>
          <w:color w:val="000000"/>
          <w:sz w:val="32"/>
          <w:szCs w:val="32"/>
          <w:highlight w:val="none"/>
          <w:lang w:val="en-US" w:eastAsia="zh-CN"/>
        </w:rPr>
        <w:t>的</w:t>
      </w:r>
      <w:r>
        <w:rPr>
          <w:rFonts w:hint="eastAsia" w:ascii="黑体" w:hAnsi="黑体" w:eastAsia="黑体" w:cs="黑体"/>
          <w:b w:val="0"/>
          <w:bCs/>
          <w:color w:val="000000"/>
          <w:sz w:val="32"/>
          <w:szCs w:val="32"/>
          <w:highlight w:val="none"/>
        </w:rPr>
        <w:t>补偿标准</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（一）</w:t>
      </w:r>
      <w:r>
        <w:rPr>
          <w:rFonts w:hint="eastAsia" w:ascii="仿宋_GB2312" w:hAnsi="仿宋_GB2312" w:eastAsia="仿宋_GB2312" w:cs="仿宋_GB2312"/>
          <w:color w:val="000000"/>
          <w:kern w:val="2"/>
          <w:sz w:val="32"/>
          <w:szCs w:val="32"/>
          <w:highlight w:val="none"/>
          <w:lang w:val="en-US" w:eastAsia="zh-CN" w:bidi="ar-SA"/>
        </w:rPr>
        <w:t>对符合1至6类安置对象的人员，现有居住房屋扣除应安置面积后剩余房屋面积部分及地上附着物补偿标准：</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1.现有居住房屋面积与应安置面积扣除比例：框架结构、混合结构按1:1扣除；砖木结构按1:0.8扣除；简易结构面积不作为可扣除面积。</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2.现有居住房屋建筑面积在525平方米以内（含525平方米）部分的补偿标准：</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（1）现有居住房屋面积小于应安置面积的，对现有居住房屋不予补偿。</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现有居住房屋面积大于应安置面积的，扣除应安置面积后剩余的房屋面积部分，框架结构按每平方米1350元、混合结构按每平方米1100元、砖木结构按每平方米850元的标准进行补偿且给予100%奖励的标准补偿；简易结构按每平方米350元的标准进行补偿。</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（3）现有居住房屋的装修补偿，扣除应安置面积后剩余的房屋面积，</w:t>
      </w:r>
      <w:r>
        <w:rPr>
          <w:rFonts w:ascii="仿宋_GB2312" w:hAnsi="仿宋_GB2312" w:eastAsia="仿宋_GB2312" w:cs="仿宋_GB2312"/>
          <w:color w:val="000000"/>
          <w:kern w:val="0"/>
          <w:sz w:val="32"/>
          <w:szCs w:val="32"/>
          <w:lang w:val="en-US" w:eastAsia="zh-CN" w:bidi="ar"/>
        </w:rPr>
        <w:t>框架结构及混合结构按每平方米800元、砖木结构按每平方米500元</w:t>
      </w:r>
      <w:r>
        <w:rPr>
          <w:rFonts w:hint="eastAsia" w:ascii="仿宋_GB2312" w:hAnsi="仿宋_GB2312" w:eastAsia="仿宋_GB2312" w:cs="仿宋_GB2312"/>
          <w:b w:val="0"/>
          <w:bCs w:val="0"/>
          <w:color w:val="000000"/>
          <w:sz w:val="32"/>
          <w:szCs w:val="32"/>
          <w:highlight w:val="none"/>
          <w:lang w:val="en-US" w:eastAsia="zh-CN"/>
        </w:rPr>
        <w:t>的标准补偿</w:t>
      </w:r>
      <w:r>
        <w:rPr>
          <w:rFonts w:hint="eastAsia" w:ascii="仿宋_GB2312" w:hAnsi="仿宋_GB2312" w:eastAsia="仿宋_GB2312" w:cs="仿宋_GB2312"/>
          <w:color w:val="000000"/>
          <w:kern w:val="2"/>
          <w:sz w:val="32"/>
          <w:szCs w:val="32"/>
          <w:highlight w:val="none"/>
          <w:lang w:val="en-US" w:eastAsia="zh-CN" w:bidi="ar-SA"/>
        </w:rPr>
        <w:t>；简易结构按</w:t>
      </w:r>
      <w:r>
        <w:rPr>
          <w:rFonts w:hint="eastAsia" w:ascii="仿宋_GB2312" w:hAnsi="仿宋_GB2312" w:cs="仿宋_GB2312"/>
          <w:color w:val="000000"/>
          <w:kern w:val="2"/>
          <w:sz w:val="32"/>
          <w:szCs w:val="32"/>
          <w:highlight w:val="none"/>
          <w:lang w:val="en-US" w:eastAsia="zh-CN" w:bidi="ar-SA"/>
        </w:rPr>
        <w:t>每</w:t>
      </w:r>
      <w:r>
        <w:rPr>
          <w:rFonts w:hint="eastAsia" w:ascii="仿宋_GB2312" w:hAnsi="仿宋_GB2312" w:eastAsia="仿宋_GB2312" w:cs="仿宋_GB2312"/>
          <w:color w:val="000000"/>
          <w:kern w:val="2"/>
          <w:sz w:val="32"/>
          <w:szCs w:val="32"/>
          <w:highlight w:val="none"/>
          <w:lang w:val="en-US" w:eastAsia="zh-CN" w:bidi="ar-SA"/>
        </w:rPr>
        <w:t>平方米300元的标准给予补偿。</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3.现有居住房屋建筑面积在525平方米以上1000平方米以内（含1000平方米）部分的补偿标准：</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（1）现有居住房屋面积小于应安置面积的，对现有房屋不予补偿。</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（2）现有居住房屋面积大于应安置面积的，扣除应安置面积后剩余的房屋面积，按每平方米550元的标准给予补助，在规定时间内签订搬迁补偿协议并腾空房屋的，再给予每平方米250元的搬迁补贴。</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（3）现有居住房屋的装修补偿，扣除应安置面积后剩余的房屋面积，</w:t>
      </w:r>
      <w:r>
        <w:rPr>
          <w:rFonts w:ascii="仿宋_GB2312" w:hAnsi="仿宋_GB2312" w:eastAsia="仿宋_GB2312" w:cs="仿宋_GB2312"/>
          <w:color w:val="000000"/>
          <w:kern w:val="0"/>
          <w:sz w:val="32"/>
          <w:szCs w:val="32"/>
          <w:lang w:val="en-US" w:eastAsia="zh-CN" w:bidi="ar"/>
        </w:rPr>
        <w:t>框架结构及混合结构按每平方米 800 元、砖木结构按每平方米500元的标准给予补偿</w:t>
      </w:r>
      <w:r>
        <w:rPr>
          <w:rFonts w:hint="eastAsia" w:ascii="仿宋_GB2312" w:hAnsi="仿宋_GB2312" w:eastAsia="仿宋_GB2312" w:cs="仿宋_GB2312"/>
          <w:color w:val="000000"/>
          <w:kern w:val="2"/>
          <w:sz w:val="32"/>
          <w:szCs w:val="32"/>
          <w:highlight w:val="none"/>
          <w:lang w:val="en-US" w:eastAsia="zh-CN" w:bidi="ar-SA"/>
        </w:rPr>
        <w:t>。</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4.被征收房屋建筑面积在1000平方米以上的部分不予补偿。</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（二）</w:t>
      </w:r>
      <w:r>
        <w:rPr>
          <w:rFonts w:hint="eastAsia" w:ascii="仿宋_GB2312" w:hAnsi="仿宋_GB2312" w:eastAsia="仿宋_GB2312" w:cs="仿宋_GB2312"/>
          <w:color w:val="000000"/>
          <w:kern w:val="2"/>
          <w:sz w:val="32"/>
          <w:szCs w:val="32"/>
          <w:highlight w:val="none"/>
          <w:lang w:val="en-US" w:eastAsia="zh-CN" w:bidi="ar-SA"/>
        </w:rPr>
        <w:t>其他人员的房屋征收补偿：</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w:t>
      </w:r>
      <w:r>
        <w:rPr>
          <w:rFonts w:hint="eastAsia" w:ascii="仿宋_GB2312" w:hAnsi="仿宋_GB2312" w:cs="仿宋_GB2312"/>
          <w:color w:val="000000"/>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不符合1至6类安置对象且在本方案发布之前户籍已迁入崖州区的人员，其房屋面积在525㎡以内（含525㎡）按1350元/㎡给予补偿，对于在征地工作人员首次入户之日起30日内主动配合拆迁的给予500元/㎡的奖励，超出30日的不给予该项奖励；房屋面积在525㎡以上1000㎡以内（含1000㎡）的部分按800元/㎡给予补偿，房屋面积超出1000㎡部分不予补偿。</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cs="仿宋_GB2312"/>
          <w:color w:val="000000"/>
          <w:kern w:val="2"/>
          <w:sz w:val="32"/>
          <w:szCs w:val="32"/>
          <w:highlight w:val="none"/>
          <w:lang w:val="en-US" w:eastAsia="zh-CN" w:bidi="ar-SA"/>
        </w:rPr>
        <w:t>2.</w:t>
      </w:r>
      <w:r>
        <w:rPr>
          <w:rFonts w:hint="eastAsia" w:ascii="仿宋_GB2312" w:hAnsi="仿宋_GB2312" w:eastAsia="仿宋_GB2312" w:cs="仿宋_GB2312"/>
          <w:color w:val="000000"/>
          <w:kern w:val="2"/>
          <w:sz w:val="32"/>
          <w:szCs w:val="32"/>
          <w:highlight w:val="none"/>
          <w:lang w:val="en-US" w:eastAsia="zh-CN" w:bidi="ar-SA"/>
        </w:rPr>
        <w:t>无合法房屋产权（或无合法手续）且在本方案发布之前户籍未迁入崖州区的人员，其房屋按以下标准补偿：</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主动配合登记丈量，积极进行搬迁工作，被拆除房屋（包括框架、混合、砖木结构房屋）按每平方米550元标准（每户以525平方米为最高标准，超出部分不予补偿）给予被拆迁户生活困难补助。</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在规定时间签订房屋拆迁补助协议并腾空房屋的，再给予被拆迁户每平方米250元（每户以525平方米为最高</w:t>
      </w:r>
      <w:r>
        <w:rPr>
          <w:rFonts w:hint="eastAsia" w:ascii="仿宋_GB2312" w:hAnsi="仿宋_GB2312" w:cs="仿宋_GB2312"/>
          <w:color w:val="000000"/>
          <w:kern w:val="2"/>
          <w:sz w:val="32"/>
          <w:szCs w:val="32"/>
          <w:highlight w:val="none"/>
          <w:lang w:val="en-US" w:eastAsia="zh-CN" w:bidi="ar-SA"/>
        </w:rPr>
        <w:t>标</w:t>
      </w:r>
      <w:r>
        <w:rPr>
          <w:rFonts w:hint="eastAsia" w:ascii="仿宋_GB2312" w:hAnsi="仿宋_GB2312" w:eastAsia="仿宋_GB2312" w:cs="仿宋_GB2312"/>
          <w:color w:val="000000"/>
          <w:kern w:val="2"/>
          <w:sz w:val="32"/>
          <w:szCs w:val="32"/>
          <w:highlight w:val="none"/>
          <w:lang w:val="en-US" w:eastAsia="zh-CN" w:bidi="ar-SA"/>
        </w:rPr>
        <w:t>准，超出部分不予补偿）的搬奖励费。</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（三）</w:t>
      </w:r>
      <w:r>
        <w:rPr>
          <w:rFonts w:hint="eastAsia" w:ascii="仿宋_GB2312" w:hAnsi="仿宋_GB2312" w:eastAsia="仿宋_GB2312" w:cs="仿宋_GB2312"/>
          <w:color w:val="000000"/>
          <w:kern w:val="2"/>
          <w:sz w:val="32"/>
          <w:szCs w:val="32"/>
          <w:highlight w:val="none"/>
          <w:lang w:val="en-US" w:eastAsia="zh-CN" w:bidi="ar-SA"/>
        </w:rPr>
        <w:t>青苗及地上附着物等参照《三亚市集体土地征收补偿安置管理规定（2013年修订）的通知》（三府〔2013〕43号）及《三亚市征收集体土地青苗补偿费和征地经费包干管理办法》（三府规〔2021〕25号）执行。</w:t>
      </w:r>
    </w:p>
    <w:p>
      <w:pPr>
        <w:pStyle w:val="2"/>
        <w:keepNext w:val="0"/>
        <w:keepLines w:val="0"/>
        <w:pageBreakBefore w:val="0"/>
        <w:kinsoku/>
        <w:overflowPunct/>
        <w:autoSpaceDE/>
        <w:autoSpaceDN/>
        <w:bidi w:val="0"/>
        <w:spacing w:after="0" w:line="578" w:lineRule="exact"/>
        <w:ind w:firstLine="640" w:firstLineChars="200"/>
        <w:textAlignment w:val="auto"/>
        <w:rPr>
          <w:rFonts w:hint="eastAsia"/>
          <w:color w:val="000000"/>
          <w:sz w:val="32"/>
          <w:szCs w:val="32"/>
          <w:lang w:val="en-US" w:eastAsia="zh-CN"/>
        </w:rPr>
      </w:pPr>
      <w:r>
        <w:rPr>
          <w:rFonts w:hint="eastAsia" w:ascii="楷体_GB2312" w:hAnsi="楷体_GB2312" w:eastAsia="楷体_GB2312" w:cs="楷体_GB2312"/>
          <w:color w:val="000000"/>
          <w:kern w:val="2"/>
          <w:sz w:val="32"/>
          <w:szCs w:val="32"/>
          <w:highlight w:val="none"/>
          <w:lang w:val="en-US" w:eastAsia="zh-CN" w:bidi="ar-SA"/>
        </w:rPr>
        <w:t>（四）</w:t>
      </w:r>
      <w:r>
        <w:rPr>
          <w:rFonts w:hint="eastAsia" w:ascii="仿宋_GB2312" w:hAnsi="仿宋_GB2312" w:eastAsia="仿宋_GB2312" w:cs="仿宋_GB2312"/>
          <w:color w:val="000000"/>
          <w:kern w:val="2"/>
          <w:sz w:val="32"/>
          <w:szCs w:val="32"/>
          <w:highlight w:val="none"/>
          <w:lang w:val="en-US" w:eastAsia="zh-CN" w:bidi="ar-SA"/>
        </w:rPr>
        <w:t>被征收房屋的空调、电话、有线电视（数字电视）等迁移补助费用，参照《三亚市集体土地上征收补偿安置管理规定（2013年修订）》（三府〔2013〕43号）文件规定执行，43号文件没有写明的，按评估机构评估结果</w:t>
      </w:r>
      <w:r>
        <w:rPr>
          <w:rFonts w:hint="eastAsia" w:ascii="仿宋_GB2312" w:hAnsi="仿宋_GB2312" w:cs="仿宋_GB2312"/>
          <w:color w:val="000000"/>
          <w:kern w:val="2"/>
          <w:sz w:val="32"/>
          <w:szCs w:val="32"/>
          <w:highlight w:val="none"/>
          <w:lang w:val="en-US" w:eastAsia="zh-CN" w:bidi="ar-SA"/>
        </w:rPr>
        <w:t>补</w:t>
      </w:r>
      <w:r>
        <w:rPr>
          <w:rFonts w:hint="eastAsia" w:ascii="仿宋_GB2312" w:hAnsi="仿宋_GB2312" w:eastAsia="仿宋_GB2312" w:cs="仿宋_GB2312"/>
          <w:color w:val="000000"/>
          <w:kern w:val="2"/>
          <w:sz w:val="32"/>
          <w:szCs w:val="32"/>
          <w:highlight w:val="none"/>
          <w:lang w:val="en-US" w:eastAsia="zh-CN" w:bidi="ar-SA"/>
        </w:rPr>
        <w:t>偿。</w:t>
      </w:r>
    </w:p>
    <w:p>
      <w:pPr>
        <w:pStyle w:val="7"/>
        <w:keepNext w:val="0"/>
        <w:keepLines w:val="0"/>
        <w:pageBreakBefore w:val="0"/>
        <w:widowControl w:val="0"/>
        <w:kinsoku/>
        <w:wordWrap w:val="0"/>
        <w:overflowPunct/>
        <w:topLinePunct/>
        <w:autoSpaceDE/>
        <w:autoSpaceDN/>
        <w:bidi w:val="0"/>
        <w:spacing w:before="0" w:beforeAutospacing="0" w:after="0" w:afterAutospacing="0" w:line="578" w:lineRule="exact"/>
        <w:ind w:firstLine="640" w:firstLineChars="200"/>
        <w:jc w:val="left"/>
        <w:textAlignment w:val="auto"/>
        <w:rPr>
          <w:rFonts w:hint="eastAsia" w:ascii="仿宋" w:hAnsi="仿宋" w:eastAsia="仿宋" w:cs="仿宋"/>
          <w:color w:val="000000"/>
          <w:sz w:val="32"/>
          <w:szCs w:val="32"/>
          <w:highlight w:val="none"/>
          <w:lang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、搬迁、过渡安置补偿和奖励</w:t>
      </w:r>
    </w:p>
    <w:p>
      <w:pPr>
        <w:keepNext w:val="0"/>
        <w:keepLines w:val="0"/>
        <w:pageBreakBefore w:val="0"/>
        <w:widowControl w:val="0"/>
        <w:kinsoku/>
        <w:overflowPunct/>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（一）搬迁补助费</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征收范围内符合安置的人员，搬迁补助费为每户3600元</w:t>
      </w:r>
      <w:r>
        <w:rPr>
          <w:rFonts w:hint="eastAsia" w:ascii="仿宋_GB2312" w:hAnsi="仿宋_GB2312" w:cs="仿宋_GB2312"/>
          <w:color w:val="000000"/>
          <w:kern w:val="2"/>
          <w:sz w:val="32"/>
          <w:szCs w:val="32"/>
          <w:highlight w:val="none"/>
          <w:lang w:val="en-US" w:eastAsia="zh-CN" w:bidi="ar-SA"/>
        </w:rPr>
        <w:t>/次</w:t>
      </w:r>
      <w:r>
        <w:rPr>
          <w:rFonts w:hint="eastAsia" w:ascii="仿宋_GB2312" w:hAnsi="仿宋_GB2312" w:eastAsia="仿宋_GB2312" w:cs="仿宋_GB2312"/>
          <w:color w:val="000000"/>
          <w:kern w:val="2"/>
          <w:sz w:val="32"/>
          <w:szCs w:val="32"/>
          <w:highlight w:val="none"/>
          <w:lang w:val="en-US" w:eastAsia="zh-CN" w:bidi="ar-SA"/>
        </w:rPr>
        <w:t>，被征收人选择货币补偿的，在签订搬迁补偿安置协议后按一次搬迁，一次性结清搬迁补助费；选择回迁安置或货币补偿和回迁安置相结合的，在签订搬迁补偿安置协议后按两次搬迁，一次性结清搬迁补助费。</w:t>
      </w:r>
    </w:p>
    <w:p>
      <w:pPr>
        <w:keepNext w:val="0"/>
        <w:keepLines w:val="0"/>
        <w:pageBreakBefore w:val="0"/>
        <w:widowControl w:val="0"/>
        <w:kinsoku/>
        <w:overflowPunct/>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（二）临时过渡安置费</w:t>
      </w:r>
    </w:p>
    <w:p>
      <w:pPr>
        <w:pStyle w:val="2"/>
        <w:keepNext w:val="0"/>
        <w:keepLines w:val="0"/>
        <w:pageBreakBefore w:val="0"/>
        <w:widowControl w:val="0"/>
        <w:kinsoku/>
        <w:overflowPunct/>
        <w:autoSpaceDE/>
        <w:autoSpaceDN/>
        <w:bidi w:val="0"/>
        <w:spacing w:after="0"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认定为1至6类安置对象被征收人选择货币补偿的，不予发放临时过渡费；选择回迁安置或货币补偿和回迁安置相结合的，回迁安置部分按每户每月租房补贴4000元、每人每月生活补贴500元的标准发放临时过渡安置费，由其自行过渡安置。</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临时过渡安置费发放期限从被征收人签订征收补偿安置协议并腾空房屋当月起至征收人发布交房公告交房之日后3个月止，以实际临时过渡期按整月计算时间发放临时过渡安置费。若临时过渡期超过18个月，先一次性发放18个月临时过渡安置费，期满后根据实际情况再发放。</w:t>
      </w:r>
    </w:p>
    <w:p>
      <w:pPr>
        <w:keepNext w:val="0"/>
        <w:keepLines w:val="0"/>
        <w:pageBreakBefore w:val="0"/>
        <w:widowControl w:val="0"/>
        <w:kinsoku/>
        <w:overflowPunct/>
        <w:autoSpaceDE/>
        <w:autoSpaceDN/>
        <w:bidi w:val="0"/>
        <w:adjustRightInd w:val="0"/>
        <w:snapToGrid w:val="0"/>
        <w:spacing w:line="578"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（三）积极配合搬迁奖励</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对符合安置条件的人员，积极配合进行清点、丈量和登记，在规定时间内签订房屋征收补偿安置协议，同时，在签订房屋征收补偿安置协议约定的时间内搬迁腾空房屋的被征收人给予搬迁奖励，具体奖励情况如下：</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1.被征收人在征地工作人员首次入户之日起45日内（含45日）签订房屋征收补偿安置协议并搬迁腾空房屋的，一次性给予人民币10万元/户的奖励。</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2.被征收人在征地工作人员首次入户之日起45日后至90日内（含90日）签订房屋征收补偿安置协议并搬迁腾空房屋的，一次性给予人民币5万元/户的奖励。</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3.被征收人在征地工作人员首次入户之日起超过90日签订房屋征收补偿安置协议和搬迁的，不给予任何货币奖励。</w:t>
      </w:r>
    </w:p>
    <w:p>
      <w:pPr>
        <w:pStyle w:val="2"/>
        <w:keepNext w:val="0"/>
        <w:keepLines w:val="0"/>
        <w:pageBreakBefore w:val="0"/>
        <w:widowControl w:val="0"/>
        <w:kinsoku/>
        <w:overflowPunct/>
        <w:autoSpaceDE/>
        <w:autoSpaceDN/>
        <w:bidi w:val="0"/>
        <w:spacing w:after="0" w:line="578" w:lineRule="exact"/>
        <w:ind w:firstLine="640" w:firstLineChars="200"/>
        <w:jc w:val="both"/>
        <w:textAlignment w:val="auto"/>
        <w:rPr>
          <w:rFonts w:hint="eastAsia" w:ascii="仿宋" w:hAnsi="仿宋" w:eastAsia="仿宋" w:cs="仿宋"/>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七、坟墓迁移补偿标准</w:t>
      </w:r>
    </w:p>
    <w:p>
      <w:pPr>
        <w:pStyle w:val="2"/>
        <w:keepNext w:val="0"/>
        <w:keepLines w:val="0"/>
        <w:pageBreakBefore w:val="0"/>
        <w:widowControl w:val="0"/>
        <w:kinsoku/>
        <w:overflowPunct/>
        <w:autoSpaceDE/>
        <w:autoSpaceDN/>
        <w:bidi w:val="0"/>
        <w:spacing w:after="0"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征收范围内坟墓迁移补偿按照如下标准执行：</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176"/>
        <w:gridCol w:w="3096"/>
        <w:gridCol w:w="856"/>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序号</w:t>
            </w:r>
          </w:p>
        </w:tc>
        <w:tc>
          <w:tcPr>
            <w:tcW w:w="117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类别</w:t>
            </w:r>
          </w:p>
        </w:tc>
        <w:tc>
          <w:tcPr>
            <w:tcW w:w="309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规格</w:t>
            </w:r>
          </w:p>
        </w:tc>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单位</w:t>
            </w:r>
          </w:p>
        </w:tc>
        <w:tc>
          <w:tcPr>
            <w:tcW w:w="24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标准补偿（元）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w:t>
            </w:r>
          </w:p>
        </w:tc>
        <w:tc>
          <w:tcPr>
            <w:tcW w:w="117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土坟</w:t>
            </w:r>
          </w:p>
        </w:tc>
        <w:tc>
          <w:tcPr>
            <w:tcW w:w="309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以棺位</w:t>
            </w:r>
          </w:p>
        </w:tc>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座</w:t>
            </w:r>
          </w:p>
        </w:tc>
        <w:tc>
          <w:tcPr>
            <w:tcW w:w="24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2</w:t>
            </w:r>
          </w:p>
        </w:tc>
        <w:tc>
          <w:tcPr>
            <w:tcW w:w="117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砖坟</w:t>
            </w:r>
          </w:p>
        </w:tc>
        <w:tc>
          <w:tcPr>
            <w:tcW w:w="309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以棺位，含装饰部分</w:t>
            </w:r>
          </w:p>
        </w:tc>
        <w:tc>
          <w:tcPr>
            <w:tcW w:w="856" w:type="dxa"/>
            <w:noWrap w:val="0"/>
            <w:vAlign w:val="center"/>
          </w:tcPr>
          <w:p>
            <w:pPr>
              <w:keepNext w:val="0"/>
              <w:keepLines w:val="0"/>
              <w:pageBreakBefore w:val="0"/>
              <w:widowControl w:val="0"/>
              <w:kinsoku/>
              <w:overflowPunct/>
              <w:autoSpaceDE/>
              <w:autoSpaceDN/>
              <w:bidi w:val="0"/>
              <w:spacing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座</w:t>
            </w:r>
          </w:p>
        </w:tc>
        <w:tc>
          <w:tcPr>
            <w:tcW w:w="24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w:t>
            </w:r>
          </w:p>
        </w:tc>
        <w:tc>
          <w:tcPr>
            <w:tcW w:w="117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特大坟</w:t>
            </w:r>
          </w:p>
        </w:tc>
        <w:tc>
          <w:tcPr>
            <w:tcW w:w="309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以棺位，含装饰部分</w:t>
            </w:r>
          </w:p>
        </w:tc>
        <w:tc>
          <w:tcPr>
            <w:tcW w:w="856" w:type="dxa"/>
            <w:noWrap w:val="0"/>
            <w:vAlign w:val="center"/>
          </w:tcPr>
          <w:p>
            <w:pPr>
              <w:keepNext w:val="0"/>
              <w:keepLines w:val="0"/>
              <w:pageBreakBefore w:val="0"/>
              <w:widowControl w:val="0"/>
              <w:kinsoku/>
              <w:overflowPunct/>
              <w:autoSpaceDE/>
              <w:autoSpaceDN/>
              <w:bidi w:val="0"/>
              <w:spacing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座</w:t>
            </w:r>
          </w:p>
        </w:tc>
        <w:tc>
          <w:tcPr>
            <w:tcW w:w="24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4</w:t>
            </w:r>
          </w:p>
        </w:tc>
        <w:tc>
          <w:tcPr>
            <w:tcW w:w="117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墓碑</w:t>
            </w:r>
          </w:p>
        </w:tc>
        <w:tc>
          <w:tcPr>
            <w:tcW w:w="309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石碑</w:t>
            </w:r>
          </w:p>
        </w:tc>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块</w:t>
            </w:r>
          </w:p>
        </w:tc>
        <w:tc>
          <w:tcPr>
            <w:tcW w:w="24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5</w:t>
            </w:r>
          </w:p>
        </w:tc>
        <w:tc>
          <w:tcPr>
            <w:tcW w:w="117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墓碑</w:t>
            </w:r>
          </w:p>
        </w:tc>
        <w:tc>
          <w:tcPr>
            <w:tcW w:w="309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水泥碑</w:t>
            </w:r>
          </w:p>
        </w:tc>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块</w:t>
            </w:r>
          </w:p>
        </w:tc>
        <w:tc>
          <w:tcPr>
            <w:tcW w:w="24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6</w:t>
            </w:r>
          </w:p>
        </w:tc>
        <w:tc>
          <w:tcPr>
            <w:tcW w:w="4272" w:type="dxa"/>
            <w:gridSpan w:val="2"/>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新坟三年以内另行</w:t>
            </w:r>
            <w:r>
              <w:rPr>
                <w:rFonts w:hint="eastAsia" w:ascii="仿宋_GB2312" w:hAnsi="仿宋_GB2312" w:cs="仿宋_GB2312"/>
                <w:color w:val="000000"/>
                <w:kern w:val="2"/>
                <w:sz w:val="32"/>
                <w:szCs w:val="32"/>
                <w:highlight w:val="none"/>
                <w:lang w:val="en-US" w:eastAsia="zh-CN" w:bidi="ar-SA"/>
              </w:rPr>
              <w:t>奖</w:t>
            </w:r>
            <w:r>
              <w:rPr>
                <w:rFonts w:hint="eastAsia" w:ascii="仿宋_GB2312" w:hAnsi="仿宋_GB2312" w:eastAsia="仿宋_GB2312" w:cs="仿宋_GB2312"/>
                <w:color w:val="000000"/>
                <w:kern w:val="2"/>
                <w:sz w:val="32"/>
                <w:szCs w:val="32"/>
                <w:highlight w:val="none"/>
                <w:lang w:val="en-US" w:eastAsia="zh-CN" w:bidi="ar-SA"/>
              </w:rPr>
              <w:t>励</w:t>
            </w:r>
          </w:p>
        </w:tc>
        <w:tc>
          <w:tcPr>
            <w:tcW w:w="8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座</w:t>
            </w:r>
          </w:p>
        </w:tc>
        <w:tc>
          <w:tcPr>
            <w:tcW w:w="2456" w:type="dxa"/>
            <w:noWrap w:val="0"/>
            <w:vAlign w:val="center"/>
          </w:tcPr>
          <w:p>
            <w:pPr>
              <w:pStyle w:val="2"/>
              <w:keepNext w:val="0"/>
              <w:keepLines w:val="0"/>
              <w:pageBreakBefore w:val="0"/>
              <w:widowControl w:val="0"/>
              <w:kinsoku/>
              <w:overflowPunct/>
              <w:autoSpaceDE/>
              <w:autoSpaceDN/>
              <w:bidi w:val="0"/>
              <w:spacing w:after="0" w:line="578" w:lineRule="exact"/>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3000</w:t>
            </w:r>
          </w:p>
        </w:tc>
      </w:tr>
    </w:tbl>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 w:hAnsi="仿宋" w:eastAsia="仿宋" w:cs="仿宋"/>
          <w:bCs/>
          <w:color w:val="000000"/>
          <w:sz w:val="32"/>
          <w:szCs w:val="32"/>
          <w:highlight w:val="none"/>
        </w:rPr>
      </w:pPr>
      <w:r>
        <w:rPr>
          <w:rFonts w:hint="eastAsia" w:ascii="黑体" w:hAnsi="黑体" w:eastAsia="黑体" w:cs="黑体"/>
          <w:b w:val="0"/>
          <w:bCs/>
          <w:color w:val="000000"/>
          <w:sz w:val="32"/>
          <w:szCs w:val="32"/>
          <w:highlight w:val="none"/>
          <w:lang w:val="en-US" w:eastAsia="zh-CN"/>
        </w:rPr>
        <w:t>八</w:t>
      </w:r>
      <w:r>
        <w:rPr>
          <w:rFonts w:hint="eastAsia" w:ascii="黑体" w:hAnsi="黑体" w:eastAsia="黑体" w:cs="黑体"/>
          <w:b w:val="0"/>
          <w:bCs/>
          <w:color w:val="000000"/>
          <w:sz w:val="32"/>
          <w:szCs w:val="32"/>
          <w:highlight w:val="none"/>
        </w:rPr>
        <w:t>、安置房</w:t>
      </w:r>
      <w:r>
        <w:rPr>
          <w:rFonts w:hint="eastAsia" w:ascii="黑体" w:hAnsi="黑体" w:eastAsia="黑体" w:cs="黑体"/>
          <w:b w:val="0"/>
          <w:bCs/>
          <w:color w:val="000000"/>
          <w:sz w:val="32"/>
          <w:szCs w:val="32"/>
          <w:highlight w:val="none"/>
          <w:lang w:val="en-US" w:eastAsia="zh-CN"/>
        </w:rPr>
        <w:t>的</w:t>
      </w:r>
      <w:r>
        <w:rPr>
          <w:rFonts w:hint="eastAsia" w:ascii="黑体" w:hAnsi="黑体" w:eastAsia="黑体" w:cs="黑体"/>
          <w:b w:val="0"/>
          <w:bCs/>
          <w:color w:val="000000"/>
          <w:sz w:val="32"/>
          <w:szCs w:val="32"/>
          <w:highlight w:val="none"/>
        </w:rPr>
        <w:t>建设</w:t>
      </w:r>
    </w:p>
    <w:p>
      <w:pPr>
        <w:keepNext w:val="0"/>
        <w:keepLines w:val="0"/>
        <w:pageBreakBefore w:val="0"/>
        <w:widowControl w:val="0"/>
        <w:kinsoku/>
        <w:wordWrap w:val="0"/>
        <w:overflowPunct/>
        <w:topLinePunct/>
        <w:autoSpaceDE/>
        <w:autoSpaceDN/>
        <w:bidi w:val="0"/>
        <w:adjustRightInd w:val="0"/>
        <w:snapToGrid w:val="0"/>
        <w:spacing w:line="578" w:lineRule="exact"/>
        <w:ind w:firstLine="0" w:firstLineChars="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仿宋" w:hAnsi="仿宋" w:eastAsia="仿宋" w:cs="仿宋"/>
          <w:color w:val="000000"/>
          <w:sz w:val="32"/>
          <w:szCs w:val="32"/>
          <w:highlight w:val="none"/>
          <w:lang w:eastAsia="zh-CN"/>
        </w:rPr>
        <w:t>　　</w:t>
      </w:r>
      <w:r>
        <w:rPr>
          <w:rFonts w:hint="eastAsia" w:ascii="楷体_GB2312" w:hAnsi="楷体_GB2312" w:eastAsia="楷体_GB2312" w:cs="楷体_GB2312"/>
          <w:color w:val="000000"/>
          <w:sz w:val="32"/>
          <w:szCs w:val="32"/>
          <w:highlight w:val="none"/>
          <w:lang w:val="en-US" w:eastAsia="zh-CN"/>
        </w:rPr>
        <w:t>（一）选址</w:t>
      </w:r>
    </w:p>
    <w:p>
      <w:pPr>
        <w:keepNext w:val="0"/>
        <w:keepLines w:val="0"/>
        <w:pageBreakBefore w:val="0"/>
        <w:widowControl w:val="0"/>
        <w:kinsoku/>
        <w:wordWrap w:val="0"/>
        <w:overflowPunct/>
        <w:topLinePunct/>
        <w:autoSpaceDE/>
        <w:autoSpaceDN/>
        <w:bidi w:val="0"/>
        <w:adjustRightInd w:val="0"/>
        <w:snapToGrid w:val="0"/>
        <w:spacing w:line="578"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 w:hAnsi="仿宋" w:eastAsia="仿宋" w:cs="仿宋"/>
          <w:color w:val="000000"/>
          <w:sz w:val="32"/>
          <w:szCs w:val="32"/>
          <w:highlight w:val="none"/>
          <w:lang w:eastAsia="zh-CN"/>
        </w:rPr>
        <w:t>　　</w:t>
      </w:r>
      <w:r>
        <w:rPr>
          <w:rFonts w:hint="eastAsia" w:ascii="仿宋_GB2312" w:hAnsi="仿宋_GB2312" w:eastAsia="仿宋_GB2312" w:cs="仿宋_GB2312"/>
          <w:color w:val="000000"/>
          <w:kern w:val="2"/>
          <w:sz w:val="32"/>
          <w:szCs w:val="32"/>
          <w:highlight w:val="none"/>
          <w:lang w:val="en-US" w:eastAsia="zh-CN" w:bidi="ar-SA"/>
        </w:rPr>
        <w:t>安置于城西安置区</w:t>
      </w:r>
    </w:p>
    <w:p>
      <w:pPr>
        <w:keepNext w:val="0"/>
        <w:keepLines w:val="0"/>
        <w:pageBreakBefore w:val="0"/>
        <w:widowControl w:val="0"/>
        <w:kinsoku/>
        <w:wordWrap w:val="0"/>
        <w:overflowPunct/>
        <w:topLinePunct/>
        <w:autoSpaceDE/>
        <w:autoSpaceDN/>
        <w:bidi w:val="0"/>
        <w:adjustRightInd w:val="0"/>
        <w:snapToGrid w:val="0"/>
        <w:spacing w:line="578" w:lineRule="exact"/>
        <w:ind w:firstLine="0" w:firstLineChars="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仿宋" w:hAnsi="仿宋" w:eastAsia="仿宋" w:cs="仿宋"/>
          <w:bCs/>
          <w:color w:val="000000"/>
          <w:sz w:val="32"/>
          <w:szCs w:val="32"/>
          <w:highlight w:val="none"/>
          <w:lang w:eastAsia="zh-CN"/>
        </w:rPr>
        <w:t>　　</w:t>
      </w:r>
      <w:r>
        <w:rPr>
          <w:rFonts w:hint="eastAsia" w:ascii="楷体_GB2312" w:hAnsi="楷体_GB2312" w:eastAsia="楷体_GB2312" w:cs="楷体_GB2312"/>
          <w:color w:val="000000"/>
          <w:sz w:val="32"/>
          <w:szCs w:val="32"/>
          <w:highlight w:val="none"/>
          <w:lang w:val="en-US" w:eastAsia="zh-CN"/>
        </w:rPr>
        <w:t>（二）建设标准</w:t>
      </w:r>
    </w:p>
    <w:p>
      <w:pPr>
        <w:keepNext w:val="0"/>
        <w:keepLines w:val="0"/>
        <w:pageBreakBefore w:val="0"/>
        <w:widowControl w:val="0"/>
        <w:kinsoku/>
        <w:wordWrap w:val="0"/>
        <w:overflowPunct/>
        <w:topLinePunct/>
        <w:autoSpaceDE/>
        <w:autoSpaceDN/>
        <w:bidi w:val="0"/>
        <w:adjustRightInd w:val="0"/>
        <w:snapToGrid w:val="0"/>
        <w:spacing w:line="578"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 w:hAnsi="仿宋" w:eastAsia="仿宋" w:cs="仿宋"/>
          <w:color w:val="000000"/>
          <w:sz w:val="32"/>
          <w:szCs w:val="32"/>
          <w:highlight w:val="none"/>
          <w:lang w:val="en-US" w:eastAsia="zh-CN"/>
        </w:rPr>
        <w:t>　</w:t>
      </w:r>
      <w:r>
        <w:rPr>
          <w:rFonts w:hint="eastAsia" w:ascii="仿宋_GB2312" w:hAnsi="仿宋_GB2312" w:eastAsia="仿宋_GB2312" w:cs="仿宋_GB2312"/>
          <w:color w:val="000000"/>
          <w:kern w:val="2"/>
          <w:sz w:val="32"/>
          <w:szCs w:val="32"/>
          <w:highlight w:val="none"/>
          <w:lang w:val="en-US" w:eastAsia="zh-CN" w:bidi="ar-SA"/>
        </w:rPr>
        <w:t>　安置房建设遵循统一规划、统一设计、统一建设原则，按照规划部门批准的安置房建设方案进行建设。</w:t>
      </w:r>
    </w:p>
    <w:p>
      <w:pPr>
        <w:keepNext w:val="0"/>
        <w:keepLines w:val="0"/>
        <w:pageBreakBefore w:val="0"/>
        <w:widowControl w:val="0"/>
        <w:kinsoku/>
        <w:wordWrap w:val="0"/>
        <w:overflowPunct/>
        <w:topLinePunct/>
        <w:autoSpaceDE/>
        <w:autoSpaceDN/>
        <w:bidi w:val="0"/>
        <w:adjustRightInd w:val="0"/>
        <w:snapToGrid w:val="0"/>
        <w:spacing w:line="578" w:lineRule="exact"/>
        <w:ind w:firstLine="0" w:firstLineChars="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仿宋" w:hAnsi="仿宋" w:eastAsia="仿宋" w:cs="仿宋"/>
          <w:bCs/>
          <w:color w:val="000000"/>
          <w:sz w:val="32"/>
          <w:szCs w:val="32"/>
          <w:highlight w:val="none"/>
          <w:lang w:eastAsia="zh-CN"/>
        </w:rPr>
        <w:t>　　</w:t>
      </w:r>
      <w:r>
        <w:rPr>
          <w:rFonts w:hint="eastAsia" w:ascii="楷体_GB2312" w:hAnsi="楷体_GB2312" w:eastAsia="楷体_GB2312" w:cs="楷体_GB2312"/>
          <w:color w:val="000000"/>
          <w:sz w:val="32"/>
          <w:szCs w:val="32"/>
          <w:highlight w:val="none"/>
          <w:lang w:val="en-US" w:eastAsia="zh-CN"/>
        </w:rPr>
        <w:t>（三）安置房建设监管</w:t>
      </w:r>
    </w:p>
    <w:p>
      <w:pPr>
        <w:pStyle w:val="2"/>
        <w:keepNext w:val="0"/>
        <w:keepLines w:val="0"/>
        <w:pageBreakBefore w:val="0"/>
        <w:widowControl w:val="0"/>
        <w:kinsoku/>
        <w:overflowPunct/>
        <w:autoSpaceDE/>
        <w:autoSpaceDN/>
        <w:bidi w:val="0"/>
        <w:spacing w:after="0" w:line="578" w:lineRule="exact"/>
        <w:ind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w:t>
      </w:r>
      <w:r>
        <w:rPr>
          <w:rFonts w:hint="eastAsia" w:ascii="仿宋_GB2312" w:hAnsi="仿宋_GB2312" w:eastAsia="仿宋_GB2312" w:cs="仿宋_GB2312"/>
          <w:color w:val="000000"/>
          <w:kern w:val="2"/>
          <w:sz w:val="32"/>
          <w:szCs w:val="32"/>
          <w:highlight w:val="none"/>
          <w:lang w:val="en-US" w:eastAsia="zh-CN" w:bidi="ar-SA"/>
        </w:rPr>
        <w:t>　为保障安置房的建设质量和进度，安置房项目业主单位定期组织被征</w:t>
      </w:r>
      <w:r>
        <w:rPr>
          <w:rFonts w:hint="eastAsia" w:ascii="仿宋_GB2312" w:hAnsi="仿宋_GB2312" w:cs="仿宋_GB2312"/>
          <w:color w:val="000000"/>
          <w:kern w:val="2"/>
          <w:sz w:val="32"/>
          <w:szCs w:val="32"/>
          <w:highlight w:val="none"/>
          <w:lang w:val="en-US" w:eastAsia="zh-CN" w:bidi="ar-SA"/>
        </w:rPr>
        <w:t>收</w:t>
      </w:r>
      <w:r>
        <w:rPr>
          <w:rFonts w:hint="eastAsia" w:ascii="仿宋_GB2312" w:hAnsi="仿宋_GB2312" w:eastAsia="仿宋_GB2312" w:cs="仿宋_GB2312"/>
          <w:color w:val="000000"/>
          <w:kern w:val="2"/>
          <w:sz w:val="32"/>
          <w:szCs w:val="32"/>
          <w:highlight w:val="none"/>
          <w:lang w:val="en-US" w:eastAsia="zh-CN" w:bidi="ar-SA"/>
        </w:rPr>
        <w:t>人代表到施工现场进行检查监督。</w:t>
      </w:r>
    </w:p>
    <w:p>
      <w:pPr>
        <w:keepNext w:val="0"/>
        <w:keepLines w:val="0"/>
        <w:pageBreakBefore w:val="0"/>
        <w:widowControl w:val="0"/>
        <w:kinsoku/>
        <w:wordWrap w:val="0"/>
        <w:overflowPunct/>
        <w:topLinePunct/>
        <w:autoSpaceDE/>
        <w:autoSpaceDN/>
        <w:bidi w:val="0"/>
        <w:adjustRightInd w:val="0"/>
        <w:snapToGrid w:val="0"/>
        <w:spacing w:line="578" w:lineRule="exact"/>
        <w:ind w:firstLine="0" w:firstLineChars="0"/>
        <w:jc w:val="both"/>
        <w:textAlignment w:val="auto"/>
        <w:rPr>
          <w:rFonts w:hint="eastAsia" w:ascii="楷体_GB2312" w:hAnsi="楷体_GB2312" w:eastAsia="楷体_GB2312" w:cs="楷体_GB2312"/>
          <w:color w:val="000000"/>
          <w:sz w:val="32"/>
          <w:szCs w:val="32"/>
          <w:highlight w:val="none"/>
          <w:lang w:val="en-US" w:eastAsia="zh-CN"/>
        </w:rPr>
      </w:pPr>
      <w:r>
        <w:rPr>
          <w:rFonts w:hint="eastAsia" w:ascii="仿宋" w:hAnsi="仿宋" w:eastAsia="仿宋" w:cs="仿宋"/>
          <w:bCs/>
          <w:color w:val="000000"/>
          <w:sz w:val="32"/>
          <w:szCs w:val="32"/>
          <w:highlight w:val="none"/>
          <w:lang w:eastAsia="zh-CN"/>
        </w:rPr>
        <w:t>　　</w:t>
      </w:r>
      <w:r>
        <w:rPr>
          <w:rFonts w:hint="eastAsia" w:ascii="楷体_GB2312" w:hAnsi="楷体_GB2312" w:eastAsia="楷体_GB2312" w:cs="楷体_GB2312"/>
          <w:color w:val="000000"/>
          <w:sz w:val="32"/>
          <w:szCs w:val="32"/>
          <w:highlight w:val="none"/>
          <w:lang w:val="en-US" w:eastAsia="zh-CN"/>
        </w:rPr>
        <w:t>（四）安置房的分配</w:t>
      </w:r>
    </w:p>
    <w:p>
      <w:pPr>
        <w:keepNext w:val="0"/>
        <w:keepLines w:val="0"/>
        <w:pageBreakBefore w:val="0"/>
        <w:widowControl w:val="0"/>
        <w:kinsoku/>
        <w:wordWrap w:val="0"/>
        <w:overflowPunct/>
        <w:topLinePunct/>
        <w:autoSpaceDE/>
        <w:autoSpaceDN/>
        <w:bidi w:val="0"/>
        <w:adjustRightInd w:val="0"/>
        <w:snapToGrid w:val="0"/>
        <w:spacing w:line="578"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 w:hAnsi="仿宋" w:eastAsia="仿宋" w:cs="仿宋"/>
          <w:color w:val="000000"/>
          <w:sz w:val="32"/>
          <w:szCs w:val="32"/>
          <w:highlight w:val="none"/>
          <w:lang w:val="en-US" w:eastAsia="zh-CN"/>
        </w:rPr>
        <w:t>　</w:t>
      </w:r>
      <w:r>
        <w:rPr>
          <w:rFonts w:hint="eastAsia" w:ascii="仿宋_GB2312" w:hAnsi="仿宋_GB2312" w:eastAsia="仿宋_GB2312" w:cs="仿宋_GB2312"/>
          <w:color w:val="000000"/>
          <w:kern w:val="2"/>
          <w:sz w:val="32"/>
          <w:szCs w:val="32"/>
          <w:highlight w:val="none"/>
          <w:lang w:val="en-US" w:eastAsia="zh-CN" w:bidi="ar-SA"/>
        </w:rPr>
        <w:t>　由崖州区人民政府、相关村社区（居）主导进行，按照被征收人签订征收补偿安置协议时间的先后顺序，优先选择安置房（包括安置房朝向、楼层、户型和房号等），同一日签订协议的，以抽签方式确认选房顺序。</w:t>
      </w:r>
    </w:p>
    <w:p>
      <w:pPr>
        <w:pStyle w:val="2"/>
        <w:keepNext w:val="0"/>
        <w:keepLines w:val="0"/>
        <w:pageBreakBefore w:val="0"/>
        <w:widowControl w:val="0"/>
        <w:numPr>
          <w:ilvl w:val="0"/>
          <w:numId w:val="0"/>
        </w:numPr>
        <w:kinsoku/>
        <w:overflowPunct/>
        <w:autoSpaceDE/>
        <w:autoSpaceDN/>
        <w:bidi w:val="0"/>
        <w:spacing w:after="0" w:line="578" w:lineRule="exact"/>
        <w:ind w:firstLine="640" w:firstLineChars="200"/>
        <w:jc w:val="both"/>
        <w:textAlignment w:val="auto"/>
        <w:rPr>
          <w:rFonts w:hint="eastAsia" w:ascii="楷体_GB2312" w:hAnsi="楷体_GB2312" w:eastAsia="楷体_GB2312" w:cs="楷体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（五）安置房办证费用</w:t>
      </w:r>
    </w:p>
    <w:p>
      <w:pPr>
        <w:pStyle w:val="2"/>
        <w:keepNext w:val="0"/>
        <w:keepLines w:val="0"/>
        <w:pageBreakBefore w:val="0"/>
        <w:widowControl w:val="0"/>
        <w:numPr>
          <w:ilvl w:val="0"/>
          <w:numId w:val="0"/>
        </w:numPr>
        <w:kinsoku/>
        <w:overflowPunct/>
        <w:autoSpaceDE/>
        <w:autoSpaceDN/>
        <w:bidi w:val="0"/>
        <w:spacing w:after="0" w:line="578"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 w:hAnsi="仿宋" w:eastAsia="仿宋" w:cs="仿宋"/>
          <w:color w:val="000000"/>
          <w:sz w:val="32"/>
          <w:szCs w:val="32"/>
          <w:highlight w:val="none"/>
          <w:lang w:eastAsia="zh-CN"/>
        </w:rPr>
        <w:t>　</w:t>
      </w:r>
      <w:r>
        <w:rPr>
          <w:rFonts w:hint="eastAsia" w:ascii="仿宋_GB2312" w:hAnsi="仿宋_GB2312" w:eastAsia="仿宋_GB2312" w:cs="仿宋_GB2312"/>
          <w:color w:val="000000"/>
          <w:kern w:val="2"/>
          <w:sz w:val="32"/>
          <w:szCs w:val="32"/>
          <w:highlight w:val="none"/>
          <w:lang w:val="en-US" w:eastAsia="zh-CN" w:bidi="ar-SA"/>
        </w:rPr>
        <w:t>　被征收的房屋已依法取得房产证（或不动产权证）的，换发安置房不动产权证所需费用由征收人承担，超出原产权证权属面积部分对应的相关费用由被征收人承担。被征收的房屋未依法取得房产证（或不动产权证）的，征收人协助被征收人办理不动产权证，换发安置房不动产权证所需费用由被征收人承担。换发安置房不动产权证时，安置房屋维修资金由被征收人承担。</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 w:hAnsi="仿宋" w:eastAsia="仿宋" w:cs="仿宋"/>
          <w:bCs/>
          <w:color w:val="000000"/>
          <w:sz w:val="32"/>
          <w:szCs w:val="32"/>
          <w:highlight w:val="none"/>
        </w:rPr>
      </w:pPr>
      <w:r>
        <w:rPr>
          <w:rFonts w:hint="eastAsia" w:ascii="黑体" w:hAnsi="黑体" w:eastAsia="黑体" w:cs="黑体"/>
          <w:b w:val="0"/>
          <w:bCs/>
          <w:color w:val="000000"/>
          <w:sz w:val="32"/>
          <w:szCs w:val="32"/>
          <w:highlight w:val="none"/>
          <w:lang w:val="en-US" w:eastAsia="zh-CN"/>
        </w:rPr>
        <w:t>九</w:t>
      </w:r>
      <w:r>
        <w:rPr>
          <w:rFonts w:hint="eastAsia" w:ascii="黑体" w:hAnsi="黑体" w:eastAsia="黑体" w:cs="黑体"/>
          <w:b w:val="0"/>
          <w:bCs/>
          <w:color w:val="000000"/>
          <w:sz w:val="32"/>
          <w:szCs w:val="32"/>
          <w:highlight w:val="none"/>
        </w:rPr>
        <w:t>、保障措施</w:t>
      </w:r>
    </w:p>
    <w:p>
      <w:pPr>
        <w:keepNext w:val="0"/>
        <w:keepLines w:val="0"/>
        <w:pageBreakBefore w:val="0"/>
        <w:widowControl w:val="0"/>
        <w:kinsoku/>
        <w:wordWrap w:val="0"/>
        <w:overflowPunct/>
        <w:topLinePunct/>
        <w:autoSpaceDE/>
        <w:autoSpaceDN/>
        <w:bidi w:val="0"/>
        <w:adjustRightInd w:val="0"/>
        <w:snapToGrid w:val="0"/>
        <w:spacing w:line="578"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 w:hAnsi="仿宋" w:eastAsia="仿宋" w:cs="仿宋"/>
          <w:color w:val="000000"/>
          <w:sz w:val="32"/>
          <w:szCs w:val="32"/>
          <w:highlight w:val="none"/>
          <w:lang w:eastAsia="zh-CN"/>
        </w:rPr>
        <w:t>　　</w:t>
      </w:r>
      <w:r>
        <w:rPr>
          <w:rFonts w:hint="eastAsia" w:ascii="楷体_GB2312" w:hAnsi="楷体_GB2312" w:eastAsia="楷体_GB2312" w:cs="楷体_GB2312"/>
          <w:color w:val="000000"/>
          <w:kern w:val="2"/>
          <w:sz w:val="32"/>
          <w:szCs w:val="32"/>
          <w:highlight w:val="none"/>
          <w:lang w:val="en-US" w:eastAsia="zh-CN" w:bidi="ar-SA"/>
        </w:rPr>
        <w:t>（一）</w:t>
      </w:r>
      <w:r>
        <w:rPr>
          <w:rFonts w:hint="eastAsia" w:ascii="仿宋_GB2312" w:hAnsi="仿宋_GB2312" w:eastAsia="仿宋_GB2312" w:cs="仿宋_GB2312"/>
          <w:color w:val="000000"/>
          <w:kern w:val="2"/>
          <w:sz w:val="32"/>
          <w:szCs w:val="32"/>
          <w:highlight w:val="none"/>
          <w:lang w:val="en-US" w:eastAsia="zh-CN" w:bidi="ar-SA"/>
        </w:rPr>
        <w:t>征收人与被征收人在签约期限内达不成补偿协议，或者被征收房屋所有权人不明确的，由征收实施单位报崖州区人民政府作出补偿决定，依法送达被征收人并予以公告。</w:t>
      </w:r>
    </w:p>
    <w:p>
      <w:pPr>
        <w:keepNext w:val="0"/>
        <w:keepLines w:val="0"/>
        <w:pageBreakBefore w:val="0"/>
        <w:widowControl w:val="0"/>
        <w:kinsoku/>
        <w:wordWrap w:val="0"/>
        <w:overflowPunct/>
        <w:topLinePunct/>
        <w:autoSpaceDE/>
        <w:autoSpaceDN/>
        <w:bidi w:val="0"/>
        <w:adjustRightInd w:val="0"/>
        <w:snapToGrid w:val="0"/>
        <w:spacing w:line="578"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w:t>
      </w:r>
      <w:r>
        <w:rPr>
          <w:rFonts w:hint="eastAsia" w:ascii="楷体_GB2312" w:hAnsi="楷体_GB2312" w:eastAsia="楷体_GB2312" w:cs="楷体_GB2312"/>
          <w:color w:val="000000"/>
          <w:kern w:val="2"/>
          <w:sz w:val="32"/>
          <w:szCs w:val="32"/>
          <w:highlight w:val="none"/>
          <w:lang w:val="en-US" w:eastAsia="zh-CN" w:bidi="ar-SA"/>
        </w:rPr>
        <w:t>（二）</w:t>
      </w:r>
      <w:r>
        <w:rPr>
          <w:rFonts w:hint="eastAsia" w:ascii="仿宋_GB2312" w:hAnsi="仿宋_GB2312" w:eastAsia="仿宋_GB2312" w:cs="仿宋_GB2312"/>
          <w:color w:val="000000"/>
          <w:kern w:val="2"/>
          <w:sz w:val="32"/>
          <w:szCs w:val="32"/>
          <w:highlight w:val="none"/>
          <w:lang w:val="en-US" w:eastAsia="zh-CN" w:bidi="ar-SA"/>
        </w:rPr>
        <w:t>被征收人在法定期限内不申请行政复议或者不提起行政诉讼，在补偿决定规定的期限内又不搬迁的，由作出房屋征收决定的区人民政府依法申请人民法院强制执行。</w:t>
      </w:r>
    </w:p>
    <w:p>
      <w:pPr>
        <w:keepNext w:val="0"/>
        <w:keepLines w:val="0"/>
        <w:pageBreakBefore w:val="0"/>
        <w:widowControl w:val="0"/>
        <w:kinsoku/>
        <w:wordWrap/>
        <w:overflowPunct/>
        <w:topLinePunct/>
        <w:autoSpaceDE/>
        <w:autoSpaceDN/>
        <w:bidi w:val="0"/>
        <w:adjustRightInd w:val="0"/>
        <w:snapToGrid w:val="0"/>
        <w:spacing w:line="578" w:lineRule="exact"/>
        <w:ind w:firstLine="64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（三）</w:t>
      </w:r>
      <w:r>
        <w:rPr>
          <w:rFonts w:hint="eastAsia" w:ascii="仿宋_GB2312" w:hAnsi="仿宋_GB2312" w:eastAsia="仿宋_GB2312" w:cs="仿宋_GB2312"/>
          <w:color w:val="000000"/>
          <w:kern w:val="2"/>
          <w:sz w:val="32"/>
          <w:szCs w:val="32"/>
          <w:highlight w:val="none"/>
          <w:lang w:val="en-US" w:eastAsia="zh-CN" w:bidi="ar-SA"/>
        </w:rPr>
        <w:t>在规定时间内签订房屋征收补偿安置协议的，不给予搬迁奖励和补贴。</w:t>
      </w:r>
    </w:p>
    <w:p>
      <w:pPr>
        <w:keepNext w:val="0"/>
        <w:keepLines w:val="0"/>
        <w:pageBreakBefore w:val="0"/>
        <w:widowControl w:val="0"/>
        <w:kinsoku/>
        <w:wordWrap/>
        <w:overflowPunct/>
        <w:topLinePunct/>
        <w:autoSpaceDE/>
        <w:autoSpaceDN/>
        <w:bidi w:val="0"/>
        <w:adjustRightInd w:val="0"/>
        <w:snapToGrid w:val="0"/>
        <w:spacing w:line="578" w:lineRule="exact"/>
        <w:ind w:firstLine="64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（四）</w:t>
      </w:r>
      <w:r>
        <w:rPr>
          <w:rFonts w:hint="eastAsia" w:ascii="仿宋_GB2312" w:hAnsi="仿宋_GB2312" w:eastAsia="仿宋_GB2312" w:cs="仿宋_GB2312"/>
          <w:color w:val="000000"/>
          <w:kern w:val="2"/>
          <w:sz w:val="32"/>
          <w:szCs w:val="32"/>
          <w:highlight w:val="none"/>
          <w:lang w:val="en-US" w:eastAsia="zh-CN" w:bidi="ar-SA"/>
        </w:rPr>
        <w:t>本方案发布后，不得在征收范围内实施扩建、改建房屋和改变房屋用途等不当增加补偿费用的行为；已超期的临时建筑或因抢建等被崖州区人民政府认定为违建的房屋及房屋部分不予补偿，执法部门对征收范围内的抢建、抢种及违法建筑依法予以打击。</w:t>
      </w:r>
    </w:p>
    <w:p>
      <w:pPr>
        <w:keepNext w:val="0"/>
        <w:keepLines w:val="0"/>
        <w:pageBreakBefore w:val="0"/>
        <w:widowControl w:val="0"/>
        <w:kinsoku/>
        <w:wordWrap/>
        <w:overflowPunct/>
        <w:topLinePunct/>
        <w:autoSpaceDE/>
        <w:autoSpaceDN/>
        <w:bidi w:val="0"/>
        <w:adjustRightInd w:val="0"/>
        <w:snapToGrid w:val="0"/>
        <w:spacing w:line="578"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w:t>
      </w:r>
      <w:r>
        <w:rPr>
          <w:rFonts w:hint="eastAsia" w:ascii="楷体_GB2312" w:hAnsi="楷体_GB2312" w:eastAsia="楷体_GB2312" w:cs="楷体_GB2312"/>
          <w:color w:val="000000"/>
          <w:kern w:val="2"/>
          <w:sz w:val="32"/>
          <w:szCs w:val="32"/>
          <w:highlight w:val="none"/>
          <w:lang w:val="en-US" w:eastAsia="zh-CN" w:bidi="ar-SA"/>
        </w:rPr>
        <w:t>（五）</w:t>
      </w:r>
      <w:r>
        <w:rPr>
          <w:rFonts w:hint="eastAsia" w:ascii="仿宋_GB2312" w:hAnsi="仿宋_GB2312" w:eastAsia="仿宋_GB2312" w:cs="仿宋_GB2312"/>
          <w:color w:val="000000"/>
          <w:kern w:val="2"/>
          <w:sz w:val="32"/>
          <w:szCs w:val="32"/>
          <w:highlight w:val="none"/>
          <w:lang w:val="en-US" w:eastAsia="zh-CN" w:bidi="ar-SA"/>
        </w:rPr>
        <w:t>崖州区人民政府采取集中建设高层公寓住宅的方式提供安置房。</w:t>
      </w:r>
    </w:p>
    <w:p>
      <w:pPr>
        <w:pStyle w:val="2"/>
        <w:keepNext w:val="0"/>
        <w:keepLines w:val="0"/>
        <w:pageBreakBefore w:val="0"/>
        <w:widowControl w:val="0"/>
        <w:kinsoku/>
        <w:overflowPunct/>
        <w:autoSpaceDE/>
        <w:autoSpaceDN/>
        <w:bidi w:val="0"/>
        <w:spacing w:after="0" w:line="578"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w:t>
      </w:r>
      <w:r>
        <w:rPr>
          <w:rFonts w:hint="eastAsia" w:ascii="楷体_GB2312" w:hAnsi="楷体_GB2312" w:eastAsia="楷体_GB2312" w:cs="楷体_GB2312"/>
          <w:color w:val="000000"/>
          <w:kern w:val="2"/>
          <w:sz w:val="32"/>
          <w:szCs w:val="32"/>
          <w:highlight w:val="none"/>
          <w:lang w:val="en-US" w:eastAsia="zh-CN" w:bidi="ar-SA"/>
        </w:rPr>
        <w:t>（六）</w:t>
      </w:r>
      <w:r>
        <w:rPr>
          <w:rFonts w:hint="eastAsia" w:ascii="仿宋_GB2312" w:hAnsi="仿宋_GB2312" w:eastAsia="仿宋_GB2312" w:cs="仿宋_GB2312"/>
          <w:color w:val="000000"/>
          <w:kern w:val="2"/>
          <w:sz w:val="32"/>
          <w:szCs w:val="32"/>
          <w:highlight w:val="none"/>
          <w:lang w:val="en-US" w:eastAsia="zh-CN" w:bidi="ar-SA"/>
        </w:rPr>
        <w:t>参与征收补偿、安置相关工作人员，须严格执行有关法律、法规、政策和本方案的规定，接受社会监督。对玩忽职守，滥用职权、徇私舞弊的，由其所在单位或上级主管机关给予处分。构成犯罪的，由司法机关依法追究刑事责任。</w:t>
      </w:r>
    </w:p>
    <w:p>
      <w:pPr>
        <w:pStyle w:val="2"/>
        <w:keepNext w:val="0"/>
        <w:keepLines w:val="0"/>
        <w:pageBreakBefore w:val="0"/>
        <w:widowControl w:val="0"/>
        <w:kinsoku/>
        <w:overflowPunct/>
        <w:autoSpaceDE/>
        <w:autoSpaceDN/>
        <w:bidi w:val="0"/>
        <w:spacing w:after="0" w:line="578"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w:t>
      </w:r>
      <w:r>
        <w:rPr>
          <w:rFonts w:hint="eastAsia" w:ascii="楷体_GB2312" w:hAnsi="楷体_GB2312" w:eastAsia="楷体_GB2312" w:cs="楷体_GB2312"/>
          <w:color w:val="000000"/>
          <w:kern w:val="2"/>
          <w:sz w:val="32"/>
          <w:szCs w:val="32"/>
          <w:highlight w:val="none"/>
          <w:lang w:val="en-US" w:eastAsia="zh-CN" w:bidi="ar-SA"/>
        </w:rPr>
        <w:t>（七）</w:t>
      </w:r>
      <w:r>
        <w:rPr>
          <w:rFonts w:hint="eastAsia" w:ascii="仿宋_GB2312" w:hAnsi="仿宋_GB2312" w:eastAsia="仿宋_GB2312" w:cs="仿宋_GB2312"/>
          <w:color w:val="000000"/>
          <w:kern w:val="2"/>
          <w:sz w:val="32"/>
          <w:szCs w:val="32"/>
          <w:highlight w:val="none"/>
          <w:lang w:val="en-US" w:eastAsia="zh-CN" w:bidi="ar-SA"/>
        </w:rPr>
        <w:t>对影响征收补偿、安置正常工作秩序，采取干扰、围攻、殴打等方式阻碍工作人员执行公务的，由公安机关依照《中华人民共和国治安管理处罚法》进行处罚。构成犯罪的，由司法机关依法追究刑事责任。</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 w:hAnsi="仿宋" w:eastAsia="仿宋" w:cs="仿宋"/>
          <w:bCs/>
          <w:color w:val="000000"/>
          <w:sz w:val="32"/>
          <w:szCs w:val="32"/>
          <w:highlight w:val="none"/>
        </w:rPr>
      </w:pPr>
      <w:r>
        <w:rPr>
          <w:rFonts w:hint="eastAsia" w:ascii="黑体" w:hAnsi="黑体" w:eastAsia="黑体" w:cs="黑体"/>
          <w:b w:val="0"/>
          <w:bCs/>
          <w:color w:val="000000"/>
          <w:sz w:val="32"/>
          <w:szCs w:val="32"/>
          <w:highlight w:val="none"/>
          <w:lang w:val="en-US" w:eastAsia="zh-CN"/>
        </w:rPr>
        <w:t>十</w:t>
      </w:r>
      <w:r>
        <w:rPr>
          <w:rFonts w:hint="eastAsia" w:ascii="黑体" w:hAnsi="黑体" w:eastAsia="黑体" w:cs="黑体"/>
          <w:b w:val="0"/>
          <w:bCs/>
          <w:color w:val="000000"/>
          <w:sz w:val="32"/>
          <w:szCs w:val="32"/>
          <w:highlight w:val="none"/>
        </w:rPr>
        <w:t>、其他事项</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（一）</w:t>
      </w:r>
      <w:r>
        <w:rPr>
          <w:rFonts w:hint="eastAsia" w:ascii="仿宋_GB2312" w:hAnsi="仿宋_GB2312" w:eastAsia="仿宋_GB2312" w:cs="仿宋_GB2312"/>
          <w:color w:val="000000"/>
          <w:kern w:val="2"/>
          <w:sz w:val="32"/>
          <w:szCs w:val="32"/>
          <w:highlight w:val="none"/>
          <w:lang w:val="en-US" w:eastAsia="zh-CN" w:bidi="ar-SA"/>
        </w:rPr>
        <w:t>关于新生儿安置资格的说明：1、在本方案发布之日前怀孕，并在本方案发布之后10个月内出生的婴儿，经核实后按不同人员类型的相关补偿标准分别执行。其中，对于在签约时已经出生的婴儿，在补偿时按照其父母的补偿类型及标准执行；在父母签约后出生的婴儿，在其出生后，按照其父母的补偿类型及标准进行补偿。2、在本方案发布之日后怀孕出生的婴儿，不再认定为安置对象。</w:t>
      </w:r>
    </w:p>
    <w:p>
      <w:pPr>
        <w:keepNext w:val="0"/>
        <w:keepLines w:val="0"/>
        <w:pageBreakBefore w:val="0"/>
        <w:widowControl w:val="0"/>
        <w:numPr>
          <w:ilvl w:val="0"/>
          <w:numId w:val="0"/>
        </w:numPr>
        <w:kinsoku/>
        <w:wordWrap w:val="0"/>
        <w:overflowPunct/>
        <w:topLinePunct/>
        <w:autoSpaceDE/>
        <w:autoSpaceDN/>
        <w:bidi w:val="0"/>
        <w:adjustRightInd w:val="0"/>
        <w:snapToGrid w:val="0"/>
        <w:spacing w:line="578" w:lineRule="exact"/>
        <w:ind w:firstLine="64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（二）</w:t>
      </w:r>
      <w:r>
        <w:rPr>
          <w:rFonts w:hint="eastAsia" w:ascii="仿宋_GB2312" w:hAnsi="仿宋_GB2312" w:eastAsia="仿宋_GB2312" w:cs="仿宋_GB2312"/>
          <w:color w:val="000000"/>
          <w:kern w:val="2"/>
          <w:sz w:val="32"/>
          <w:szCs w:val="32"/>
          <w:highlight w:val="none"/>
          <w:lang w:val="en-US" w:eastAsia="zh-CN" w:bidi="ar-SA"/>
        </w:rPr>
        <w:t>安置户的户数，以签订《征地拆迁补偿安置协议书》时确定的户数为准；安置搬迁户的人口，以签订《征地拆迁补偿安置协议书》时确认的人口为准。安置协议签订后减人不减少安置房的面积。</w:t>
      </w:r>
    </w:p>
    <w:p>
      <w:pPr>
        <w:keepNext w:val="0"/>
        <w:keepLines w:val="0"/>
        <w:pageBreakBefore w:val="0"/>
        <w:widowControl w:val="0"/>
        <w:numPr>
          <w:ilvl w:val="0"/>
          <w:numId w:val="0"/>
        </w:numPr>
        <w:kinsoku/>
        <w:wordWrap w:val="0"/>
        <w:overflowPunct/>
        <w:topLinePunct/>
        <w:autoSpaceDE/>
        <w:autoSpaceDN/>
        <w:bidi w:val="0"/>
        <w:adjustRightInd w:val="0"/>
        <w:snapToGrid w:val="0"/>
        <w:spacing w:line="578" w:lineRule="exact"/>
        <w:ind w:firstLine="64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（三）</w:t>
      </w:r>
      <w:r>
        <w:rPr>
          <w:rFonts w:hint="eastAsia" w:ascii="仿宋_GB2312" w:hAnsi="仿宋_GB2312" w:eastAsia="仿宋_GB2312" w:cs="仿宋_GB2312"/>
          <w:color w:val="000000"/>
          <w:kern w:val="2"/>
          <w:sz w:val="32"/>
          <w:szCs w:val="32"/>
          <w:highlight w:val="none"/>
          <w:lang w:val="en-US" w:eastAsia="zh-CN" w:bidi="ar-SA"/>
        </w:rPr>
        <w:t>本方案发布前，自行将项目征收范围内G225国道临街两侧房屋的第一层（框架、混合、砖木结构）改为商业性用房的，如已持有工商营业执照并正在经营中，且积极配合房屋征收并腾空房屋的，房屋第一层建筑面积在100㎡（含100㎡）以内按</w:t>
      </w:r>
      <w:r>
        <w:rPr>
          <w:rFonts w:hint="eastAsia" w:ascii="仿宋_GB2312" w:hAnsi="仿宋_GB2312" w:cs="仿宋_GB2312"/>
          <w:color w:val="000000"/>
          <w:kern w:val="2"/>
          <w:sz w:val="32"/>
          <w:szCs w:val="32"/>
          <w:highlight w:val="none"/>
          <w:lang w:val="en-US" w:eastAsia="zh-CN" w:bidi="ar-SA"/>
        </w:rPr>
        <w:t>20</w:t>
      </w:r>
      <w:r>
        <w:rPr>
          <w:rFonts w:hint="eastAsia" w:ascii="仿宋_GB2312" w:hAnsi="仿宋_GB2312" w:eastAsia="仿宋_GB2312" w:cs="仿宋_GB2312"/>
          <w:color w:val="000000"/>
          <w:kern w:val="2"/>
          <w:sz w:val="32"/>
          <w:szCs w:val="32"/>
          <w:highlight w:val="none"/>
          <w:lang w:val="en-US" w:eastAsia="zh-CN" w:bidi="ar-SA"/>
        </w:rPr>
        <w:t>万元/栋的标准</w:t>
      </w:r>
      <w:r>
        <w:rPr>
          <w:rFonts w:hint="eastAsia" w:ascii="仿宋_GB2312" w:hAnsi="仿宋_GB2312" w:cs="仿宋_GB2312"/>
          <w:color w:val="000000"/>
          <w:kern w:val="2"/>
          <w:sz w:val="32"/>
          <w:szCs w:val="32"/>
          <w:highlight w:val="none"/>
          <w:lang w:val="en-US" w:eastAsia="zh-CN" w:bidi="ar-SA"/>
        </w:rPr>
        <w:t>补偿</w:t>
      </w:r>
      <w:r>
        <w:rPr>
          <w:rFonts w:hint="eastAsia" w:ascii="仿宋_GB2312" w:hAnsi="仿宋_GB2312" w:eastAsia="仿宋_GB2312" w:cs="仿宋_GB2312"/>
          <w:color w:val="000000"/>
          <w:kern w:val="2"/>
          <w:sz w:val="32"/>
          <w:szCs w:val="32"/>
          <w:highlight w:val="none"/>
          <w:lang w:val="en-US" w:eastAsia="zh-CN" w:bidi="ar-SA"/>
        </w:rPr>
        <w:t>房屋权属人，房屋第一层建筑面积在100㎡以上按</w:t>
      </w:r>
      <w:r>
        <w:rPr>
          <w:rFonts w:hint="eastAsia" w:ascii="仿宋_GB2312" w:hAnsi="仿宋_GB2312" w:cs="仿宋_GB2312"/>
          <w:color w:val="000000"/>
          <w:kern w:val="2"/>
          <w:sz w:val="32"/>
          <w:szCs w:val="32"/>
          <w:highlight w:val="none"/>
          <w:lang w:val="en-US" w:eastAsia="zh-CN" w:bidi="ar-SA"/>
        </w:rPr>
        <w:t>25</w:t>
      </w:r>
      <w:r>
        <w:rPr>
          <w:rFonts w:hint="eastAsia" w:ascii="仿宋_GB2312" w:hAnsi="仿宋_GB2312" w:eastAsia="仿宋_GB2312" w:cs="仿宋_GB2312"/>
          <w:color w:val="000000"/>
          <w:kern w:val="2"/>
          <w:sz w:val="32"/>
          <w:szCs w:val="32"/>
          <w:highlight w:val="none"/>
          <w:lang w:val="en-US" w:eastAsia="zh-CN" w:bidi="ar-SA"/>
        </w:rPr>
        <w:t>万元/栋的标准</w:t>
      </w:r>
      <w:r>
        <w:rPr>
          <w:rFonts w:hint="eastAsia" w:ascii="仿宋_GB2312" w:hAnsi="仿宋_GB2312" w:cs="仿宋_GB2312"/>
          <w:color w:val="000000"/>
          <w:kern w:val="2"/>
          <w:sz w:val="32"/>
          <w:szCs w:val="32"/>
          <w:highlight w:val="none"/>
          <w:lang w:val="en-US" w:eastAsia="zh-CN" w:bidi="ar-SA"/>
        </w:rPr>
        <w:t>补偿</w:t>
      </w:r>
      <w:r>
        <w:rPr>
          <w:rFonts w:hint="eastAsia" w:ascii="仿宋_GB2312" w:hAnsi="仿宋_GB2312" w:eastAsia="仿宋_GB2312" w:cs="仿宋_GB2312"/>
          <w:color w:val="000000"/>
          <w:kern w:val="2"/>
          <w:sz w:val="32"/>
          <w:szCs w:val="32"/>
          <w:highlight w:val="none"/>
          <w:lang w:val="en-US" w:eastAsia="zh-CN" w:bidi="ar-SA"/>
        </w:rPr>
        <w:t>房屋权属人，给予积极配合房屋征收并腾空物品的商铺经营者（有营业执照）按2万元/户的积极配合搬迁奖励。</w:t>
      </w:r>
    </w:p>
    <w:p>
      <w:pPr>
        <w:keepNext w:val="0"/>
        <w:keepLines w:val="0"/>
        <w:pageBreakBefore w:val="0"/>
        <w:widowControl w:val="0"/>
        <w:numPr>
          <w:ilvl w:val="0"/>
          <w:numId w:val="0"/>
        </w:numPr>
        <w:kinsoku/>
        <w:wordWrap w:val="0"/>
        <w:overflowPunct/>
        <w:topLinePunct/>
        <w:autoSpaceDE/>
        <w:autoSpaceDN/>
        <w:bidi w:val="0"/>
        <w:adjustRightInd w:val="0"/>
        <w:snapToGrid w:val="0"/>
        <w:spacing w:line="578"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　</w:t>
      </w:r>
      <w:r>
        <w:rPr>
          <w:rFonts w:hint="eastAsia" w:ascii="楷体_GB2312" w:hAnsi="楷体_GB2312" w:eastAsia="楷体_GB2312" w:cs="楷体_GB2312"/>
          <w:color w:val="000000"/>
          <w:kern w:val="2"/>
          <w:sz w:val="32"/>
          <w:szCs w:val="32"/>
          <w:highlight w:val="none"/>
          <w:lang w:val="en-US" w:eastAsia="zh-CN" w:bidi="ar-SA"/>
        </w:rPr>
        <w:t>　（四）</w:t>
      </w:r>
      <w:r>
        <w:rPr>
          <w:rFonts w:hint="eastAsia" w:ascii="仿宋_GB2312" w:hAnsi="仿宋_GB2312" w:eastAsia="仿宋_GB2312" w:cs="仿宋_GB2312"/>
          <w:color w:val="000000"/>
          <w:kern w:val="2"/>
          <w:sz w:val="32"/>
          <w:szCs w:val="32"/>
          <w:highlight w:val="none"/>
          <w:lang w:val="en-US" w:eastAsia="zh-CN" w:bidi="ar-SA"/>
        </w:rPr>
        <w:t>本方案规定的本方案发布“之前”“前”不含本数；本方案规定的本方案发布“之后”“后”含本数。</w:t>
      </w:r>
    </w:p>
    <w:p>
      <w:pPr>
        <w:pStyle w:val="2"/>
        <w:keepNext w:val="0"/>
        <w:keepLines w:val="0"/>
        <w:pageBreakBefore w:val="0"/>
        <w:widowControl w:val="0"/>
        <w:kinsoku/>
        <w:overflowPunct/>
        <w:autoSpaceDE/>
        <w:autoSpaceDN/>
        <w:bidi w:val="0"/>
        <w:spacing w:after="0" w:line="578" w:lineRule="exact"/>
        <w:ind w:firstLine="64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（五）</w:t>
      </w:r>
      <w:r>
        <w:rPr>
          <w:rFonts w:hint="eastAsia" w:ascii="仿宋_GB2312" w:hAnsi="仿宋_GB2312" w:eastAsia="仿宋_GB2312" w:cs="仿宋_GB2312"/>
          <w:color w:val="000000"/>
          <w:kern w:val="2"/>
          <w:sz w:val="32"/>
          <w:szCs w:val="32"/>
          <w:highlight w:val="none"/>
          <w:lang w:val="en-US" w:eastAsia="zh-CN" w:bidi="ar-SA"/>
        </w:rPr>
        <w:t>机关、企（事）业单位等集体资产</w:t>
      </w:r>
      <w:r>
        <w:rPr>
          <w:rFonts w:hint="eastAsia" w:ascii="仿宋_GB2312" w:hAnsi="仿宋_GB2312" w:cs="仿宋_GB2312"/>
          <w:color w:val="000000"/>
          <w:sz w:val="32"/>
          <w:szCs w:val="32"/>
          <w:highlight w:val="none"/>
          <w:lang w:val="en-US" w:eastAsia="zh-CN"/>
        </w:rPr>
        <w:t>按照</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三亚市集体土地征收补偿安置管理规定（2013年修订）的通知</w:t>
      </w:r>
      <w:r>
        <w:rPr>
          <w:rFonts w:hint="eastAsia" w:ascii="仿宋_GB2312" w:hAnsi="仿宋_GB2312" w:eastAsia="仿宋_GB2312" w:cs="仿宋_GB2312"/>
          <w:color w:val="000000"/>
          <w:sz w:val="32"/>
          <w:szCs w:val="32"/>
          <w:highlight w:val="none"/>
        </w:rPr>
        <w:t>》（三府〔201</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43</w:t>
      </w:r>
      <w:r>
        <w:rPr>
          <w:rFonts w:hint="eastAsia" w:ascii="仿宋_GB2312" w:hAnsi="仿宋_GB2312" w:eastAsia="仿宋_GB2312" w:cs="仿宋_GB2312"/>
          <w:color w:val="000000"/>
          <w:sz w:val="32"/>
          <w:szCs w:val="32"/>
          <w:highlight w:val="none"/>
        </w:rPr>
        <w:t>号）</w:t>
      </w:r>
      <w:r>
        <w:rPr>
          <w:rFonts w:hint="eastAsia" w:ascii="仿宋_GB2312" w:hAnsi="仿宋_GB2312" w:cs="仿宋_GB2312"/>
          <w:color w:val="000000"/>
          <w:sz w:val="32"/>
          <w:szCs w:val="32"/>
          <w:highlight w:val="none"/>
          <w:lang w:eastAsia="zh-CN"/>
        </w:rPr>
        <w:t>规定标准补偿</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三亚市集体土地征收补偿安置管理规定（2013年修订）的通知</w:t>
      </w:r>
      <w:r>
        <w:rPr>
          <w:rFonts w:hint="eastAsia" w:ascii="仿宋_GB2312" w:hAnsi="仿宋_GB2312" w:eastAsia="仿宋_GB2312" w:cs="仿宋_GB2312"/>
          <w:color w:val="000000"/>
          <w:sz w:val="32"/>
          <w:szCs w:val="32"/>
          <w:highlight w:val="none"/>
        </w:rPr>
        <w:t>》（三府〔201</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43</w:t>
      </w:r>
      <w:r>
        <w:rPr>
          <w:rFonts w:hint="eastAsia" w:ascii="仿宋_GB2312" w:hAnsi="仿宋_GB2312" w:eastAsia="仿宋_GB2312" w:cs="仿宋_GB2312"/>
          <w:color w:val="000000"/>
          <w:sz w:val="32"/>
          <w:szCs w:val="32"/>
          <w:highlight w:val="none"/>
        </w:rPr>
        <w:t>号）</w:t>
      </w:r>
      <w:r>
        <w:rPr>
          <w:rFonts w:hint="eastAsia" w:ascii="仿宋_GB2312" w:hAnsi="仿宋_GB2312" w:cs="仿宋_GB2312"/>
          <w:color w:val="000000"/>
          <w:sz w:val="32"/>
          <w:szCs w:val="32"/>
          <w:highlight w:val="none"/>
          <w:lang w:eastAsia="zh-CN"/>
        </w:rPr>
        <w:t>无补偿标准的青苗及附着物</w:t>
      </w:r>
      <w:r>
        <w:rPr>
          <w:rFonts w:hint="eastAsia" w:ascii="仿宋_GB2312" w:hAnsi="仿宋_GB2312" w:eastAsia="仿宋_GB2312" w:cs="仿宋_GB2312"/>
          <w:color w:val="000000"/>
          <w:kern w:val="2"/>
          <w:sz w:val="32"/>
          <w:szCs w:val="32"/>
          <w:highlight w:val="none"/>
          <w:lang w:val="en-US" w:eastAsia="zh-CN" w:bidi="ar-SA"/>
        </w:rPr>
        <w:t>按评估机构评估结果补偿。</w:t>
      </w:r>
    </w:p>
    <w:p>
      <w:pPr>
        <w:pStyle w:val="2"/>
        <w:keepNext w:val="0"/>
        <w:keepLines w:val="0"/>
        <w:pageBreakBefore w:val="0"/>
        <w:widowControl w:val="0"/>
        <w:kinsoku/>
        <w:overflowPunct/>
        <w:autoSpaceDE/>
        <w:autoSpaceDN/>
        <w:bidi w:val="0"/>
        <w:spacing w:after="0" w:line="578" w:lineRule="exact"/>
        <w:ind w:firstLine="64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（六）</w:t>
      </w:r>
      <w:r>
        <w:rPr>
          <w:rFonts w:hint="eastAsia" w:ascii="仿宋_GB2312" w:hAnsi="仿宋_GB2312" w:eastAsia="仿宋_GB2312" w:cs="仿宋_GB2312"/>
          <w:color w:val="000000"/>
          <w:kern w:val="2"/>
          <w:sz w:val="32"/>
          <w:szCs w:val="32"/>
          <w:highlight w:val="none"/>
          <w:lang w:val="en-US" w:eastAsia="zh-CN" w:bidi="ar-SA"/>
        </w:rPr>
        <w:t>本方案发布前已征收土地、房屋并领取货币补偿的，按照多不退少不补的原则处理。</w:t>
      </w:r>
    </w:p>
    <w:p>
      <w:pPr>
        <w:pStyle w:val="2"/>
        <w:keepNext w:val="0"/>
        <w:keepLines w:val="0"/>
        <w:pageBreakBefore w:val="0"/>
        <w:widowControl w:val="0"/>
        <w:kinsoku/>
        <w:overflowPunct/>
        <w:autoSpaceDE/>
        <w:autoSpaceDN/>
        <w:bidi w:val="0"/>
        <w:spacing w:after="0" w:line="578" w:lineRule="exact"/>
        <w:ind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（七）</w:t>
      </w:r>
      <w:r>
        <w:rPr>
          <w:rFonts w:hint="eastAsia" w:ascii="仿宋_GB2312" w:hAnsi="仿宋_GB2312" w:eastAsia="仿宋_GB2312" w:cs="仿宋_GB2312"/>
          <w:color w:val="000000"/>
          <w:kern w:val="2"/>
          <w:sz w:val="32"/>
          <w:szCs w:val="32"/>
          <w:highlight w:val="none"/>
          <w:lang w:val="en-US" w:eastAsia="zh-CN" w:bidi="ar-SA"/>
        </w:rPr>
        <w:t>其他特殊情况需列入补偿范围而产生的不可预见费，从项目征地补偿款中支付。</w:t>
      </w:r>
    </w:p>
    <w:p>
      <w:pPr>
        <w:pStyle w:val="2"/>
        <w:keepNext w:val="0"/>
        <w:keepLines w:val="0"/>
        <w:pageBreakBefore w:val="0"/>
        <w:widowControl w:val="0"/>
        <w:kinsoku/>
        <w:overflowPunct/>
        <w:autoSpaceDE/>
        <w:autoSpaceDN/>
        <w:bidi w:val="0"/>
        <w:spacing w:after="0" w:line="578" w:lineRule="exact"/>
        <w:ind w:firstLine="640" w:firstLineChars="200"/>
        <w:jc w:val="both"/>
        <w:textAlignment w:val="auto"/>
        <w:rPr>
          <w:rFonts w:hint="eastAsia" w:ascii="仿宋_GB2312" w:hAnsi="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（八）</w:t>
      </w:r>
      <w:r>
        <w:rPr>
          <w:rFonts w:hint="eastAsia" w:ascii="仿宋_GB2312" w:hAnsi="仿宋_GB2312" w:eastAsia="仿宋_GB2312" w:cs="仿宋_GB2312"/>
          <w:color w:val="000000"/>
          <w:kern w:val="2"/>
          <w:sz w:val="32"/>
          <w:szCs w:val="32"/>
          <w:highlight w:val="none"/>
          <w:lang w:val="en-US" w:eastAsia="zh-CN" w:bidi="ar-SA"/>
        </w:rPr>
        <w:t>本方案未尽事宜，或在土地房屋征收补偿安置过程中需对本方案的有关内容进行调整的，由崖州区人民政府审定，报市政府相关职能部门备案后实施</w:t>
      </w:r>
      <w:r>
        <w:rPr>
          <w:rFonts w:hint="eastAsia" w:ascii="仿宋_GB2312" w:hAnsi="仿宋_GB2312" w:cs="仿宋_GB2312"/>
          <w:color w:val="000000"/>
          <w:kern w:val="2"/>
          <w:sz w:val="32"/>
          <w:szCs w:val="32"/>
          <w:highlight w:val="none"/>
          <w:lang w:val="en-US" w:eastAsia="zh-CN" w:bidi="ar-SA"/>
        </w:rPr>
        <w:t>。</w:t>
      </w:r>
    </w:p>
    <w:p>
      <w:pPr>
        <w:keepNext w:val="0"/>
        <w:keepLines w:val="0"/>
        <w:pageBreakBefore w:val="0"/>
        <w:widowControl w:val="0"/>
        <w:kinsoku/>
        <w:wordWrap w:val="0"/>
        <w:overflowPunct/>
        <w:topLinePunct/>
        <w:autoSpaceDE/>
        <w:autoSpaceDN/>
        <w:bidi w:val="0"/>
        <w:adjustRightInd w:val="0"/>
        <w:snapToGrid w:val="0"/>
        <w:spacing w:line="578" w:lineRule="exact"/>
        <w:ind w:firstLine="64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（九）</w:t>
      </w:r>
      <w:r>
        <w:rPr>
          <w:rFonts w:hint="eastAsia" w:ascii="仿宋_GB2312" w:hAnsi="仿宋_GB2312" w:eastAsia="仿宋_GB2312" w:cs="仿宋_GB2312"/>
          <w:color w:val="000000"/>
          <w:kern w:val="2"/>
          <w:sz w:val="32"/>
          <w:szCs w:val="32"/>
          <w:highlight w:val="none"/>
          <w:lang w:val="en-US" w:eastAsia="zh-CN" w:bidi="ar-SA"/>
        </w:rPr>
        <w:t>本方案由三亚市崖州区人民政府负责解释。</w:t>
      </w: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ind w:firstLine="64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（十）</w:t>
      </w:r>
      <w:r>
        <w:rPr>
          <w:rFonts w:hint="eastAsia" w:ascii="仿宋_GB2312" w:hAnsi="仿宋_GB2312" w:eastAsia="仿宋_GB2312" w:cs="仿宋_GB2312"/>
          <w:color w:val="000000"/>
          <w:kern w:val="2"/>
          <w:sz w:val="32"/>
          <w:szCs w:val="32"/>
          <w:highlight w:val="none"/>
          <w:lang w:val="en-US" w:eastAsia="zh-CN" w:bidi="ar-SA"/>
        </w:rPr>
        <w:t>本方案自批准发布之日起施行，《三亚市崖州区项目征收补偿安置方案》（崖州府〔2021〕64号）与本方案征收范围重合的区域，按本方案执行。</w:t>
      </w:r>
      <w:r>
        <w:rPr>
          <w:rFonts w:hint="eastAsia" w:ascii="仿宋_GB2312" w:hAnsi="仿宋_GB2312" w:eastAsia="仿宋_GB2312" w:cs="仿宋_GB2312"/>
          <w:color w:val="000000"/>
          <w:kern w:val="2"/>
          <w:sz w:val="32"/>
          <w:szCs w:val="32"/>
          <w:highlight w:val="none"/>
          <w:lang w:val="en-US" w:eastAsia="zh-CN" w:bidi="ar-SA"/>
        </w:rPr>
        <w:tab/>
      </w:r>
    </w:p>
    <w:p>
      <w:pPr>
        <w:keepNext w:val="0"/>
        <w:keepLines w:val="0"/>
        <w:pageBreakBefore w:val="0"/>
        <w:widowControl w:val="0"/>
        <w:kinsoku/>
        <w:wordWrap w:val="0"/>
        <w:overflowPunct/>
        <w:topLinePunct/>
        <w:autoSpaceDE/>
        <w:autoSpaceDN/>
        <w:bidi w:val="0"/>
        <w:adjustRightInd w:val="0"/>
        <w:snapToGrid w:val="0"/>
        <w:spacing w:beforeAutospacing="0" w:afterAutospacing="0" w:line="578" w:lineRule="exact"/>
        <w:ind w:firstLine="64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楷体_GB2312" w:hAnsi="楷体_GB2312" w:eastAsia="楷体_GB2312" w:cs="楷体_GB2312"/>
          <w:color w:val="000000"/>
          <w:kern w:val="2"/>
          <w:sz w:val="32"/>
          <w:szCs w:val="32"/>
          <w:highlight w:val="none"/>
          <w:lang w:val="en-US" w:eastAsia="zh-CN" w:bidi="ar-SA"/>
        </w:rPr>
        <w:t>（十一）</w:t>
      </w:r>
      <w:r>
        <w:rPr>
          <w:rFonts w:hint="eastAsia" w:ascii="仿宋_GB2312" w:hAnsi="仿宋_GB2312" w:eastAsia="仿宋_GB2312" w:cs="仿宋_GB2312"/>
          <w:color w:val="000000"/>
          <w:kern w:val="2"/>
          <w:sz w:val="32"/>
          <w:szCs w:val="32"/>
          <w:highlight w:val="none"/>
          <w:lang w:val="en-US" w:eastAsia="zh-CN" w:bidi="ar-SA"/>
        </w:rPr>
        <w:t>本方案自批准发布之日起施行，《三亚市崖州区</w:t>
      </w:r>
      <w:r>
        <w:rPr>
          <w:rFonts w:hint="eastAsia" w:ascii="仿宋_GB2312" w:hAnsi="仿宋_GB2312" w:cs="仿宋_GB2312"/>
          <w:color w:val="000000"/>
          <w:kern w:val="2"/>
          <w:sz w:val="32"/>
          <w:szCs w:val="32"/>
          <w:highlight w:val="none"/>
          <w:lang w:val="en-US" w:eastAsia="zh-CN" w:bidi="ar-SA"/>
        </w:rPr>
        <w:t>南滨片区城中村</w:t>
      </w:r>
      <w:r>
        <w:rPr>
          <w:rFonts w:hint="eastAsia" w:ascii="仿宋_GB2312" w:hAnsi="仿宋_GB2312" w:eastAsia="仿宋_GB2312" w:cs="仿宋_GB2312"/>
          <w:color w:val="000000"/>
          <w:kern w:val="2"/>
          <w:sz w:val="32"/>
          <w:szCs w:val="32"/>
          <w:highlight w:val="none"/>
          <w:lang w:val="en-US" w:eastAsia="zh-CN" w:bidi="ar-SA"/>
        </w:rPr>
        <w:t>补偿安置方案》（崖州府〔202</w:t>
      </w:r>
      <w:r>
        <w:rPr>
          <w:rFonts w:hint="eastAsia" w:ascii="仿宋_GB2312" w:hAnsi="仿宋_GB2312" w:cs="仿宋_GB2312"/>
          <w:color w:val="000000"/>
          <w:kern w:val="2"/>
          <w:sz w:val="32"/>
          <w:szCs w:val="32"/>
          <w:highlight w:val="none"/>
          <w:lang w:val="en-US" w:eastAsia="zh-CN" w:bidi="ar-SA"/>
        </w:rPr>
        <w:t>4</w:t>
      </w:r>
      <w:r>
        <w:rPr>
          <w:rFonts w:hint="eastAsia" w:ascii="仿宋_GB2312" w:hAnsi="仿宋_GB2312" w:eastAsia="仿宋_GB2312" w:cs="仿宋_GB2312"/>
          <w:color w:val="000000"/>
          <w:kern w:val="2"/>
          <w:sz w:val="32"/>
          <w:szCs w:val="32"/>
          <w:highlight w:val="none"/>
          <w:lang w:val="en-US" w:eastAsia="zh-CN" w:bidi="ar-SA"/>
        </w:rPr>
        <w:t>〕</w:t>
      </w:r>
      <w:r>
        <w:rPr>
          <w:rFonts w:hint="eastAsia" w:ascii="仿宋_GB2312" w:hAnsi="仿宋_GB2312" w:cs="仿宋_GB2312"/>
          <w:color w:val="000000"/>
          <w:kern w:val="2"/>
          <w:sz w:val="32"/>
          <w:szCs w:val="32"/>
          <w:highlight w:val="none"/>
          <w:lang w:val="en-US" w:eastAsia="zh-CN" w:bidi="ar-SA"/>
        </w:rPr>
        <w:t>1</w:t>
      </w:r>
      <w:r>
        <w:rPr>
          <w:rFonts w:hint="eastAsia" w:ascii="仿宋_GB2312" w:hAnsi="仿宋_GB2312" w:eastAsia="仿宋_GB2312" w:cs="仿宋_GB2312"/>
          <w:color w:val="000000"/>
          <w:kern w:val="2"/>
          <w:sz w:val="32"/>
          <w:szCs w:val="32"/>
          <w:highlight w:val="none"/>
          <w:lang w:val="en-US" w:eastAsia="zh-CN" w:bidi="ar-SA"/>
        </w:rPr>
        <w:t>号）</w:t>
      </w:r>
      <w:r>
        <w:rPr>
          <w:rFonts w:hint="eastAsia" w:ascii="仿宋_GB2312" w:hAnsi="仿宋_GB2312" w:cs="仿宋_GB2312"/>
          <w:color w:val="000000"/>
          <w:kern w:val="2"/>
          <w:sz w:val="32"/>
          <w:szCs w:val="32"/>
          <w:highlight w:val="none"/>
          <w:lang w:val="en-US" w:eastAsia="zh-CN" w:bidi="ar-SA"/>
        </w:rPr>
        <w:t>内集体土地上房屋征收</w:t>
      </w:r>
      <w:r>
        <w:rPr>
          <w:rFonts w:hint="eastAsia" w:ascii="仿宋_GB2312" w:hAnsi="仿宋_GB2312" w:eastAsia="仿宋_GB2312" w:cs="仿宋_GB2312"/>
          <w:color w:val="000000"/>
          <w:kern w:val="2"/>
          <w:sz w:val="32"/>
          <w:szCs w:val="32"/>
          <w:highlight w:val="none"/>
          <w:lang w:val="en-US" w:eastAsia="zh-CN" w:bidi="ar-SA"/>
        </w:rPr>
        <w:t>与本方案征收范围重合的区域，按本方案执行。</w:t>
      </w:r>
    </w:p>
    <w:sectPr>
      <w:footerReference r:id="rId3" w:type="default"/>
      <w:footerReference r:id="rId4" w:type="even"/>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C1FCC"/>
    <w:multiLevelType w:val="singleLevel"/>
    <w:tmpl w:val="542C1F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OThjNzBlNzZkNGRhZjZkZDkyYzg2ODc3MmQ5M2IifQ=="/>
  </w:docVars>
  <w:rsids>
    <w:rsidRoot w:val="EEF45CF6"/>
    <w:rsid w:val="001C66E0"/>
    <w:rsid w:val="005E2BC4"/>
    <w:rsid w:val="00DF3269"/>
    <w:rsid w:val="00EF16FF"/>
    <w:rsid w:val="01115B19"/>
    <w:rsid w:val="0179546C"/>
    <w:rsid w:val="019F02CD"/>
    <w:rsid w:val="025A34EF"/>
    <w:rsid w:val="0281490F"/>
    <w:rsid w:val="02917FC5"/>
    <w:rsid w:val="029E6F17"/>
    <w:rsid w:val="030045E8"/>
    <w:rsid w:val="04061721"/>
    <w:rsid w:val="04874344"/>
    <w:rsid w:val="04E6106A"/>
    <w:rsid w:val="05CD2F86"/>
    <w:rsid w:val="05F257ED"/>
    <w:rsid w:val="0648365F"/>
    <w:rsid w:val="06532730"/>
    <w:rsid w:val="074604AE"/>
    <w:rsid w:val="08AA4E2C"/>
    <w:rsid w:val="08B576D2"/>
    <w:rsid w:val="0A0F6DF5"/>
    <w:rsid w:val="0BCB0FBA"/>
    <w:rsid w:val="0C160487"/>
    <w:rsid w:val="0C3E79DE"/>
    <w:rsid w:val="0C851169"/>
    <w:rsid w:val="0C915D60"/>
    <w:rsid w:val="0D4E7F28"/>
    <w:rsid w:val="0D7A67F4"/>
    <w:rsid w:val="0D8E6743"/>
    <w:rsid w:val="0E772D33"/>
    <w:rsid w:val="0E9953A0"/>
    <w:rsid w:val="0F5D5CC5"/>
    <w:rsid w:val="0F7B1502"/>
    <w:rsid w:val="0F8054D8"/>
    <w:rsid w:val="0F9067A2"/>
    <w:rsid w:val="100B407B"/>
    <w:rsid w:val="10E741A0"/>
    <w:rsid w:val="11AD363C"/>
    <w:rsid w:val="1276488D"/>
    <w:rsid w:val="12A367ED"/>
    <w:rsid w:val="13265583"/>
    <w:rsid w:val="13491142"/>
    <w:rsid w:val="13973692"/>
    <w:rsid w:val="13F866C4"/>
    <w:rsid w:val="1407603B"/>
    <w:rsid w:val="14627FE2"/>
    <w:rsid w:val="14AC6436"/>
    <w:rsid w:val="14DF1632"/>
    <w:rsid w:val="15543952"/>
    <w:rsid w:val="159B19FD"/>
    <w:rsid w:val="16302145"/>
    <w:rsid w:val="166E4302"/>
    <w:rsid w:val="17626C76"/>
    <w:rsid w:val="180A1EF9"/>
    <w:rsid w:val="18FF5F73"/>
    <w:rsid w:val="19342879"/>
    <w:rsid w:val="19766A09"/>
    <w:rsid w:val="19D52371"/>
    <w:rsid w:val="19DA1E4A"/>
    <w:rsid w:val="1AA25EA9"/>
    <w:rsid w:val="1ADA6B24"/>
    <w:rsid w:val="1AF20311"/>
    <w:rsid w:val="1B4072CF"/>
    <w:rsid w:val="1B604215"/>
    <w:rsid w:val="1BEF0465"/>
    <w:rsid w:val="1C3861F8"/>
    <w:rsid w:val="1CB33A5B"/>
    <w:rsid w:val="1CEB3585"/>
    <w:rsid w:val="1CF9378A"/>
    <w:rsid w:val="1DDF2EA2"/>
    <w:rsid w:val="1DFD9E45"/>
    <w:rsid w:val="1E276524"/>
    <w:rsid w:val="1E6E4153"/>
    <w:rsid w:val="1E9605C6"/>
    <w:rsid w:val="1EF81C6E"/>
    <w:rsid w:val="1F511E07"/>
    <w:rsid w:val="211A18BD"/>
    <w:rsid w:val="2130749E"/>
    <w:rsid w:val="21920158"/>
    <w:rsid w:val="223B07F0"/>
    <w:rsid w:val="22714212"/>
    <w:rsid w:val="22D7100D"/>
    <w:rsid w:val="2338088B"/>
    <w:rsid w:val="23405992"/>
    <w:rsid w:val="235C730D"/>
    <w:rsid w:val="242F6132"/>
    <w:rsid w:val="24DB1E16"/>
    <w:rsid w:val="25441769"/>
    <w:rsid w:val="259A2954"/>
    <w:rsid w:val="261C6242"/>
    <w:rsid w:val="286135A9"/>
    <w:rsid w:val="28971515"/>
    <w:rsid w:val="28A902E6"/>
    <w:rsid w:val="291B0A33"/>
    <w:rsid w:val="29695C42"/>
    <w:rsid w:val="29D82DC8"/>
    <w:rsid w:val="2A64465C"/>
    <w:rsid w:val="2B6C5576"/>
    <w:rsid w:val="2BBC0C0A"/>
    <w:rsid w:val="2BBD04C8"/>
    <w:rsid w:val="2BCF0F39"/>
    <w:rsid w:val="2BFD2672"/>
    <w:rsid w:val="2C115B1A"/>
    <w:rsid w:val="2D1E4F96"/>
    <w:rsid w:val="2DEF248E"/>
    <w:rsid w:val="2E057F04"/>
    <w:rsid w:val="2E6609A2"/>
    <w:rsid w:val="2E903C71"/>
    <w:rsid w:val="2ED718A0"/>
    <w:rsid w:val="2EE67D35"/>
    <w:rsid w:val="2F0F103A"/>
    <w:rsid w:val="2F1E1091"/>
    <w:rsid w:val="2F274CBB"/>
    <w:rsid w:val="303D22A6"/>
    <w:rsid w:val="308319B5"/>
    <w:rsid w:val="30847806"/>
    <w:rsid w:val="30BDE2FD"/>
    <w:rsid w:val="30E107B4"/>
    <w:rsid w:val="315F580C"/>
    <w:rsid w:val="317C228B"/>
    <w:rsid w:val="318F6462"/>
    <w:rsid w:val="323D1C24"/>
    <w:rsid w:val="32987598"/>
    <w:rsid w:val="32E22222"/>
    <w:rsid w:val="32FA790B"/>
    <w:rsid w:val="33516BE8"/>
    <w:rsid w:val="3454129D"/>
    <w:rsid w:val="34ED5415"/>
    <w:rsid w:val="35A575A4"/>
    <w:rsid w:val="367A1793"/>
    <w:rsid w:val="3692BBA9"/>
    <w:rsid w:val="36B3191C"/>
    <w:rsid w:val="374F6FA3"/>
    <w:rsid w:val="375F4A2A"/>
    <w:rsid w:val="37BD470B"/>
    <w:rsid w:val="37DA5CEB"/>
    <w:rsid w:val="385F7077"/>
    <w:rsid w:val="39677CC5"/>
    <w:rsid w:val="3AF13CEA"/>
    <w:rsid w:val="3B4B3774"/>
    <w:rsid w:val="3B702E61"/>
    <w:rsid w:val="3BA0301A"/>
    <w:rsid w:val="3CC80A7A"/>
    <w:rsid w:val="3CDA551E"/>
    <w:rsid w:val="3CF61143"/>
    <w:rsid w:val="3D0A4BEF"/>
    <w:rsid w:val="3DBC0EE4"/>
    <w:rsid w:val="3DFFEA1C"/>
    <w:rsid w:val="3E077380"/>
    <w:rsid w:val="3E5DA525"/>
    <w:rsid w:val="3E6622F9"/>
    <w:rsid w:val="3EC51715"/>
    <w:rsid w:val="3EFE4C27"/>
    <w:rsid w:val="3F4F4325"/>
    <w:rsid w:val="3FF9F685"/>
    <w:rsid w:val="4061225A"/>
    <w:rsid w:val="40676A47"/>
    <w:rsid w:val="410C3445"/>
    <w:rsid w:val="411B6481"/>
    <w:rsid w:val="41693EF3"/>
    <w:rsid w:val="41D14CCC"/>
    <w:rsid w:val="41F01E86"/>
    <w:rsid w:val="41F20BF8"/>
    <w:rsid w:val="430F11B1"/>
    <w:rsid w:val="43707776"/>
    <w:rsid w:val="445F7F16"/>
    <w:rsid w:val="44DE229E"/>
    <w:rsid w:val="45633A36"/>
    <w:rsid w:val="45C142B9"/>
    <w:rsid w:val="46517D32"/>
    <w:rsid w:val="4697017D"/>
    <w:rsid w:val="46FD7432"/>
    <w:rsid w:val="47C11ABF"/>
    <w:rsid w:val="47D227AD"/>
    <w:rsid w:val="47FE7A46"/>
    <w:rsid w:val="4800452A"/>
    <w:rsid w:val="481D4569"/>
    <w:rsid w:val="484216E1"/>
    <w:rsid w:val="48D342FE"/>
    <w:rsid w:val="49105C83"/>
    <w:rsid w:val="497A68C8"/>
    <w:rsid w:val="49C03205"/>
    <w:rsid w:val="4A54394D"/>
    <w:rsid w:val="4B9C1A50"/>
    <w:rsid w:val="4BB23CDB"/>
    <w:rsid w:val="4BDF36EB"/>
    <w:rsid w:val="4C0849EF"/>
    <w:rsid w:val="4C285091"/>
    <w:rsid w:val="4C28734D"/>
    <w:rsid w:val="4D0711F1"/>
    <w:rsid w:val="4D2B308B"/>
    <w:rsid w:val="4EF95F04"/>
    <w:rsid w:val="4F3C25EB"/>
    <w:rsid w:val="4F4911D1"/>
    <w:rsid w:val="4F603D43"/>
    <w:rsid w:val="4F8847C5"/>
    <w:rsid w:val="4FBFE7E7"/>
    <w:rsid w:val="4FC7696F"/>
    <w:rsid w:val="4FDA2B47"/>
    <w:rsid w:val="5005686C"/>
    <w:rsid w:val="50A32F39"/>
    <w:rsid w:val="50C01D3C"/>
    <w:rsid w:val="51275918"/>
    <w:rsid w:val="51621046"/>
    <w:rsid w:val="518A022B"/>
    <w:rsid w:val="52C13B4A"/>
    <w:rsid w:val="531238E9"/>
    <w:rsid w:val="537C881C"/>
    <w:rsid w:val="5394300C"/>
    <w:rsid w:val="53E67D0C"/>
    <w:rsid w:val="54300F87"/>
    <w:rsid w:val="54532EC8"/>
    <w:rsid w:val="54DF1ACD"/>
    <w:rsid w:val="550D3076"/>
    <w:rsid w:val="55C793B5"/>
    <w:rsid w:val="55F34E70"/>
    <w:rsid w:val="561D19BC"/>
    <w:rsid w:val="56786C15"/>
    <w:rsid w:val="56D820E1"/>
    <w:rsid w:val="56FF4F54"/>
    <w:rsid w:val="577E9A5F"/>
    <w:rsid w:val="57A23F4A"/>
    <w:rsid w:val="57E74053"/>
    <w:rsid w:val="5923659E"/>
    <w:rsid w:val="5934151A"/>
    <w:rsid w:val="593C3F2A"/>
    <w:rsid w:val="593F3A1A"/>
    <w:rsid w:val="59AD6BD6"/>
    <w:rsid w:val="59D979CB"/>
    <w:rsid w:val="59FAC26E"/>
    <w:rsid w:val="5A9655FB"/>
    <w:rsid w:val="5B0E7B48"/>
    <w:rsid w:val="5B347DF2"/>
    <w:rsid w:val="5B615ECA"/>
    <w:rsid w:val="5BB7181B"/>
    <w:rsid w:val="5BB97AB4"/>
    <w:rsid w:val="5BD11EBE"/>
    <w:rsid w:val="5C9A5B38"/>
    <w:rsid w:val="5CB14271"/>
    <w:rsid w:val="5CE75854"/>
    <w:rsid w:val="5D557CB0"/>
    <w:rsid w:val="5D5977A1"/>
    <w:rsid w:val="5DA35F09"/>
    <w:rsid w:val="5DF72B16"/>
    <w:rsid w:val="5DFF2F74"/>
    <w:rsid w:val="5DFF3387"/>
    <w:rsid w:val="5E053485"/>
    <w:rsid w:val="5E3B7300"/>
    <w:rsid w:val="5E6F4DA2"/>
    <w:rsid w:val="5EFFEABF"/>
    <w:rsid w:val="5F3202A9"/>
    <w:rsid w:val="5F5F2215"/>
    <w:rsid w:val="5F5F8A8E"/>
    <w:rsid w:val="5FAF3CB9"/>
    <w:rsid w:val="5FCF3D4A"/>
    <w:rsid w:val="600F4147"/>
    <w:rsid w:val="607B7D5D"/>
    <w:rsid w:val="607FA6F8"/>
    <w:rsid w:val="612105D5"/>
    <w:rsid w:val="61736957"/>
    <w:rsid w:val="61BA27D8"/>
    <w:rsid w:val="61D94A0C"/>
    <w:rsid w:val="61E70925"/>
    <w:rsid w:val="62C02B8E"/>
    <w:rsid w:val="633A597E"/>
    <w:rsid w:val="63A66B70"/>
    <w:rsid w:val="63FD67BB"/>
    <w:rsid w:val="64281C7B"/>
    <w:rsid w:val="64942E6C"/>
    <w:rsid w:val="64E52D76"/>
    <w:rsid w:val="65876E75"/>
    <w:rsid w:val="65C8108A"/>
    <w:rsid w:val="6712723B"/>
    <w:rsid w:val="67564D51"/>
    <w:rsid w:val="677A0A3F"/>
    <w:rsid w:val="67FFB237"/>
    <w:rsid w:val="683E0657"/>
    <w:rsid w:val="691C1682"/>
    <w:rsid w:val="6979C504"/>
    <w:rsid w:val="69D00DEB"/>
    <w:rsid w:val="6AA040E5"/>
    <w:rsid w:val="6AD62431"/>
    <w:rsid w:val="6AE306AA"/>
    <w:rsid w:val="6AE76C62"/>
    <w:rsid w:val="6BCFC4AD"/>
    <w:rsid w:val="6BD120F2"/>
    <w:rsid w:val="6BFA3EFD"/>
    <w:rsid w:val="6C5B30D9"/>
    <w:rsid w:val="6CA70F3B"/>
    <w:rsid w:val="6CB0280D"/>
    <w:rsid w:val="6DBF105C"/>
    <w:rsid w:val="6EFC1D3A"/>
    <w:rsid w:val="6F196D90"/>
    <w:rsid w:val="6F1DC3D4"/>
    <w:rsid w:val="6F4F165E"/>
    <w:rsid w:val="6F5D12C1"/>
    <w:rsid w:val="6F614293"/>
    <w:rsid w:val="6F771AEA"/>
    <w:rsid w:val="6F792BAB"/>
    <w:rsid w:val="6FBD596D"/>
    <w:rsid w:val="6FE8EA0E"/>
    <w:rsid w:val="6FF7A506"/>
    <w:rsid w:val="6FFB5231"/>
    <w:rsid w:val="6FFFEADB"/>
    <w:rsid w:val="709A5CAE"/>
    <w:rsid w:val="70EE3E28"/>
    <w:rsid w:val="71066EA0"/>
    <w:rsid w:val="71752277"/>
    <w:rsid w:val="71951711"/>
    <w:rsid w:val="72086C48"/>
    <w:rsid w:val="728C1627"/>
    <w:rsid w:val="73C80D84"/>
    <w:rsid w:val="73DE6518"/>
    <w:rsid w:val="74BEAF12"/>
    <w:rsid w:val="74ED18A9"/>
    <w:rsid w:val="75330480"/>
    <w:rsid w:val="75363ACC"/>
    <w:rsid w:val="75C13CDD"/>
    <w:rsid w:val="75C24004"/>
    <w:rsid w:val="76082B78"/>
    <w:rsid w:val="76D65759"/>
    <w:rsid w:val="76EFE333"/>
    <w:rsid w:val="77BC475C"/>
    <w:rsid w:val="77DFAC0D"/>
    <w:rsid w:val="77F02658"/>
    <w:rsid w:val="77FFC266"/>
    <w:rsid w:val="79600AE5"/>
    <w:rsid w:val="79BF6786"/>
    <w:rsid w:val="79CBD081"/>
    <w:rsid w:val="7A2C376D"/>
    <w:rsid w:val="7A3BE801"/>
    <w:rsid w:val="7A4F1AB2"/>
    <w:rsid w:val="7A8A34A5"/>
    <w:rsid w:val="7A9E45ED"/>
    <w:rsid w:val="7AA37E55"/>
    <w:rsid w:val="7ACC2F08"/>
    <w:rsid w:val="7AD945C2"/>
    <w:rsid w:val="7AE2097E"/>
    <w:rsid w:val="7AF95CC7"/>
    <w:rsid w:val="7AFF2B81"/>
    <w:rsid w:val="7B7F9F58"/>
    <w:rsid w:val="7B8B6BC2"/>
    <w:rsid w:val="7B9AA13E"/>
    <w:rsid w:val="7BAC2D3A"/>
    <w:rsid w:val="7BF4457E"/>
    <w:rsid w:val="7C3F8FE0"/>
    <w:rsid w:val="7C975798"/>
    <w:rsid w:val="7CBC7AC4"/>
    <w:rsid w:val="7CD24A22"/>
    <w:rsid w:val="7CFF360F"/>
    <w:rsid w:val="7D323C69"/>
    <w:rsid w:val="7D480840"/>
    <w:rsid w:val="7D7CDA0B"/>
    <w:rsid w:val="7DA71DB8"/>
    <w:rsid w:val="7DFEA7E6"/>
    <w:rsid w:val="7E483938"/>
    <w:rsid w:val="7E5F14D5"/>
    <w:rsid w:val="7E78C442"/>
    <w:rsid w:val="7E876C12"/>
    <w:rsid w:val="7EBF1BB7"/>
    <w:rsid w:val="7EBF8335"/>
    <w:rsid w:val="7EF5E2A8"/>
    <w:rsid w:val="7EF71890"/>
    <w:rsid w:val="7F3D3FA5"/>
    <w:rsid w:val="7F5A1998"/>
    <w:rsid w:val="7F5F16D7"/>
    <w:rsid w:val="7F65BB39"/>
    <w:rsid w:val="7F6EEF2F"/>
    <w:rsid w:val="7F995ED1"/>
    <w:rsid w:val="7F9B10FB"/>
    <w:rsid w:val="7FAF4933"/>
    <w:rsid w:val="7FB77311"/>
    <w:rsid w:val="7FDEE1B1"/>
    <w:rsid w:val="7FDFC16D"/>
    <w:rsid w:val="7FEB4639"/>
    <w:rsid w:val="7FF59B5D"/>
    <w:rsid w:val="83FB354F"/>
    <w:rsid w:val="9DB60053"/>
    <w:rsid w:val="9E639B91"/>
    <w:rsid w:val="9F6E8539"/>
    <w:rsid w:val="9FDF54F6"/>
    <w:rsid w:val="9FEE42BD"/>
    <w:rsid w:val="9FFBDAAE"/>
    <w:rsid w:val="A4FC9857"/>
    <w:rsid w:val="AF75F21A"/>
    <w:rsid w:val="AFC9F710"/>
    <w:rsid w:val="B2CECCA2"/>
    <w:rsid w:val="B5DFAF56"/>
    <w:rsid w:val="B6541C59"/>
    <w:rsid w:val="B6BE1B63"/>
    <w:rsid w:val="B7DFBBB7"/>
    <w:rsid w:val="BAE3C7A4"/>
    <w:rsid w:val="BAF2B5E0"/>
    <w:rsid w:val="BB7BEE9B"/>
    <w:rsid w:val="BD3FD74F"/>
    <w:rsid w:val="BD7E8D46"/>
    <w:rsid w:val="BD938FB0"/>
    <w:rsid w:val="BDFF5FB2"/>
    <w:rsid w:val="BE0B6C83"/>
    <w:rsid w:val="BFD4C905"/>
    <w:rsid w:val="BFE79CAE"/>
    <w:rsid w:val="BFEF31F9"/>
    <w:rsid w:val="BFFF1D90"/>
    <w:rsid w:val="C6DFC680"/>
    <w:rsid w:val="CBAF2C5A"/>
    <w:rsid w:val="CBF7B4CF"/>
    <w:rsid w:val="CBFB6E56"/>
    <w:rsid w:val="D6E233EC"/>
    <w:rsid w:val="D9F752B8"/>
    <w:rsid w:val="DA5ABA67"/>
    <w:rsid w:val="DBFB7594"/>
    <w:rsid w:val="DC9FB85C"/>
    <w:rsid w:val="DFC62993"/>
    <w:rsid w:val="DFFBF345"/>
    <w:rsid w:val="EBBD5538"/>
    <w:rsid w:val="EBEBFFD8"/>
    <w:rsid w:val="EBF6FAE7"/>
    <w:rsid w:val="ECD7AB19"/>
    <w:rsid w:val="ED9D390E"/>
    <w:rsid w:val="EEDD07F0"/>
    <w:rsid w:val="EEF45CF6"/>
    <w:rsid w:val="EF29EA12"/>
    <w:rsid w:val="EF5F80B8"/>
    <w:rsid w:val="F2F7C6E8"/>
    <w:rsid w:val="F337E97B"/>
    <w:rsid w:val="F3CF2890"/>
    <w:rsid w:val="F77E7678"/>
    <w:rsid w:val="F7BF22BD"/>
    <w:rsid w:val="F7CA381C"/>
    <w:rsid w:val="F7E72BBB"/>
    <w:rsid w:val="F97F0327"/>
    <w:rsid w:val="F9C778C3"/>
    <w:rsid w:val="F9DE9621"/>
    <w:rsid w:val="FBE66E8A"/>
    <w:rsid w:val="FBF4E320"/>
    <w:rsid w:val="FCB52619"/>
    <w:rsid w:val="FCF79E6B"/>
    <w:rsid w:val="FDE7EEEE"/>
    <w:rsid w:val="FDEF375A"/>
    <w:rsid w:val="FE6FE516"/>
    <w:rsid w:val="FE7C3A9E"/>
    <w:rsid w:val="FEBE6C73"/>
    <w:rsid w:val="FEBF0A22"/>
    <w:rsid w:val="FEFF3555"/>
    <w:rsid w:val="FF1FA3CB"/>
    <w:rsid w:val="FF37B985"/>
    <w:rsid w:val="FF5ED417"/>
    <w:rsid w:val="FFAF5263"/>
    <w:rsid w:val="FFBF7B72"/>
    <w:rsid w:val="FFDFBEB0"/>
    <w:rsid w:val="FFEF3AFF"/>
    <w:rsid w:val="FFFB25A5"/>
    <w:rsid w:val="FFFBE5DB"/>
    <w:rsid w:val="FFFEE972"/>
    <w:rsid w:val="FFFFE7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adjustRightInd w:val="0"/>
      <w:ind w:firstLine="482" w:firstLineChars="0"/>
      <w:textAlignment w:val="baseline"/>
    </w:pPr>
    <w:rPr>
      <w:rFonts w:ascii="宋体"/>
      <w:kern w:val="0"/>
      <w:szCs w:val="20"/>
    </w:rPr>
  </w:style>
  <w:style w:type="paragraph" w:styleId="4">
    <w:name w:val="annotation text"/>
    <w:basedOn w:val="1"/>
    <w:uiPriority w:val="0"/>
    <w:pPr>
      <w:jc w:val="left"/>
    </w:pPr>
  </w:style>
  <w:style w:type="paragraph" w:styleId="5">
    <w:name w:val="Body Text Indent"/>
    <w:basedOn w:val="1"/>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2"/>
    <w:qFormat/>
    <w:uiPriority w:val="0"/>
    <w:pPr>
      <w:ind w:firstLine="420" w:firstLineChars="100"/>
    </w:pPr>
  </w:style>
  <w:style w:type="paragraph" w:styleId="9">
    <w:name w:val="Body Text First Indent 2"/>
    <w:basedOn w:val="5"/>
    <w:next w:val="8"/>
    <w:qFormat/>
    <w:uiPriority w:val="0"/>
    <w:pPr>
      <w:ind w:firstLine="420"/>
    </w:p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0</Words>
  <Characters>0</Characters>
  <Lines>0</Lines>
  <Paragraphs>0</Paragraphs>
  <TotalTime>9.66666666666667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2023-10-14T01:02:00Z</dcterms:created>
  <dc:creator>administrator</dc:creator>
  <cp:lastModifiedBy>user</cp:lastModifiedBy>
  <cp:lastPrinted>2025-04-04T01:21:37Z</cp:lastPrinted>
  <dcterms:modified xsi:type="dcterms:W3CDTF">2025-12-01T16:42:13Z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E56BF4E5B06752F0EF5B8265B2B2EFEA</vt:lpwstr>
  </property>
</Properties>
</file>