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三亚市崖州区政府投资项目管理办法</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第一条（目的）</w:t>
      </w:r>
    </w:p>
    <w:p>
      <w:pPr>
        <w:pStyle w:val="3"/>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区：为规范三亚市崖州区政府投资项目管理，健全科学、民主的政府投资项目决策和实施程序，优化审批流程，提高投资效益，根据《政府投资条例》《海南省政府投资项目管理办法》</w:t>
      </w:r>
      <w:r>
        <w:rPr>
          <w:rFonts w:hint="default"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三亚市政府投资项目管理规定</w:t>
      </w:r>
      <w:r>
        <w:rPr>
          <w:rFonts w:hint="default"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及有关法律、法规，结合崖州区实际，制定本办法。</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第二条（定义）</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区：本办法所称的政府投资项目，是指崖州区行政区域</w:t>
      </w:r>
      <w:r>
        <w:rPr>
          <w:rFonts w:hint="eastAsia" w:ascii="仿宋_GB2312" w:hAnsi="仿宋_GB2312" w:cs="仿宋_GB2312"/>
          <w:color w:val="auto"/>
          <w:kern w:val="2"/>
          <w:sz w:val="32"/>
          <w:szCs w:val="32"/>
          <w:lang w:val="en-US" w:eastAsia="zh-CN" w:bidi="ar-SA"/>
        </w:rPr>
        <w:t>范围内属于崖州区级事权及</w:t>
      </w:r>
      <w:r>
        <w:rPr>
          <w:rFonts w:hint="eastAsia" w:ascii="仿宋_GB2312" w:hAnsi="仿宋_GB2312" w:eastAsia="仿宋_GB2312" w:cs="仿宋_GB2312"/>
          <w:color w:val="auto"/>
          <w:kern w:val="2"/>
          <w:sz w:val="32"/>
          <w:szCs w:val="32"/>
          <w:lang w:val="en-US" w:eastAsia="zh-CN" w:bidi="ar-SA"/>
        </w:rPr>
        <w:t>审批权限由区级审批的新建、扩建、改建、技术改造等固定资产投资项目。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条（职责分工）</w:t>
      </w:r>
    </w:p>
    <w:p>
      <w:pPr>
        <w:keepNext w:val="0"/>
        <w:keepLines w:val="0"/>
        <w:pageBreakBefore w:val="0"/>
        <w:widowControl/>
        <w:numPr>
          <w:ilvl w:val="-1"/>
          <w:numId w:val="0"/>
        </w:numPr>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区：区发展改革部门为崖州区投资主管部门，负责投资项目计划的编制、项目审批（</w:t>
      </w:r>
      <w:r>
        <w:rPr>
          <w:rFonts w:hint="eastAsia" w:ascii="仿宋_GB2312" w:hAnsi="仿宋_GB2312" w:cs="仿宋_GB2312"/>
          <w:color w:val="auto"/>
          <w:kern w:val="2"/>
          <w:sz w:val="32"/>
          <w:szCs w:val="32"/>
          <w:lang w:val="en-US" w:eastAsia="zh-CN" w:bidi="ar-SA"/>
        </w:rPr>
        <w:t>高标准农田治理等</w:t>
      </w:r>
      <w:r>
        <w:rPr>
          <w:rFonts w:hint="default" w:ascii="仿宋_GB2312" w:hAnsi="仿宋_GB2312" w:cs="仿宋_GB2312"/>
          <w:color w:val="auto"/>
          <w:kern w:val="2"/>
          <w:sz w:val="32"/>
          <w:szCs w:val="32"/>
          <w:lang w:eastAsia="zh-CN" w:bidi="ar-SA"/>
        </w:rPr>
        <w:t>农业</w:t>
      </w:r>
      <w:r>
        <w:rPr>
          <w:rFonts w:hint="eastAsia" w:ascii="仿宋_GB2312" w:hAnsi="仿宋_GB2312" w:cs="仿宋_GB2312"/>
          <w:color w:val="auto"/>
          <w:kern w:val="2"/>
          <w:sz w:val="32"/>
          <w:szCs w:val="32"/>
          <w:lang w:val="en-US" w:eastAsia="zh-CN" w:bidi="ar-SA"/>
        </w:rPr>
        <w:t>项目</w:t>
      </w:r>
      <w:r>
        <w:rPr>
          <w:rFonts w:hint="eastAsia" w:ascii="仿宋_GB2312" w:hAnsi="仿宋_GB2312" w:eastAsia="仿宋_GB2312" w:cs="仿宋_GB2312"/>
          <w:color w:val="auto"/>
          <w:kern w:val="2"/>
          <w:sz w:val="32"/>
          <w:szCs w:val="32"/>
          <w:lang w:val="en-US" w:eastAsia="zh-CN" w:bidi="ar-SA"/>
        </w:rPr>
        <w:t>除外）和协调监督等综合管理工作；区财政部门负责政府投资项目预算</w:t>
      </w:r>
      <w:r>
        <w:rPr>
          <w:rFonts w:hint="eastAsia" w:ascii="仿宋_GB2312" w:hAnsi="仿宋_GB2312" w:cs="仿宋_GB2312"/>
          <w:color w:val="auto"/>
          <w:kern w:val="2"/>
          <w:sz w:val="32"/>
          <w:szCs w:val="32"/>
          <w:lang w:val="en-US" w:eastAsia="zh-CN" w:bidi="ar-SA"/>
        </w:rPr>
        <w:t>安排、资金筹措与拨付，负责工程量清单和控制价评审、工程结算审核和竣工财务决算备案，对政府投资项目的财务活动实施管理和监督；</w:t>
      </w:r>
      <w:r>
        <w:rPr>
          <w:rFonts w:hint="eastAsia" w:ascii="仿宋_GB2312" w:hAnsi="仿宋_GB2312" w:eastAsia="仿宋_GB2312" w:cs="仿宋_GB2312"/>
          <w:color w:val="auto"/>
          <w:kern w:val="2"/>
          <w:sz w:val="32"/>
          <w:szCs w:val="32"/>
          <w:lang w:val="en-US" w:eastAsia="zh-CN" w:bidi="ar-SA"/>
        </w:rPr>
        <w:t>区审计部门依法独立履行政府投资项目预算执行、决算以及有关建设、运行情况审计监督职责；区其他行业主管部门根据行业主管要求进行项目策划、储备，对投资项目提出意见和建议并落实行业监管责任；项目相关审批部门出具的项目审批文件要同步抄送区投资主管部门进行统筹沟通。</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项目策划和决策</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条（项目策划）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区：各行业部门根据国民经济和社会发展需求和实际，谋划提出拟实施的政府投资项目，经区政府批准后启动前期工作。</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条（项目建议书）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区：项目业主应当根据前期项目策划和论证深度，经征询行业主管部门</w:t>
      </w:r>
      <w:r>
        <w:rPr>
          <w:rFonts w:hint="default" w:ascii="仿宋_GB2312" w:hAnsi="仿宋_GB2312" w:cs="仿宋_GB2312"/>
          <w:color w:val="auto"/>
          <w:kern w:val="2"/>
          <w:sz w:val="32"/>
          <w:szCs w:val="32"/>
          <w:lang w:eastAsia="zh-CN" w:bidi="ar-SA"/>
        </w:rPr>
        <w:t>意见</w:t>
      </w:r>
      <w:r>
        <w:rPr>
          <w:rFonts w:hint="eastAsia" w:ascii="仿宋_GB2312" w:hAnsi="仿宋_GB2312" w:eastAsia="仿宋_GB2312" w:cs="仿宋_GB2312"/>
          <w:color w:val="auto"/>
          <w:kern w:val="2"/>
          <w:sz w:val="32"/>
          <w:szCs w:val="32"/>
          <w:lang w:val="en-US" w:eastAsia="zh-CN" w:bidi="ar-SA"/>
        </w:rPr>
        <w:t>后，编制项目建议书，报投资主管部门审批。项目建议书应详细说明项目建设规模及内容，建设计划安排及项目建设的必要性，资金来源及项目用地初审情况。对不再编制可行性研究报告的项目还需说明项目社会效益及项目资金来源等主要建设条件的落实情况。</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原则上，</w:t>
      </w:r>
      <w:r>
        <w:rPr>
          <w:rFonts w:hint="eastAsia" w:ascii="仿宋_GB2312" w:hAnsi="仿宋_GB2312" w:eastAsia="仿宋_GB2312" w:cs="仿宋_GB2312"/>
          <w:color w:val="auto"/>
          <w:kern w:val="2"/>
          <w:sz w:val="32"/>
          <w:szCs w:val="32"/>
          <w:lang w:val="en-US" w:eastAsia="zh-CN" w:bidi="ar-SA"/>
        </w:rPr>
        <w:t>列入区级及以上投资年度资金安排</w:t>
      </w:r>
      <w:r>
        <w:rPr>
          <w:rFonts w:hint="eastAsia" w:ascii="仿宋_GB2312" w:hAnsi="仿宋_GB2312" w:cs="仿宋_GB2312"/>
          <w:color w:val="auto"/>
          <w:kern w:val="2"/>
          <w:sz w:val="32"/>
          <w:szCs w:val="32"/>
          <w:lang w:val="en-US" w:eastAsia="zh-CN" w:bidi="ar-SA"/>
        </w:rPr>
        <w:t>或已落实项目建设资金的可不审批项目建议书，视为立项并开展后续项目前期工作。</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除上述情况外，本年度新增的政府投资项目，项目业主应先征求行业主管部门意见，按投资规模分级决策后报区投资主管部门审批。</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（一）总投资500万元</w:t>
      </w:r>
      <w:r>
        <w:rPr>
          <w:rFonts w:hint="default" w:ascii="仿宋_GB2312" w:hAnsi="仿宋_GB2312" w:cs="仿宋_GB2312"/>
          <w:color w:val="auto"/>
          <w:sz w:val="32"/>
          <w:szCs w:val="32"/>
          <w:lang w:eastAsia="zh-CN"/>
        </w:rPr>
        <w:t>（含）</w:t>
      </w:r>
      <w:r>
        <w:rPr>
          <w:rFonts w:hint="eastAsia" w:ascii="仿宋_GB2312" w:hAnsi="仿宋_GB2312" w:cs="仿宋_GB2312"/>
          <w:color w:val="auto"/>
          <w:sz w:val="32"/>
          <w:szCs w:val="32"/>
          <w:lang w:val="en-US" w:eastAsia="zh-CN"/>
        </w:rPr>
        <w:t>及以上的项目，报区委常委会议审议。</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kern w:val="2"/>
          <w:sz w:val="32"/>
          <w:szCs w:val="32"/>
          <w:lang w:val="en-US" w:eastAsia="zh-CN" w:bidi="ar-SA"/>
        </w:rPr>
        <w:t>总投资</w:t>
      </w:r>
      <w:r>
        <w:rPr>
          <w:rFonts w:hint="eastAsia" w:ascii="仿宋_GB2312" w:hAnsi="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万元（含）～500万元（不含）</w:t>
      </w:r>
      <w:r>
        <w:rPr>
          <w:rFonts w:hint="eastAsia" w:ascii="仿宋_GB2312" w:hAnsi="仿宋_GB2312" w:cs="仿宋_GB2312"/>
          <w:color w:val="auto"/>
          <w:kern w:val="2"/>
          <w:sz w:val="32"/>
          <w:szCs w:val="32"/>
          <w:lang w:val="en-US" w:eastAsia="zh-CN" w:bidi="ar-SA"/>
        </w:rPr>
        <w:t>的项目，报区政府常务会议审议。</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（三）总投资50万元（含）</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00万元</w:t>
      </w:r>
      <w:r>
        <w:rPr>
          <w:rFonts w:hint="eastAsia" w:ascii="仿宋_GB2312" w:hAnsi="仿宋_GB2312" w:cs="仿宋_GB2312"/>
          <w:color w:val="auto"/>
          <w:kern w:val="2"/>
          <w:sz w:val="32"/>
          <w:szCs w:val="32"/>
          <w:lang w:val="en-US" w:eastAsia="zh-CN" w:bidi="ar-SA"/>
        </w:rPr>
        <w:t>（不含）的项目，报区政府区长办公会审议。</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为便于统一管理和规范操作，需要报请区政府常务会议或区委常委会议审议的项目，由各项目业主报区长办公会审议后，报区投资主管部门汇总，不定期集中报区政府常务会议审议。因工作任务紧急的项目可单独呈报。</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使用上级专项资金的项目，应按照相关资金文件要求实施项目审批。</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条（可行性研究报告）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区：项目业主应当根据批准的项目建议书进一步研究论证，按规定委托工程咨询机构编制可行性研究报告。可行性研究报告应详细说明项目技术经济可行性，社会效益及项目资金来源等主要建设条件的落实情况。</w:t>
      </w:r>
      <w:r>
        <w:rPr>
          <w:rFonts w:hint="default" w:ascii="仿宋_GB2312" w:hAnsi="仿宋_GB2312" w:cs="仿宋_GB2312"/>
          <w:color w:val="auto"/>
          <w:kern w:val="2"/>
          <w:sz w:val="32"/>
          <w:szCs w:val="32"/>
          <w:lang w:eastAsia="zh-CN" w:bidi="ar-SA"/>
        </w:rPr>
        <w:t>经征询</w:t>
      </w:r>
      <w:r>
        <w:rPr>
          <w:rFonts w:hint="eastAsia" w:ascii="仿宋_GB2312" w:hAnsi="仿宋_GB2312" w:eastAsia="仿宋_GB2312" w:cs="仿宋_GB2312"/>
          <w:color w:val="auto"/>
          <w:kern w:val="2"/>
          <w:sz w:val="32"/>
          <w:szCs w:val="32"/>
          <w:lang w:val="en-US" w:eastAsia="zh-CN" w:bidi="ar-SA"/>
        </w:rPr>
        <w:t>行业主管部门意见后，并报投资主管部门审批。可行性研究报告报批时，应提交申请书、可行性研究报告、招标核准表及按规定提交的其它材料。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条（初步设计及概算）</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可行性研究报告经批准后，项目业主应按规定委托设计机构编制初步设计方案，报投资主管部门审批。初步设计及概算报批时，应提交申请书、初步设计及概算修编文本、初步设计及概算评审结果确认书及按规定提交的其它材料。</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若初步设计提出的投资概算超过经批准的可行性研究报告提出的投资估算10%的</w:t>
      </w:r>
      <w:r>
        <w:rPr>
          <w:rFonts w:hint="eastAsia" w:ascii="仿宋_GB2312" w:hAnsi="仿宋_GB2312" w:cs="仿宋_GB2312"/>
          <w:color w:val="auto"/>
          <w:sz w:val="32"/>
          <w:szCs w:val="32"/>
          <w:lang w:val="en-US" w:eastAsia="zh-CN"/>
        </w:rPr>
        <w:t>或项目建议书匡算10%的</w:t>
      </w:r>
      <w:r>
        <w:rPr>
          <w:rFonts w:hint="eastAsia" w:ascii="仿宋_GB2312" w:hAnsi="仿宋_GB2312" w:eastAsia="仿宋_GB2312" w:cs="仿宋_GB2312"/>
          <w:color w:val="auto"/>
          <w:sz w:val="32"/>
          <w:szCs w:val="32"/>
          <w:lang w:val="en-US" w:eastAsia="zh-CN"/>
        </w:rPr>
        <w:t>，或者建设地点、建设规模、技术方案等发生重大变更的，或者用地规划选址、用地预审需重新报批的，项目单位应当重新组织编制和报批可行性研究报告</w:t>
      </w:r>
      <w:r>
        <w:rPr>
          <w:rFonts w:hint="eastAsia" w:ascii="仿宋_GB2312" w:hAnsi="仿宋_GB2312" w:cs="仿宋_GB2312"/>
          <w:color w:val="auto"/>
          <w:sz w:val="32"/>
          <w:szCs w:val="32"/>
          <w:lang w:val="en-US" w:eastAsia="zh-CN"/>
        </w:rPr>
        <w:t>或建议书。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条（简化程序）</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区：有下列情形之一的，简化审批程序：</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总投资小于50万元（不含）的项目无需立项；以设备采购为主要内容的项目，按照设备采购程序进行采购；垃圾清运、淤泥清理、拆除工程、广告绘制、铁皮围挡、电线整理、盆栽绿化美化等不属于政府固定资产投资的项目，无需办理立项手续。</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（二）总投资在50万元（含）～500万元（不含）的项目，在立项后，可直接进入施工图设计，并按规定和程序组织预算审查。</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（三）总投</w:t>
      </w:r>
      <w:r>
        <w:rPr>
          <w:rFonts w:hint="default" w:ascii="仿宋_GB2312" w:hAnsi="仿宋_GB2312" w:cs="仿宋_GB2312"/>
          <w:color w:val="auto"/>
          <w:kern w:val="2"/>
          <w:sz w:val="32"/>
          <w:szCs w:val="32"/>
          <w:lang w:eastAsia="zh-CN" w:bidi="ar-SA"/>
        </w:rPr>
        <w:t>资在</w:t>
      </w:r>
      <w:r>
        <w:rPr>
          <w:rFonts w:hint="eastAsia" w:ascii="仿宋_GB2312" w:hAnsi="仿宋_GB2312" w:eastAsia="仿宋_GB2312" w:cs="仿宋_GB2312"/>
          <w:color w:val="auto"/>
          <w:kern w:val="2"/>
          <w:sz w:val="32"/>
          <w:szCs w:val="32"/>
          <w:lang w:val="en-US" w:eastAsia="zh-CN" w:bidi="ar-SA"/>
        </w:rPr>
        <w:t>500万元（含）～</w:t>
      </w:r>
      <w:r>
        <w:rPr>
          <w:rFonts w:hint="eastAsia" w:ascii="仿宋_GB2312" w:hAnsi="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000万元（不含）区间的项目，建设内容单一、技术方案简单，或已颁布建设标准和设计规范的，在立项后，可不再编制、报批项目可行性研究报告，直接编制、报批项目初步设计及概算和项目预算后实施。</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（四）为应对自然灾害、事故灾难、公共卫生事件、社会安全等突发事件需要应急建设的项目，总投资额不受限制，由行业主管部门或区属国有企业直接编制初步设计及概算，报投资主管部门审批</w:t>
      </w:r>
      <w:r>
        <w:rPr>
          <w:rFonts w:hint="eastAsia" w:ascii="仿宋_GB2312" w:hAnsi="仿宋_GB2312" w:cs="仿宋_GB2312"/>
          <w:color w:val="auto"/>
          <w:kern w:val="2"/>
          <w:sz w:val="32"/>
          <w:szCs w:val="32"/>
          <w:lang w:val="en-US" w:eastAsia="zh-CN" w:bidi="ar-SA"/>
        </w:rPr>
        <w:t>，后续按项目基本程序相关规定推进。在工程验收前或灾情结束后6个月内完善相关项目审批手续。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条（在线管理）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区：政府投资项目审批原则上均应通过海南投资项目在线审批监管平台（以下简称在线平台）办理，实行网上办理、限时办结。投资主管部门及行业监管部门应加强在线平管理监管，提高项目管理效能。</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投资计划</w:t>
      </w:r>
    </w:p>
    <w:p>
      <w:pPr>
        <w:pStyle w:val="3"/>
        <w:keepNext w:val="0"/>
        <w:keepLines w:val="0"/>
        <w:pageBreakBefore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十</w:t>
      </w:r>
      <w:r>
        <w:rPr>
          <w:rFonts w:hint="eastAsia" w:ascii="仿宋_GB2312" w:hAnsi="仿宋_GB2312" w:eastAsia="仿宋_GB2312" w:cs="仿宋_GB2312"/>
          <w:color w:val="auto"/>
          <w:sz w:val="32"/>
          <w:szCs w:val="32"/>
          <w:lang w:val="en-US" w:eastAsia="zh-CN"/>
        </w:rPr>
        <w:t>条（项目储备）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区：政府投资项目实行项目储备制度，由投资主管部门负责统筹编制，并实施动态调整。经区委、区政府审议通过完成立项批复的项目纳入区级储备库管理</w:t>
      </w:r>
      <w:r>
        <w:rPr>
          <w:rFonts w:hint="eastAsia" w:ascii="仿宋_GB2312" w:hAnsi="仿宋_GB2312" w:cs="仿宋_GB2312"/>
          <w:color w:val="auto"/>
          <w:kern w:val="2"/>
          <w:sz w:val="32"/>
          <w:szCs w:val="32"/>
          <w:lang w:val="en-US" w:eastAsia="zh-CN" w:bidi="ar-SA"/>
        </w:rPr>
        <w:t>，由投资主管部门筛选列入三年滚动政府投资计划。</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条（计划编制）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区：区投资主管部门应根据本级预算安排情况，编制年度投资计划，报</w:t>
      </w:r>
      <w:r>
        <w:rPr>
          <w:rFonts w:hint="eastAsia" w:ascii="仿宋_GB2312" w:hAnsi="仿宋_GB2312" w:eastAsia="仿宋_GB2312" w:cs="仿宋_GB2312"/>
          <w:b w:val="0"/>
          <w:bCs w:val="0"/>
          <w:color w:val="auto"/>
          <w:spacing w:val="0"/>
          <w:w w:val="100"/>
          <w:sz w:val="32"/>
          <w:szCs w:val="32"/>
          <w:highlight w:val="none"/>
          <w:lang w:eastAsia="zh-CN"/>
        </w:rPr>
        <w:t>区委、区政府审定后执行。</w:t>
      </w:r>
      <w:r>
        <w:rPr>
          <w:rFonts w:hint="eastAsia" w:ascii="仿宋_GB2312" w:hAnsi="仿宋_GB2312" w:eastAsia="仿宋_GB2312" w:cs="仿宋_GB2312"/>
          <w:color w:val="auto"/>
          <w:sz w:val="32"/>
          <w:szCs w:val="32"/>
          <w:lang w:val="en-US" w:eastAsia="zh-CN"/>
        </w:rPr>
        <w:t>列入年度投资计划的新开工项目，原则上从政府投资项目储备库中选取。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条（计划执行</w:t>
      </w:r>
      <w:r>
        <w:rPr>
          <w:rFonts w:hint="eastAsia" w:ascii="仿宋_GB2312" w:hAnsi="仿宋_GB2312" w:cs="仿宋_GB2312"/>
          <w:color w:val="auto"/>
          <w:sz w:val="32"/>
          <w:szCs w:val="32"/>
          <w:lang w:val="en-US" w:eastAsia="zh-CN"/>
        </w:rPr>
        <w:t>和调整</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hAnsi="仿宋_GB2312" w:cs="仿宋_GB2312"/>
          <w:color w:val="auto"/>
          <w:sz w:val="32"/>
          <w:szCs w:val="32"/>
          <w:lang w:val="en-US" w:eastAsia="zh-CN"/>
        </w:rPr>
        <w:t>区：政府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eastAsia="仿宋_GB2312" w:cs="仿宋_GB2312"/>
          <w:b w:val="0"/>
          <w:bCs w:val="0"/>
          <w:color w:val="auto"/>
          <w:spacing w:val="0"/>
          <w:w w:val="100"/>
          <w:sz w:val="32"/>
          <w:szCs w:val="32"/>
          <w:highlight w:val="none"/>
        </w:rPr>
        <w:t>一经批准，必须严格执行，任何单位和个人不得擅自变更</w:t>
      </w:r>
      <w:r>
        <w:rPr>
          <w:rFonts w:hint="eastAsia" w:ascii="仿宋_GB2312" w:hAnsi="仿宋_GB2312" w:eastAsia="仿宋_GB2312" w:cs="仿宋_GB2312"/>
          <w:b w:val="0"/>
          <w:bCs w:val="0"/>
          <w:color w:val="auto"/>
          <w:spacing w:val="0"/>
          <w:w w:val="100"/>
          <w:sz w:val="32"/>
          <w:szCs w:val="32"/>
          <w:highlight w:val="none"/>
          <w:lang w:eastAsia="zh-CN"/>
        </w:rPr>
        <w:t>。</w:t>
      </w:r>
      <w:r>
        <w:rPr>
          <w:rFonts w:hint="eastAsia" w:ascii="仿宋_GB2312" w:hAnsi="仿宋_GB2312" w:cs="仿宋_GB2312"/>
          <w:b w:val="0"/>
          <w:bCs w:val="0"/>
          <w:color w:val="auto"/>
          <w:spacing w:val="0"/>
          <w:w w:val="100"/>
          <w:sz w:val="32"/>
          <w:szCs w:val="32"/>
          <w:highlight w:val="none"/>
          <w:lang w:val="en-US" w:eastAsia="zh-CN"/>
        </w:rPr>
        <w:t>区投资主管部门年中根据实际情况对</w:t>
      </w:r>
      <w:r>
        <w:rPr>
          <w:rFonts w:hint="eastAsia" w:ascii="仿宋_GB2312" w:hAnsi="仿宋_GB2312" w:cs="仿宋_GB2312"/>
          <w:color w:val="auto"/>
          <w:sz w:val="32"/>
          <w:szCs w:val="32"/>
          <w:lang w:val="en-US" w:eastAsia="zh-CN"/>
        </w:rPr>
        <w:t>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cs="仿宋_GB2312"/>
          <w:color w:val="auto"/>
          <w:sz w:val="32"/>
          <w:szCs w:val="32"/>
          <w:lang w:val="en-US" w:eastAsia="zh-CN"/>
        </w:rPr>
        <w:t>进行调整，其它政府</w:t>
      </w:r>
      <w:r>
        <w:rPr>
          <w:rFonts w:hint="eastAsia" w:ascii="仿宋_GB2312" w:hAnsi="仿宋_GB2312" w:eastAsia="仿宋_GB2312" w:cs="仿宋_GB2312"/>
          <w:color w:val="auto"/>
          <w:sz w:val="32"/>
          <w:szCs w:val="32"/>
          <w:lang w:val="en-US" w:eastAsia="zh-CN"/>
        </w:rPr>
        <w:t>年度投资计划</w:t>
      </w:r>
      <w:r>
        <w:rPr>
          <w:rFonts w:hint="eastAsia" w:ascii="仿宋_GB2312" w:hAnsi="仿宋_GB2312" w:cs="仿宋_GB2312"/>
          <w:color w:val="auto"/>
          <w:sz w:val="32"/>
          <w:szCs w:val="32"/>
          <w:lang w:val="en-US" w:eastAsia="zh-CN"/>
        </w:rPr>
        <w:t>外</w:t>
      </w:r>
      <w:r>
        <w:rPr>
          <w:rFonts w:hint="eastAsia" w:ascii="仿宋_GB2312" w:eastAsia="仿宋_GB2312"/>
          <w:b w:val="0"/>
          <w:bCs w:val="0"/>
          <w:color w:val="auto"/>
          <w:sz w:val="32"/>
          <w:szCs w:val="32"/>
          <w:highlight w:val="none"/>
          <w:lang w:eastAsia="zh-CN"/>
        </w:rPr>
        <w:t>需增加的</w:t>
      </w:r>
      <w:r>
        <w:rPr>
          <w:rFonts w:hint="eastAsia" w:ascii="仿宋_GB2312" w:eastAsia="仿宋_GB2312"/>
          <w:b w:val="0"/>
          <w:bCs w:val="0"/>
          <w:color w:val="auto"/>
          <w:sz w:val="32"/>
          <w:szCs w:val="32"/>
          <w:highlight w:val="none"/>
        </w:rPr>
        <w:t>项目</w:t>
      </w:r>
      <w:r>
        <w:rPr>
          <w:rFonts w:hint="eastAsia" w:ascii="仿宋_GB2312" w:eastAsia="仿宋_GB2312"/>
          <w:b w:val="0"/>
          <w:bCs w:val="0"/>
          <w:color w:val="auto"/>
          <w:sz w:val="32"/>
          <w:szCs w:val="32"/>
          <w:highlight w:val="none"/>
          <w:lang w:eastAsia="zh-CN"/>
        </w:rPr>
        <w:t>原则上列入下一年度计划实施，</w:t>
      </w:r>
      <w:r>
        <w:rPr>
          <w:rFonts w:hint="eastAsia" w:ascii="仿宋_GB2312"/>
          <w:b w:val="0"/>
          <w:bCs w:val="0"/>
          <w:color w:val="auto"/>
          <w:sz w:val="32"/>
          <w:szCs w:val="32"/>
          <w:highlight w:val="none"/>
          <w:lang w:val="en-US" w:eastAsia="zh-CN"/>
        </w:rPr>
        <w:t>确</w:t>
      </w:r>
      <w:r>
        <w:rPr>
          <w:rFonts w:hint="eastAsia" w:ascii="仿宋_GB2312" w:eastAsia="仿宋_GB2312"/>
          <w:b w:val="0"/>
          <w:bCs w:val="0"/>
          <w:color w:val="auto"/>
          <w:sz w:val="32"/>
          <w:szCs w:val="32"/>
          <w:highlight w:val="none"/>
          <w:lang w:eastAsia="zh-CN"/>
        </w:rPr>
        <w:t>需紧急实施的项目</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按</w:t>
      </w:r>
      <w:r>
        <w:rPr>
          <w:rFonts w:hint="eastAsia" w:ascii="仿宋_GB2312"/>
          <w:b w:val="0"/>
          <w:bCs w:val="0"/>
          <w:color w:val="auto"/>
          <w:sz w:val="32"/>
          <w:szCs w:val="32"/>
          <w:highlight w:val="none"/>
          <w:lang w:val="en-US" w:eastAsia="zh-CN"/>
        </w:rPr>
        <w:t>照第五条规定实施。</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建设管理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第十三条（项目代建）</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zh-CN" w:bidi="ar-SA"/>
        </w:rPr>
        <w:t>建安工程概算投资额在</w:t>
      </w:r>
      <w:r>
        <w:rPr>
          <w:rFonts w:hint="eastAsia" w:ascii="仿宋_GB2312" w:hAnsi="仿宋_GB2312" w:cs="仿宋_GB2312"/>
          <w:color w:val="auto"/>
          <w:kern w:val="2"/>
          <w:sz w:val="32"/>
          <w:szCs w:val="32"/>
          <w:lang w:val="en-US" w:eastAsia="zh-CN" w:bidi="ar-SA"/>
        </w:rPr>
        <w:t>1000</w:t>
      </w:r>
      <w:r>
        <w:rPr>
          <w:rFonts w:hint="eastAsia" w:ascii="仿宋_GB2312" w:hAnsi="仿宋_GB2312" w:eastAsia="仿宋_GB2312" w:cs="仿宋_GB2312"/>
          <w:color w:val="auto"/>
          <w:kern w:val="2"/>
          <w:sz w:val="32"/>
          <w:szCs w:val="32"/>
          <w:lang w:val="en-US" w:eastAsia="zh-CN" w:bidi="ar-SA"/>
        </w:rPr>
        <w:t>万元以上（含）的政府投资项目原则上都应实行代建制，但有下列情形之一的可不实行代建制：</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（一）区住房和城乡建设局、区农业农村局等具有工程建设项目管理能力的</w:t>
      </w:r>
      <w:r>
        <w:rPr>
          <w:rFonts w:hint="eastAsia" w:ascii="仿宋_GB2312" w:hAnsi="仿宋_GB2312" w:cs="仿宋_GB2312"/>
          <w:color w:val="auto"/>
          <w:kern w:val="2"/>
          <w:sz w:val="32"/>
          <w:szCs w:val="32"/>
          <w:lang w:val="en-US" w:eastAsia="zh-CN" w:bidi="ar-SA"/>
        </w:rPr>
        <w:t>建设</w:t>
      </w:r>
      <w:r>
        <w:rPr>
          <w:rFonts w:hint="eastAsia" w:ascii="仿宋_GB2312" w:hAnsi="仿宋_GB2312" w:eastAsia="仿宋_GB2312" w:cs="仿宋_GB2312"/>
          <w:color w:val="auto"/>
          <w:kern w:val="2"/>
          <w:sz w:val="32"/>
          <w:szCs w:val="32"/>
          <w:lang w:val="en-US" w:eastAsia="zh-CN" w:bidi="ar-SA"/>
        </w:rPr>
        <w:t>单位，或由三亚市崖州区城市</w:t>
      </w:r>
      <w:r>
        <w:rPr>
          <w:rFonts w:hint="eastAsia" w:ascii="仿宋_GB2312" w:hAnsi="仿宋_GB2312" w:cs="仿宋_GB2312"/>
          <w:color w:val="auto"/>
          <w:kern w:val="2"/>
          <w:sz w:val="32"/>
          <w:szCs w:val="32"/>
          <w:lang w:val="en-US" w:eastAsia="zh-CN" w:bidi="ar-SA"/>
        </w:rPr>
        <w:t>工程</w:t>
      </w:r>
      <w:r>
        <w:rPr>
          <w:rFonts w:hint="eastAsia" w:ascii="仿宋_GB2312" w:hAnsi="仿宋_GB2312" w:eastAsia="仿宋_GB2312" w:cs="仿宋_GB2312"/>
          <w:color w:val="auto"/>
          <w:kern w:val="2"/>
          <w:sz w:val="32"/>
          <w:szCs w:val="32"/>
          <w:lang w:val="en-US" w:eastAsia="zh-CN" w:bidi="ar-SA"/>
        </w:rPr>
        <w:t>建设有限公司</w:t>
      </w:r>
      <w:r>
        <w:rPr>
          <w:rFonts w:hint="eastAsia" w:ascii="仿宋_GB2312" w:hAnsi="仿宋_GB2312" w:cs="仿宋_GB2312"/>
          <w:color w:val="auto"/>
          <w:kern w:val="2"/>
          <w:sz w:val="32"/>
          <w:szCs w:val="32"/>
          <w:lang w:val="en-US" w:eastAsia="zh-CN" w:bidi="ar-SA"/>
        </w:rPr>
        <w:t>、三亚琼崖农业发展有限公司</w:t>
      </w:r>
      <w:r>
        <w:rPr>
          <w:rFonts w:hint="eastAsia" w:ascii="仿宋_GB2312" w:hAnsi="仿宋_GB2312" w:eastAsia="仿宋_GB2312" w:cs="仿宋_GB2312"/>
          <w:color w:val="auto"/>
          <w:kern w:val="2"/>
          <w:sz w:val="32"/>
          <w:szCs w:val="32"/>
          <w:lang w:val="en-US" w:eastAsia="zh-CN" w:bidi="ar-SA"/>
        </w:rPr>
        <w:t>等具备工程管理能力的区属国有企业作为业主实施的项目；</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（二）经区政府区长专题会议批准特殊情况需自行组织建设的项目；</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（三）其他依法依规不实行代建制的情形。涉及国家安全、国家秘密的项目不得实行代建制。</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代建费超过50万元</w:t>
      </w:r>
      <w:r>
        <w:rPr>
          <w:rFonts w:hint="default" w:ascii="仿宋_GB2312" w:hAnsi="仿宋_GB2312" w:cs="仿宋_GB2312"/>
          <w:color w:val="auto"/>
          <w:kern w:val="2"/>
          <w:sz w:val="32"/>
          <w:szCs w:val="32"/>
          <w:lang w:eastAsia="zh-CN" w:bidi="ar-SA"/>
        </w:rPr>
        <w:t>（含）</w:t>
      </w:r>
      <w:r>
        <w:rPr>
          <w:rFonts w:hint="eastAsia" w:ascii="仿宋_GB2312" w:hAnsi="仿宋_GB2312" w:cs="仿宋_GB2312"/>
          <w:color w:val="auto"/>
          <w:kern w:val="2"/>
          <w:sz w:val="32"/>
          <w:szCs w:val="32"/>
          <w:lang w:val="en-US" w:eastAsia="zh-CN" w:bidi="ar-SA"/>
        </w:rPr>
        <w:t>的项目，代建单位原则上应由项目业主通过公开招标方式产生。实行代建的项目，项目业主仍是项目管理的责任主体，实行项目法人责任制，以合同权责内容为重点，对代建单位等项目单位实施全过程监督管理。</w:t>
      </w:r>
      <w:r>
        <w:rPr>
          <w:rFonts w:hint="eastAsia" w:ascii="仿宋_GB2312" w:hAnsi="仿宋_GB2312" w:eastAsia="仿宋_GB2312" w:cs="仿宋_GB2312"/>
          <w:color w:val="auto"/>
          <w:kern w:val="2"/>
          <w:sz w:val="32"/>
          <w:szCs w:val="32"/>
          <w:lang w:val="en-US" w:eastAsia="zh-CN" w:bidi="ar-SA"/>
        </w:rPr>
        <w:t>代建项目原则上应采用全过程代建方式。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第十四条（项目代管）</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区：总投资在500万元以上（含）卫生健康、教育、文化、体育、民政等社会领域政府投资项目，原则上都应当实行代管制。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代管单位原则上由项目业主从</w:t>
      </w:r>
      <w:r>
        <w:rPr>
          <w:rFonts w:hint="eastAsia" w:ascii="仿宋_GB2312" w:hAnsi="仿宋_GB2312" w:cs="仿宋_GB2312"/>
          <w:color w:val="auto"/>
          <w:kern w:val="2"/>
          <w:sz w:val="32"/>
          <w:szCs w:val="32"/>
          <w:lang w:val="en-US" w:eastAsia="zh-CN" w:bidi="ar-SA"/>
        </w:rPr>
        <w:t>属地</w:t>
      </w:r>
      <w:r>
        <w:rPr>
          <w:rFonts w:hint="eastAsia" w:ascii="仿宋_GB2312" w:hAnsi="仿宋_GB2312" w:eastAsia="仿宋_GB2312" w:cs="仿宋_GB2312"/>
          <w:color w:val="auto"/>
          <w:kern w:val="2"/>
          <w:sz w:val="32"/>
          <w:szCs w:val="32"/>
          <w:lang w:val="en-US" w:eastAsia="zh-CN" w:bidi="ar-SA"/>
        </w:rPr>
        <w:t>符合规定条件的国有企业中</w:t>
      </w:r>
      <w:r>
        <w:rPr>
          <w:rFonts w:hint="eastAsia" w:ascii="仿宋_GB2312" w:hAnsi="仿宋_GB2312" w:cs="仿宋_GB2312"/>
          <w:color w:val="auto"/>
          <w:kern w:val="2"/>
          <w:sz w:val="32"/>
          <w:szCs w:val="32"/>
          <w:lang w:val="en-US" w:eastAsia="zh-CN" w:bidi="ar-SA"/>
        </w:rPr>
        <w:t>择优</w:t>
      </w:r>
      <w:r>
        <w:rPr>
          <w:rFonts w:hint="eastAsia" w:ascii="仿宋_GB2312" w:hAnsi="仿宋_GB2312" w:eastAsia="仿宋_GB2312" w:cs="仿宋_GB2312"/>
          <w:color w:val="auto"/>
          <w:kern w:val="2"/>
          <w:sz w:val="32"/>
          <w:szCs w:val="32"/>
          <w:lang w:val="en-US" w:eastAsia="zh-CN" w:bidi="ar-SA"/>
        </w:rPr>
        <w:t>选出。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实行代管的项目，卫生健康、教育、文化、体育、民政等行业主管部门负责监督指导项目单位开展项目代管工作，并将代管单位及代管管理人员纳入项目建设市场信用体系管理。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cs="仿宋_GB2312"/>
          <w:color w:val="auto"/>
          <w:sz w:val="32"/>
          <w:szCs w:val="32"/>
          <w:lang w:val="en-US" w:eastAsia="zh-CN"/>
        </w:rPr>
        <w:t>五条（招标监管）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区：项目业主应按照相关法律法规依法进行招标采购活动。各行</w:t>
      </w:r>
      <w:r>
        <w:rPr>
          <w:rFonts w:hint="default" w:ascii="仿宋_GB2312" w:hAnsi="仿宋_GB2312" w:cs="仿宋_GB2312"/>
          <w:color w:val="auto"/>
          <w:kern w:val="2"/>
          <w:sz w:val="32"/>
          <w:szCs w:val="32"/>
          <w:lang w:eastAsia="zh-CN" w:bidi="ar-SA"/>
        </w:rPr>
        <w:t>业</w:t>
      </w:r>
      <w:r>
        <w:rPr>
          <w:rFonts w:hint="eastAsia" w:ascii="仿宋_GB2312" w:hAnsi="仿宋_GB2312" w:cs="仿宋_GB2312"/>
          <w:color w:val="auto"/>
          <w:kern w:val="2"/>
          <w:sz w:val="32"/>
          <w:szCs w:val="32"/>
          <w:lang w:val="en-US" w:eastAsia="zh-CN" w:bidi="ar-SA"/>
        </w:rPr>
        <w:t>主管部门应按照行业监管职责履行招标监管责任。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（一）区住房和城乡建设局为建筑工程等项目招标投标活动监督部门。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（二）区交通运输局为交通运输工程等项目招标投标活动监督部门。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（三）区水务林业局为水务工程、林业工程等项目招标投标活动监督部门。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（四）区发展改革委为电力与能源工程、工业和信息化工程等项目招标投标活动监督部门。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（五）市自然资源与规划局崖州分局为自然资源工程、海洋工程等项目招标投标活动监督部门。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（六）区农业农村局为渔业工程、农业农村工程等项目招标投标活动监督部门。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（七）区旅游和文化广电体育局为文化广电出版体育工程等项目招标投标活动监督部门。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（八）市生态环境局崖州分局为生态环境工程等项目招标投标活动监督部门。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（九）区应急管理局为地震灾害工程等项目招标投标活动监督部门。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条（开工建设）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区：项目业主应当在</w:t>
      </w:r>
      <w:r>
        <w:rPr>
          <w:rFonts w:hint="eastAsia" w:ascii="仿宋_GB2312" w:hAnsi="仿宋_GB2312" w:cs="仿宋_GB2312"/>
          <w:color w:val="auto"/>
          <w:kern w:val="2"/>
          <w:sz w:val="32"/>
          <w:szCs w:val="32"/>
          <w:lang w:val="en-US" w:eastAsia="zh-CN" w:bidi="ar-SA"/>
        </w:rPr>
        <w:t>完成相关手续办理，达到</w:t>
      </w:r>
      <w:r>
        <w:rPr>
          <w:rFonts w:hint="eastAsia" w:ascii="仿宋_GB2312" w:hAnsi="仿宋_GB2312" w:eastAsia="仿宋_GB2312" w:cs="仿宋_GB2312"/>
          <w:color w:val="auto"/>
          <w:kern w:val="2"/>
          <w:sz w:val="32"/>
          <w:szCs w:val="32"/>
          <w:lang w:val="en-US" w:eastAsia="zh-CN" w:bidi="ar-SA"/>
        </w:rPr>
        <w:t>国家规定的各项开工条件后，方可开工建设</w:t>
      </w:r>
      <w:r>
        <w:rPr>
          <w:rFonts w:hint="eastAsia" w:ascii="仿宋_GB2312" w:hAnsi="仿宋_GB2312" w:cs="仿宋_GB2312"/>
          <w:color w:val="auto"/>
          <w:kern w:val="2"/>
          <w:sz w:val="32"/>
          <w:szCs w:val="32"/>
          <w:lang w:val="en-US" w:eastAsia="zh-CN" w:bidi="ar-SA"/>
        </w:rPr>
        <w:t>，并按照明确的开工时间、建设周期要求加快建设。</w:t>
      </w:r>
    </w:p>
    <w:p>
      <w:pPr>
        <w:pStyle w:val="3"/>
        <w:keepNext w:val="0"/>
        <w:keepLines w:val="0"/>
        <w:pageBreakBefore w:val="0"/>
        <w:widowControl w:val="0"/>
        <w:kinsoku/>
        <w:wordWrap/>
        <w:overflowPunct/>
        <w:topLinePunct w:val="0"/>
        <w:autoSpaceDE/>
        <w:autoSpaceDN/>
        <w:bidi w:val="0"/>
        <w:adjustRightInd/>
        <w:snapToGrid/>
        <w:spacing w:after="0" w:line="55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项目实施过程中不得任意压缩或随意延长合理工期。项目业主应当通过在线平台如实报送政府投资项目开工建设、建设进度、竣工的基本信息。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条（开工前内容变更）</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cs="仿宋_GB2312"/>
          <w:b w:val="0"/>
          <w:bCs w:val="0"/>
          <w:color w:val="auto"/>
          <w:spacing w:val="0"/>
          <w:w w:val="100"/>
          <w:sz w:val="32"/>
          <w:szCs w:val="32"/>
          <w:highlight w:val="none"/>
          <w:lang w:val="en-US" w:eastAsia="zh-CN"/>
        </w:rPr>
        <w:t>区：</w:t>
      </w:r>
      <w:r>
        <w:rPr>
          <w:rFonts w:hint="eastAsia" w:ascii="仿宋_GB2312" w:hAnsi="仿宋_GB2312" w:eastAsia="仿宋_GB2312" w:cs="仿宋_GB2312"/>
          <w:b w:val="0"/>
          <w:bCs w:val="0"/>
          <w:color w:val="auto"/>
          <w:spacing w:val="0"/>
          <w:w w:val="100"/>
          <w:sz w:val="32"/>
          <w:szCs w:val="32"/>
          <w:highlight w:val="none"/>
          <w:lang w:val="en-US" w:eastAsia="zh-CN"/>
        </w:rPr>
        <w:t>项目立项后到开工前，因项目名称、建设规模、建设内容，建设地点等变更的，应报原审批部门批准同意。对项目建设规模、内容、地址等发生重大变更的，按以下规定执行：</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一）项目名称变更，或建设规模、建设内容等变更部分内容投资在项目总投资30%以内的（含30%）且增加投资未超出原审批金额10%的，项目主要建设内容、使用功能和用地规划条件未发生根本改变的，项目业主应报原审批部门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eastAsia="zh-CN"/>
        </w:rPr>
        <w:t>（二）</w:t>
      </w:r>
      <w:r>
        <w:rPr>
          <w:rFonts w:hint="eastAsia" w:ascii="仿宋_GB2312" w:hAnsi="仿宋_GB2312" w:eastAsia="仿宋_GB2312" w:cs="仿宋_GB2312"/>
          <w:b w:val="0"/>
          <w:bCs w:val="0"/>
          <w:color w:val="auto"/>
          <w:spacing w:val="0"/>
          <w:w w:val="100"/>
          <w:sz w:val="32"/>
          <w:szCs w:val="32"/>
          <w:highlight w:val="none"/>
          <w:lang w:val="en-US" w:eastAsia="zh-CN"/>
        </w:rPr>
        <w:t>项目建设规模、内容调整造部分的建设内容投资超出项目总投资30%以上的或增加项目投资10%以上且增加金额在100万元以内的，但项目主要建设内容、使用功能和用地规划条件未发生根本改变的，由项目业主报区长专题会审议后报区投资主管部门备案。</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（三）项目建设规模或内容调整部分造价超出项目总投资30%以上，增加投资100万元（含）以上，500万元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b w:val="0"/>
          <w:bCs w:val="0"/>
          <w:color w:val="auto"/>
          <w:spacing w:val="0"/>
          <w:w w:val="100"/>
          <w:sz w:val="32"/>
          <w:szCs w:val="32"/>
          <w:highlight w:val="none"/>
          <w:lang w:val="en-US" w:eastAsia="zh-CN"/>
        </w:rPr>
        <w:t>以下的，且项目规划选址条件不变，未发生功能性改变的，需经区政府常务会审定。</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（四）增加项目总投资500万元（含）以上的，且项目规划选址条件不变，未发生功能性改变的，需经区委常委会审定。</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val="0"/>
          <w:bCs w:val="0"/>
          <w:color w:val="auto"/>
          <w:spacing w:val="0"/>
          <w:w w:val="100"/>
          <w:sz w:val="32"/>
          <w:szCs w:val="32"/>
          <w:highlight w:val="none"/>
          <w:lang w:val="en-US" w:eastAsia="zh-CN"/>
        </w:rPr>
        <w:t>（五）项目主体内容发生变更、功能性改变或重新选址导致规划条件改变的，涉及用地规划调整的需在征得规划部门意见后，报区政府审定后重新立项。不涉及用地规划的项目，调整建设地点的需经区政府审定后，报区投资主管部门备案后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条（设计变更）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项目业主应当按批准的设计方案和施工图进行施工，不得随意变更调整。对符合设计变更条件确需调整的，项目业主应严格按照设计变更程序向投资主管部门报批。未经批准的设计变更不得施工。凡未经批准擅自调整设计内容超成超概算的，一律由项目单位自担后果、自筹资金、自负责任，所增加的工程费用一律不得纳入结算造价，财政部门不予以拔付。属于工程签证的</w:t>
      </w:r>
      <w:r>
        <w:rPr>
          <w:rFonts w:hint="eastAsia" w:ascii="仿宋_GB2312" w:hAnsi="仿宋_GB2312" w:cs="仿宋_GB2312"/>
          <w:color w:val="auto"/>
          <w:sz w:val="32"/>
          <w:szCs w:val="32"/>
          <w:lang w:val="en-US" w:eastAsia="zh-CN"/>
        </w:rPr>
        <w:t>参</w:t>
      </w:r>
      <w:r>
        <w:rPr>
          <w:rFonts w:hint="eastAsia" w:ascii="仿宋_GB2312" w:hAnsi="仿宋_GB2312" w:eastAsia="仿宋_GB2312" w:cs="仿宋_GB2312"/>
          <w:color w:val="auto"/>
          <w:sz w:val="32"/>
          <w:szCs w:val="32"/>
          <w:lang w:val="en-US" w:eastAsia="zh-CN"/>
        </w:rPr>
        <w:t>照设计变更程序办理。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（一）经区投资主管部门审核，</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以上的，为一类设计变更，</w:t>
      </w:r>
      <w:r>
        <w:rPr>
          <w:rFonts w:hint="eastAsia" w:ascii="仿宋_GB2312" w:hAnsi="仿宋_GB2312" w:eastAsia="仿宋_GB2312" w:cs="仿宋_GB2312"/>
          <w:color w:val="auto"/>
          <w:sz w:val="32"/>
          <w:szCs w:val="32"/>
          <w:highlight w:val="none"/>
          <w:lang w:eastAsia="zh-CN"/>
        </w:rPr>
        <w:t>提交区委常委会审议批准。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（二）经区投资主管部门审核，</w:t>
      </w:r>
      <w:r>
        <w:rPr>
          <w:rFonts w:hint="eastAsia" w:ascii="仿宋_GB2312" w:hAnsi="仿宋_GB2312" w:eastAsia="仿宋_GB2312" w:cs="仿宋_GB2312"/>
          <w:color w:val="auto"/>
          <w:sz w:val="32"/>
          <w:szCs w:val="32"/>
          <w:highlight w:val="none"/>
        </w:rPr>
        <w:t>设计变更后增加或累计增加</w:t>
      </w:r>
      <w:bookmarkStart w:id="1" w:name="_GoBack"/>
      <w:bookmarkEnd w:id="1"/>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 xml:space="preserve"> 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color w:val="auto"/>
          <w:sz w:val="32"/>
          <w:szCs w:val="32"/>
          <w:highlight w:val="none"/>
          <w:lang w:eastAsia="zh-CN"/>
        </w:rPr>
        <w:t>区间的</w:t>
      </w:r>
      <w:r>
        <w:rPr>
          <w:rFonts w:hint="eastAsia" w:ascii="仿宋_GB2312" w:hAnsi="仿宋_GB2312" w:eastAsia="仿宋_GB2312" w:cs="仿宋_GB2312"/>
          <w:color w:val="auto"/>
          <w:sz w:val="32"/>
          <w:szCs w:val="32"/>
          <w:highlight w:val="none"/>
        </w:rPr>
        <w:t>，为二类设计变更，</w:t>
      </w:r>
      <w:r>
        <w:rPr>
          <w:rFonts w:hint="eastAsia" w:ascii="仿宋_GB2312" w:hAnsi="仿宋_GB2312" w:eastAsia="仿宋_GB2312" w:cs="仿宋_GB2312"/>
          <w:color w:val="auto"/>
          <w:sz w:val="32"/>
          <w:szCs w:val="32"/>
          <w:highlight w:val="none"/>
          <w:lang w:eastAsia="zh-CN"/>
        </w:rPr>
        <w:t>应提交区</w:t>
      </w:r>
      <w:r>
        <w:rPr>
          <w:rFonts w:hint="eastAsia" w:ascii="仿宋_GB2312" w:hAnsi="仿宋_GB2312" w:eastAsia="仿宋_GB2312" w:cs="仿宋_GB2312"/>
          <w:color w:val="auto"/>
          <w:sz w:val="32"/>
          <w:szCs w:val="32"/>
          <w:highlight w:val="none"/>
        </w:rPr>
        <w:t>政府</w:t>
      </w:r>
      <w:r>
        <w:rPr>
          <w:rFonts w:hint="eastAsia" w:ascii="仿宋_GB2312" w:hAnsi="仿宋_GB2312" w:eastAsia="仿宋_GB2312" w:cs="仿宋_GB2312"/>
          <w:color w:val="auto"/>
          <w:sz w:val="32"/>
          <w:szCs w:val="32"/>
          <w:highlight w:val="none"/>
          <w:lang w:eastAsia="zh-CN"/>
        </w:rPr>
        <w:t>常务会</w:t>
      </w:r>
      <w:r>
        <w:rPr>
          <w:rFonts w:hint="eastAsia" w:ascii="仿宋_GB2312" w:hAnsi="仿宋_GB2312" w:eastAsia="仿宋_GB2312" w:cs="仿宋_GB2312"/>
          <w:color w:val="auto"/>
          <w:sz w:val="32"/>
          <w:szCs w:val="32"/>
          <w:highlight w:val="none"/>
        </w:rPr>
        <w:t xml:space="preserve">议审议批准; </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（三）经区投资主管部门审核，</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0万元（含）～100万元</w:t>
      </w:r>
      <w:r>
        <w:rPr>
          <w:rFonts w:hint="default" w:ascii="仿宋_GB2312" w:hAnsi="仿宋_GB2312" w:cs="仿宋_GB2312"/>
          <w:b w:val="0"/>
          <w:bCs w:val="0"/>
          <w:color w:val="auto"/>
          <w:spacing w:val="0"/>
          <w:w w:val="100"/>
          <w:sz w:val="32"/>
          <w:szCs w:val="32"/>
          <w:highlight w:val="none"/>
          <w:lang w:eastAsia="zh-CN"/>
        </w:rPr>
        <w:t>（不含）</w:t>
      </w:r>
      <w:r>
        <w:rPr>
          <w:rFonts w:hint="eastAsia" w:ascii="仿宋_GB2312" w:hAnsi="仿宋_GB2312" w:eastAsia="仿宋_GB2312" w:cs="仿宋_GB2312"/>
          <w:color w:val="auto"/>
          <w:sz w:val="32"/>
          <w:szCs w:val="32"/>
          <w:highlight w:val="none"/>
          <w:lang w:eastAsia="zh-CN"/>
        </w:rPr>
        <w:t>区间的，</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类设计变更，</w:t>
      </w:r>
      <w:r>
        <w:rPr>
          <w:rFonts w:hint="eastAsia" w:ascii="仿宋_GB2312" w:hAnsi="仿宋_GB2312" w:eastAsia="仿宋_GB2312" w:cs="仿宋_GB2312"/>
          <w:color w:val="auto"/>
          <w:sz w:val="32"/>
          <w:szCs w:val="32"/>
          <w:highlight w:val="none"/>
          <w:lang w:eastAsia="zh-CN"/>
        </w:rPr>
        <w:t>应提交区长</w:t>
      </w:r>
      <w:r>
        <w:rPr>
          <w:rFonts w:hint="eastAsia" w:ascii="仿宋_GB2312" w:hAnsi="仿宋_GB2312" w:cs="仿宋_GB2312"/>
          <w:color w:val="auto"/>
          <w:sz w:val="32"/>
          <w:szCs w:val="32"/>
          <w:highlight w:val="none"/>
          <w:lang w:val="en-US" w:eastAsia="zh-CN"/>
        </w:rPr>
        <w:t>办公</w:t>
      </w:r>
      <w:r>
        <w:rPr>
          <w:rFonts w:hint="eastAsia" w:ascii="仿宋_GB2312" w:hAnsi="仿宋_GB2312" w:eastAsia="仿宋_GB2312" w:cs="仿宋_GB2312"/>
          <w:color w:val="auto"/>
          <w:sz w:val="32"/>
          <w:szCs w:val="32"/>
          <w:highlight w:val="none"/>
          <w:lang w:eastAsia="zh-CN"/>
        </w:rPr>
        <w:t>会议审议批准；</w:t>
      </w:r>
    </w:p>
    <w:p>
      <w:pPr>
        <w:keepNext w:val="0"/>
        <w:keepLines w:val="0"/>
        <w:pageBreakBefore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设计变更后增加或累计增加</w:t>
      </w:r>
      <w:r>
        <w:rPr>
          <w:rFonts w:hint="eastAsia" w:ascii="仿宋_GB2312" w:hAnsi="仿宋_GB2312" w:cs="仿宋_GB2312"/>
          <w:color w:val="auto"/>
          <w:sz w:val="32"/>
          <w:szCs w:val="32"/>
          <w:highlight w:val="none"/>
          <w:lang w:val="en-US" w:eastAsia="zh-CN"/>
        </w:rPr>
        <w:t>或累计减少</w:t>
      </w:r>
      <w:r>
        <w:rPr>
          <w:rFonts w:hint="eastAsia" w:ascii="仿宋_GB2312" w:hAnsi="仿宋_GB2312" w:eastAsia="仿宋_GB2312" w:cs="仿宋_GB2312"/>
          <w:color w:val="auto"/>
          <w:sz w:val="32"/>
          <w:szCs w:val="32"/>
          <w:highlight w:val="none"/>
        </w:rPr>
        <w:t>预算造价</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0万元（不含）以下的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类设计变更，</w:t>
      </w:r>
      <w:r>
        <w:rPr>
          <w:rFonts w:hint="eastAsia" w:ascii="仿宋_GB2312" w:hAnsi="仿宋_GB2312" w:cs="仿宋_GB2312"/>
          <w:color w:val="auto"/>
          <w:sz w:val="32"/>
          <w:szCs w:val="32"/>
          <w:highlight w:val="none"/>
          <w:lang w:val="en-US" w:eastAsia="zh-CN"/>
        </w:rPr>
        <w:t>由项目业主自行审查后，审</w:t>
      </w:r>
      <w:r>
        <w:rPr>
          <w:rFonts w:hint="eastAsia" w:ascii="仿宋_GB2312" w:hAnsi="仿宋_GB2312" w:eastAsia="仿宋_GB2312" w:cs="仿宋_GB2312"/>
          <w:color w:val="auto"/>
          <w:sz w:val="32"/>
          <w:szCs w:val="32"/>
          <w:highlight w:val="none"/>
        </w:rPr>
        <w:t>报</w:t>
      </w:r>
      <w:r>
        <w:rPr>
          <w:rFonts w:hint="eastAsia" w:ascii="仿宋_GB2312" w:hAnsi="仿宋_GB2312" w:eastAsia="仿宋_GB2312" w:cs="仿宋_GB2312"/>
          <w:color w:val="auto"/>
          <w:sz w:val="32"/>
          <w:szCs w:val="32"/>
          <w:highlight w:val="none"/>
          <w:lang w:eastAsia="zh-CN"/>
        </w:rPr>
        <w:t>原审批部门</w:t>
      </w:r>
      <w:r>
        <w:rPr>
          <w:rFonts w:hint="eastAsia" w:ascii="仿宋_GB2312" w:hAnsi="仿宋_GB2312" w:cs="仿宋_GB2312"/>
          <w:color w:val="auto"/>
          <w:sz w:val="32"/>
          <w:szCs w:val="32"/>
          <w:highlight w:val="none"/>
          <w:lang w:val="en-US" w:eastAsia="zh-CN"/>
        </w:rPr>
        <w:t>审核后</w:t>
      </w:r>
      <w:r>
        <w:rPr>
          <w:rFonts w:hint="eastAsia" w:ascii="仿宋_GB2312" w:hAnsi="仿宋_GB2312" w:eastAsia="仿宋_GB2312" w:cs="仿宋_GB2312"/>
          <w:color w:val="auto"/>
          <w:sz w:val="32"/>
          <w:szCs w:val="32"/>
          <w:highlight w:val="none"/>
          <w:lang w:eastAsia="zh-CN"/>
        </w:rPr>
        <w:t>备案</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条（概算调整）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区：政府投资建设项目的概算总投资一经批准，必须严格执行，不得擅自修改或调整。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确需增加投资概算的，由项目业主提出调整方案及资金来源，</w:t>
      </w:r>
      <w:r>
        <w:rPr>
          <w:rFonts w:hint="eastAsia" w:ascii="仿宋_GB2312" w:hAnsi="仿宋_GB2312" w:cs="仿宋_GB2312"/>
          <w:color w:val="auto"/>
          <w:sz w:val="32"/>
          <w:szCs w:val="32"/>
          <w:lang w:val="en-US" w:eastAsia="zh-CN"/>
        </w:rPr>
        <w:t>参</w:t>
      </w:r>
      <w:r>
        <w:rPr>
          <w:rFonts w:hint="eastAsia" w:ascii="仿宋_GB2312" w:hAnsi="仿宋_GB2312" w:eastAsia="仿宋_GB2312" w:cs="仿宋_GB2312"/>
          <w:color w:val="auto"/>
          <w:sz w:val="32"/>
          <w:szCs w:val="32"/>
          <w:lang w:val="en-US" w:eastAsia="zh-CN"/>
        </w:rPr>
        <w:t>照设计变更</w:t>
      </w:r>
      <w:r>
        <w:rPr>
          <w:rFonts w:hint="eastAsia" w:ascii="仿宋_GB2312" w:hAnsi="仿宋_GB2312" w:cs="仿宋_GB2312"/>
          <w:color w:val="auto"/>
          <w:sz w:val="32"/>
          <w:szCs w:val="32"/>
          <w:lang w:val="en-US" w:eastAsia="zh-CN"/>
        </w:rPr>
        <w:t>分级分类</w:t>
      </w:r>
      <w:r>
        <w:rPr>
          <w:rFonts w:hint="eastAsia" w:ascii="仿宋_GB2312" w:hAnsi="仿宋_GB2312" w:eastAsia="仿宋_GB2312" w:cs="仿宋_GB2312"/>
          <w:color w:val="auto"/>
          <w:sz w:val="32"/>
          <w:szCs w:val="32"/>
          <w:lang w:val="en-US" w:eastAsia="zh-CN"/>
        </w:rPr>
        <w:t>管理</w:t>
      </w:r>
      <w:r>
        <w:rPr>
          <w:rFonts w:hint="eastAsia" w:ascii="仿宋_GB2312" w:hAnsi="仿宋_GB2312" w:cs="仿宋_GB2312"/>
          <w:color w:val="auto"/>
          <w:sz w:val="32"/>
          <w:szCs w:val="32"/>
          <w:lang w:val="en-US" w:eastAsia="zh-CN"/>
        </w:rPr>
        <w:t>要求</w:t>
      </w:r>
      <w:r>
        <w:rPr>
          <w:rFonts w:hint="eastAsia" w:ascii="仿宋_GB2312" w:hAnsi="仿宋_GB2312" w:eastAsia="仿宋_GB2312" w:cs="仿宋_GB2312"/>
          <w:color w:val="auto"/>
          <w:sz w:val="32"/>
          <w:szCs w:val="32"/>
          <w:lang w:val="en-US" w:eastAsia="zh-CN"/>
        </w:rPr>
        <w:t>，经区政府审定后，报原初步设计及概算审批部门调整概算。</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附 则</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rPr>
      </w:pPr>
      <w:bookmarkStart w:id="0" w:name="_Toc21110_WPSOffice_Level1"/>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条 省、市级投资的项目，按</w:t>
      </w:r>
      <w:r>
        <w:rPr>
          <w:rFonts w:hint="eastAsia" w:ascii="仿宋_GB2312" w:hAnsi="仿宋_GB2312" w:eastAsia="仿宋_GB2312" w:cs="仿宋_GB2312"/>
          <w:b w:val="0"/>
          <w:bCs w:val="0"/>
          <w:color w:val="auto"/>
          <w:sz w:val="32"/>
          <w:szCs w:val="32"/>
          <w:highlight w:val="none"/>
          <w:lang w:eastAsia="zh-CN"/>
        </w:rPr>
        <w:t>其</w:t>
      </w:r>
      <w:r>
        <w:rPr>
          <w:rFonts w:hint="eastAsia" w:ascii="仿宋_GB2312" w:hAnsi="仿宋_GB2312" w:eastAsia="仿宋_GB2312" w:cs="仿宋_GB2312"/>
          <w:b w:val="0"/>
          <w:bCs w:val="0"/>
          <w:color w:val="auto"/>
          <w:sz w:val="32"/>
          <w:szCs w:val="32"/>
          <w:highlight w:val="none"/>
        </w:rPr>
        <w:t>相关规定</w:t>
      </w:r>
      <w:r>
        <w:rPr>
          <w:rFonts w:hint="eastAsia" w:ascii="仿宋_GB2312" w:hAnsi="仿宋_GB2312" w:eastAsia="仿宋_GB2312" w:cs="仿宋_GB2312"/>
          <w:b w:val="0"/>
          <w:bCs w:val="0"/>
          <w:color w:val="auto"/>
          <w:sz w:val="32"/>
          <w:szCs w:val="32"/>
          <w:highlight w:val="none"/>
          <w:lang w:eastAsia="zh-CN"/>
        </w:rPr>
        <w:t>执行</w:t>
      </w:r>
      <w:r>
        <w:rPr>
          <w:rFonts w:hint="eastAsia" w:ascii="仿宋_GB2312" w:hAnsi="仿宋_GB2312" w:eastAsia="仿宋_GB2312" w:cs="仿宋_GB2312"/>
          <w:b w:val="0"/>
          <w:bCs w:val="0"/>
          <w:color w:val="auto"/>
          <w:sz w:val="32"/>
          <w:szCs w:val="32"/>
          <w:highlight w:val="none"/>
        </w:rPr>
        <w:t>。</w:t>
      </w:r>
      <w:bookmarkEnd w:id="0"/>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条 本办法未规定的其他事项</w:t>
      </w:r>
      <w:r>
        <w:rPr>
          <w:rFonts w:hint="eastAsia" w:ascii="仿宋_GB2312" w:hAnsi="仿宋_GB2312" w:cs="仿宋_GB2312"/>
          <w:b w:val="0"/>
          <w:bCs w:val="0"/>
          <w:color w:val="auto"/>
          <w:sz w:val="32"/>
          <w:szCs w:val="32"/>
          <w:highlight w:val="none"/>
          <w:lang w:val="en-US" w:eastAsia="zh-CN"/>
        </w:rPr>
        <w:t>及与省、市最新要求不一致事项</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参</w:t>
      </w:r>
      <w:r>
        <w:rPr>
          <w:rFonts w:hint="eastAsia" w:ascii="仿宋_GB2312" w:hAnsi="仿宋_GB2312" w:eastAsia="仿宋_GB2312" w:cs="仿宋_GB2312"/>
          <w:b w:val="0"/>
          <w:bCs w:val="0"/>
          <w:color w:val="auto"/>
          <w:sz w:val="32"/>
          <w:szCs w:val="32"/>
          <w:highlight w:val="none"/>
        </w:rPr>
        <w:t>照</w:t>
      </w:r>
      <w:r>
        <w:rPr>
          <w:rFonts w:hint="eastAsia" w:ascii="仿宋_GB2312" w:hAnsi="仿宋_GB2312" w:eastAsia="仿宋_GB2312" w:cs="仿宋_GB2312"/>
          <w:b w:val="0"/>
          <w:bCs w:val="0"/>
          <w:color w:val="auto"/>
          <w:sz w:val="32"/>
          <w:szCs w:val="32"/>
          <w:highlight w:val="none"/>
          <w:lang w:eastAsia="zh-CN"/>
        </w:rPr>
        <w:t>法律法规规章和上级</w:t>
      </w:r>
      <w:r>
        <w:rPr>
          <w:rFonts w:hint="eastAsia" w:ascii="仿宋_GB2312" w:hAnsi="仿宋_GB2312" w:eastAsia="仿宋_GB2312" w:cs="仿宋_GB2312"/>
          <w:b w:val="0"/>
          <w:bCs w:val="0"/>
          <w:color w:val="auto"/>
          <w:sz w:val="32"/>
          <w:szCs w:val="32"/>
          <w:highlight w:val="none"/>
        </w:rPr>
        <w:t>相关文件执行。</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条 本办法</w:t>
      </w:r>
      <w:r>
        <w:rPr>
          <w:rFonts w:hint="eastAsia" w:ascii="仿宋_GB2312" w:hAnsi="仿宋_GB2312" w:eastAsia="仿宋_GB2312" w:cs="仿宋_GB2312"/>
          <w:b w:val="0"/>
          <w:bCs w:val="0"/>
          <w:color w:val="auto"/>
          <w:sz w:val="32"/>
          <w:szCs w:val="32"/>
          <w:highlight w:val="none"/>
          <w:lang w:eastAsia="zh-CN"/>
        </w:rPr>
        <w:t>的具体应用问题</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eastAsia="zh-CN"/>
        </w:rPr>
        <w:t>三亚市崖州</w:t>
      </w:r>
      <w:r>
        <w:rPr>
          <w:rFonts w:hint="eastAsia" w:ascii="仿宋_GB2312" w:hAnsi="仿宋_GB2312" w:eastAsia="仿宋_GB2312" w:cs="仿宋_GB2312"/>
          <w:b w:val="0"/>
          <w:bCs w:val="0"/>
          <w:color w:val="auto"/>
          <w:sz w:val="32"/>
          <w:szCs w:val="32"/>
          <w:highlight w:val="none"/>
        </w:rPr>
        <w:t>区发展</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改革</w:t>
      </w:r>
      <w:r>
        <w:rPr>
          <w:rFonts w:hint="eastAsia" w:ascii="仿宋_GB2312" w:hAnsi="仿宋_GB2312" w:eastAsia="仿宋_GB2312" w:cs="仿宋_GB2312"/>
          <w:b w:val="0"/>
          <w:bCs w:val="0"/>
          <w:color w:val="auto"/>
          <w:sz w:val="32"/>
          <w:szCs w:val="32"/>
          <w:highlight w:val="none"/>
          <w:lang w:eastAsia="zh-CN"/>
        </w:rPr>
        <w:t>委员会</w:t>
      </w:r>
      <w:r>
        <w:rPr>
          <w:rFonts w:hint="eastAsia" w:ascii="仿宋_GB2312" w:hAnsi="仿宋_GB2312" w:eastAsia="仿宋_GB2312" w:cs="仿宋_GB2312"/>
          <w:b w:val="0"/>
          <w:bCs w:val="0"/>
          <w:color w:val="auto"/>
          <w:sz w:val="32"/>
          <w:szCs w:val="32"/>
          <w:highlight w:val="none"/>
        </w:rPr>
        <w:t>负责解释。</w:t>
      </w:r>
    </w:p>
    <w:p>
      <w:pPr>
        <w:keepNext w:val="0"/>
        <w:keepLines w:val="0"/>
        <w:pageBreakBefore w:val="0"/>
        <w:kinsoku/>
        <w:wordWrap/>
        <w:overflowPunct/>
        <w:topLinePunct w:val="0"/>
        <w:autoSpaceDE/>
        <w:autoSpaceDN/>
        <w:bidi w:val="0"/>
        <w:adjustRightInd/>
        <w:snapToGrid/>
        <w:spacing w:line="550" w:lineRule="exact"/>
        <w:ind w:firstLine="632"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条 本办法自</w:t>
      </w:r>
      <w:r>
        <w:rPr>
          <w:rFonts w:hint="eastAsia" w:ascii="仿宋_GB2312" w:hAnsi="仿宋_GB2312" w:eastAsia="仿宋_GB2312" w:cs="仿宋_GB2312"/>
          <w:b w:val="0"/>
          <w:bCs w:val="0"/>
          <w:color w:val="auto"/>
          <w:sz w:val="32"/>
          <w:szCs w:val="32"/>
          <w:highlight w:val="none"/>
          <w:lang w:val="en-US" w:eastAsia="zh-CN"/>
        </w:rPr>
        <w:t>202</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年X月X日起</w:t>
      </w:r>
      <w:r>
        <w:rPr>
          <w:rFonts w:hint="eastAsia" w:ascii="仿宋_GB2312" w:hAnsi="仿宋_GB2312" w:eastAsia="仿宋_GB2312" w:cs="仿宋_GB2312"/>
          <w:b w:val="0"/>
          <w:bCs w:val="0"/>
          <w:color w:val="auto"/>
          <w:sz w:val="32"/>
          <w:szCs w:val="32"/>
          <w:highlight w:val="none"/>
        </w:rPr>
        <w:t>施行</w:t>
      </w:r>
      <w:r>
        <w:rPr>
          <w:rFonts w:hint="eastAsia" w:ascii="仿宋_GB2312" w:hAnsi="仿宋_GB2312" w:eastAsia="仿宋_GB2312" w:cs="仿宋_GB2312"/>
          <w:b w:val="0"/>
          <w:bCs w:val="0"/>
          <w:color w:val="auto"/>
          <w:sz w:val="32"/>
          <w:szCs w:val="32"/>
          <w:highlight w:val="none"/>
          <w:lang w:eastAsia="zh-CN"/>
        </w:rPr>
        <w:t>，有效期至</w:t>
      </w:r>
      <w:r>
        <w:rPr>
          <w:rFonts w:hint="eastAsia" w:ascii="仿宋_GB2312" w:hAnsi="仿宋_GB2312" w:eastAsia="仿宋_GB2312" w:cs="仿宋_GB2312"/>
          <w:b w:val="0"/>
          <w:bCs w:val="0"/>
          <w:color w:val="auto"/>
          <w:sz w:val="32"/>
          <w:szCs w:val="32"/>
          <w:highlight w:val="none"/>
          <w:lang w:val="en-US" w:eastAsia="zh-CN"/>
        </w:rPr>
        <w:t>202</w:t>
      </w:r>
      <w:r>
        <w:rPr>
          <w:rFonts w:hint="eastAsia" w:ascii="仿宋_GB2312" w:hAnsi="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年X月X日</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1474"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5"/>
                            <w:ind w:left="640" w:leftChars="200" w:right="640" w:right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9</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wps:txbx>
                    <wps:bodyPr wrap="none" lIns="0" tIns="0" rIns="0" bIns="0" upright="true">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5dblS0AAAAAUBAAAPAAAAAAAAAAEAIAAAADgAAABkcnMvZG93bnJl&#10;di54bWxQSwECFAAUAAAACACHTuJAWqSKbLYBAABPAwAADgAAAAAAAAABACAAAAA1AQAAZHJzL2Uy&#10;b0RvYy54bWxQSwUGAAAAAAYABgBZAQAAXQUAAAAA&#10;">
              <v:fill on="f" focussize="0,0"/>
              <v:stroke on="f"/>
              <v:imagedata o:title=""/>
              <o:lock v:ext="edit" aspectratio="f"/>
              <v:textbox inset="0mm,0mm,0mm,0mm" style="mso-fit-shape-to-text:t;">
                <w:txbxContent>
                  <w:p>
                    <w:pPr>
                      <w:pStyle w:val="5"/>
                      <w:ind w:left="640" w:leftChars="200" w:right="640" w:right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9</w:t>
                    </w:r>
                    <w:r>
                      <w:rPr>
                        <w:rFonts w:hint="eastAsia" w:ascii="宋体" w:hAnsi="宋体" w:eastAsia="宋体" w:cs="宋体"/>
                        <w:sz w:val="28"/>
                        <w:szCs w:val="28"/>
                      </w:rPr>
                      <w:fldChar w:fldCharType="end"/>
                    </w:r>
                    <w:r>
                      <w:rPr>
                        <w:rFonts w:hint="eastAsia" w:ascii="宋体" w:hAnsi="宋体" w:eastAsia="宋体" w:cs="宋体"/>
                        <w:sz w:val="24"/>
                        <w:szCs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62"/>
    <w:rsid w:val="00005E9B"/>
    <w:rsid w:val="00006746"/>
    <w:rsid w:val="00014CBD"/>
    <w:rsid w:val="000171F2"/>
    <w:rsid w:val="00021784"/>
    <w:rsid w:val="00021A3B"/>
    <w:rsid w:val="0002752A"/>
    <w:rsid w:val="00037349"/>
    <w:rsid w:val="00037F10"/>
    <w:rsid w:val="00041068"/>
    <w:rsid w:val="00046C14"/>
    <w:rsid w:val="00051204"/>
    <w:rsid w:val="000517A0"/>
    <w:rsid w:val="000533A7"/>
    <w:rsid w:val="00054A45"/>
    <w:rsid w:val="00057A67"/>
    <w:rsid w:val="00060F8B"/>
    <w:rsid w:val="000628A0"/>
    <w:rsid w:val="00063E1F"/>
    <w:rsid w:val="00067472"/>
    <w:rsid w:val="000701DB"/>
    <w:rsid w:val="00073A30"/>
    <w:rsid w:val="000747F0"/>
    <w:rsid w:val="000755D4"/>
    <w:rsid w:val="00076838"/>
    <w:rsid w:val="00083C5B"/>
    <w:rsid w:val="00086145"/>
    <w:rsid w:val="000866A5"/>
    <w:rsid w:val="000870CE"/>
    <w:rsid w:val="000954BA"/>
    <w:rsid w:val="000967D1"/>
    <w:rsid w:val="000A3E5D"/>
    <w:rsid w:val="000A5583"/>
    <w:rsid w:val="000B2152"/>
    <w:rsid w:val="000B79C8"/>
    <w:rsid w:val="000C13BE"/>
    <w:rsid w:val="000C174A"/>
    <w:rsid w:val="000C4042"/>
    <w:rsid w:val="000C4C03"/>
    <w:rsid w:val="000C76AF"/>
    <w:rsid w:val="000D37C4"/>
    <w:rsid w:val="000D4C21"/>
    <w:rsid w:val="000D5488"/>
    <w:rsid w:val="000D5907"/>
    <w:rsid w:val="000E0B67"/>
    <w:rsid w:val="000E1803"/>
    <w:rsid w:val="000E5DDA"/>
    <w:rsid w:val="000E6B7A"/>
    <w:rsid w:val="000F07A5"/>
    <w:rsid w:val="000F0C3B"/>
    <w:rsid w:val="000F6CF0"/>
    <w:rsid w:val="000F7D33"/>
    <w:rsid w:val="00103770"/>
    <w:rsid w:val="00103DCC"/>
    <w:rsid w:val="00107B43"/>
    <w:rsid w:val="00112C61"/>
    <w:rsid w:val="00112DA3"/>
    <w:rsid w:val="0011454B"/>
    <w:rsid w:val="00115FAA"/>
    <w:rsid w:val="00117B55"/>
    <w:rsid w:val="0012036B"/>
    <w:rsid w:val="00120832"/>
    <w:rsid w:val="00121335"/>
    <w:rsid w:val="00124EF3"/>
    <w:rsid w:val="00125E45"/>
    <w:rsid w:val="0012630D"/>
    <w:rsid w:val="00133976"/>
    <w:rsid w:val="00134918"/>
    <w:rsid w:val="0013631E"/>
    <w:rsid w:val="001427E7"/>
    <w:rsid w:val="00142D3B"/>
    <w:rsid w:val="001438F8"/>
    <w:rsid w:val="00143ED4"/>
    <w:rsid w:val="0014441F"/>
    <w:rsid w:val="00144A3A"/>
    <w:rsid w:val="001501AC"/>
    <w:rsid w:val="00150DB2"/>
    <w:rsid w:val="001517CF"/>
    <w:rsid w:val="001524F6"/>
    <w:rsid w:val="00154BFE"/>
    <w:rsid w:val="00155764"/>
    <w:rsid w:val="00155A98"/>
    <w:rsid w:val="0016024D"/>
    <w:rsid w:val="00160416"/>
    <w:rsid w:val="00163B73"/>
    <w:rsid w:val="00164FDF"/>
    <w:rsid w:val="0016606B"/>
    <w:rsid w:val="001701EB"/>
    <w:rsid w:val="00172969"/>
    <w:rsid w:val="0017342D"/>
    <w:rsid w:val="00183300"/>
    <w:rsid w:val="00184EA2"/>
    <w:rsid w:val="001862BB"/>
    <w:rsid w:val="001916A6"/>
    <w:rsid w:val="001919FE"/>
    <w:rsid w:val="00194EAB"/>
    <w:rsid w:val="00195197"/>
    <w:rsid w:val="00195DDB"/>
    <w:rsid w:val="001A34F8"/>
    <w:rsid w:val="001A434C"/>
    <w:rsid w:val="001A5706"/>
    <w:rsid w:val="001A6F92"/>
    <w:rsid w:val="001A7610"/>
    <w:rsid w:val="001A7FDC"/>
    <w:rsid w:val="001B3FF3"/>
    <w:rsid w:val="001B4D6E"/>
    <w:rsid w:val="001C0EA7"/>
    <w:rsid w:val="001C242B"/>
    <w:rsid w:val="001C383B"/>
    <w:rsid w:val="001C3ED1"/>
    <w:rsid w:val="001D073E"/>
    <w:rsid w:val="001D08A1"/>
    <w:rsid w:val="001D0FA2"/>
    <w:rsid w:val="001D3C73"/>
    <w:rsid w:val="001D5CE3"/>
    <w:rsid w:val="001D7575"/>
    <w:rsid w:val="001E05D7"/>
    <w:rsid w:val="001E07E8"/>
    <w:rsid w:val="001E28AD"/>
    <w:rsid w:val="001E5AEB"/>
    <w:rsid w:val="001E770F"/>
    <w:rsid w:val="001F1400"/>
    <w:rsid w:val="001F2AB1"/>
    <w:rsid w:val="001F32D4"/>
    <w:rsid w:val="001F4F5A"/>
    <w:rsid w:val="001F580B"/>
    <w:rsid w:val="001F7463"/>
    <w:rsid w:val="002008A2"/>
    <w:rsid w:val="00201137"/>
    <w:rsid w:val="00203885"/>
    <w:rsid w:val="00203E65"/>
    <w:rsid w:val="00205B82"/>
    <w:rsid w:val="00206835"/>
    <w:rsid w:val="00213077"/>
    <w:rsid w:val="002131FB"/>
    <w:rsid w:val="00216557"/>
    <w:rsid w:val="00216825"/>
    <w:rsid w:val="002176AB"/>
    <w:rsid w:val="002241C2"/>
    <w:rsid w:val="0022424F"/>
    <w:rsid w:val="002262F4"/>
    <w:rsid w:val="00226E69"/>
    <w:rsid w:val="00230907"/>
    <w:rsid w:val="00231BFD"/>
    <w:rsid w:val="002359C4"/>
    <w:rsid w:val="00236026"/>
    <w:rsid w:val="0024059F"/>
    <w:rsid w:val="00240ED4"/>
    <w:rsid w:val="00244AC1"/>
    <w:rsid w:val="002513C7"/>
    <w:rsid w:val="00253321"/>
    <w:rsid w:val="00254B5D"/>
    <w:rsid w:val="002601C3"/>
    <w:rsid w:val="00260CFB"/>
    <w:rsid w:val="0026703F"/>
    <w:rsid w:val="002701F3"/>
    <w:rsid w:val="00272021"/>
    <w:rsid w:val="00272CE3"/>
    <w:rsid w:val="00275C1D"/>
    <w:rsid w:val="002814C4"/>
    <w:rsid w:val="002817C7"/>
    <w:rsid w:val="00281965"/>
    <w:rsid w:val="002849B3"/>
    <w:rsid w:val="0029238F"/>
    <w:rsid w:val="00295AD1"/>
    <w:rsid w:val="00297860"/>
    <w:rsid w:val="002A21F3"/>
    <w:rsid w:val="002A34FB"/>
    <w:rsid w:val="002A5962"/>
    <w:rsid w:val="002B3BC3"/>
    <w:rsid w:val="002B6C5C"/>
    <w:rsid w:val="002B6F59"/>
    <w:rsid w:val="002C078B"/>
    <w:rsid w:val="002C6E06"/>
    <w:rsid w:val="002C7E2B"/>
    <w:rsid w:val="002D3736"/>
    <w:rsid w:val="002D3AB1"/>
    <w:rsid w:val="002D4EEF"/>
    <w:rsid w:val="002D6076"/>
    <w:rsid w:val="002E3CDE"/>
    <w:rsid w:val="002E40C4"/>
    <w:rsid w:val="002E4D4C"/>
    <w:rsid w:val="002E5CEB"/>
    <w:rsid w:val="002E6CC2"/>
    <w:rsid w:val="002F02A4"/>
    <w:rsid w:val="002F214F"/>
    <w:rsid w:val="002F3FBC"/>
    <w:rsid w:val="002F666E"/>
    <w:rsid w:val="002F66A2"/>
    <w:rsid w:val="002F7B3C"/>
    <w:rsid w:val="00304F46"/>
    <w:rsid w:val="0030538D"/>
    <w:rsid w:val="00306100"/>
    <w:rsid w:val="003071B3"/>
    <w:rsid w:val="0031091A"/>
    <w:rsid w:val="003116C3"/>
    <w:rsid w:val="00313653"/>
    <w:rsid w:val="0031745E"/>
    <w:rsid w:val="003243BE"/>
    <w:rsid w:val="00324A07"/>
    <w:rsid w:val="00325C30"/>
    <w:rsid w:val="0033274B"/>
    <w:rsid w:val="003332A8"/>
    <w:rsid w:val="00334828"/>
    <w:rsid w:val="00335A62"/>
    <w:rsid w:val="0033773B"/>
    <w:rsid w:val="00340F1D"/>
    <w:rsid w:val="00342F8F"/>
    <w:rsid w:val="00351BF6"/>
    <w:rsid w:val="00352F06"/>
    <w:rsid w:val="003538DD"/>
    <w:rsid w:val="00355B1A"/>
    <w:rsid w:val="0036326A"/>
    <w:rsid w:val="003722E8"/>
    <w:rsid w:val="00372A44"/>
    <w:rsid w:val="00373862"/>
    <w:rsid w:val="00373AA7"/>
    <w:rsid w:val="003764D5"/>
    <w:rsid w:val="00380280"/>
    <w:rsid w:val="00383E40"/>
    <w:rsid w:val="00384AF3"/>
    <w:rsid w:val="0038676B"/>
    <w:rsid w:val="003907B6"/>
    <w:rsid w:val="00391807"/>
    <w:rsid w:val="00393732"/>
    <w:rsid w:val="00394E7E"/>
    <w:rsid w:val="00397B7C"/>
    <w:rsid w:val="003A32DA"/>
    <w:rsid w:val="003A391C"/>
    <w:rsid w:val="003A41DC"/>
    <w:rsid w:val="003A5DDF"/>
    <w:rsid w:val="003C20DA"/>
    <w:rsid w:val="003C4273"/>
    <w:rsid w:val="003C5CD1"/>
    <w:rsid w:val="003C7874"/>
    <w:rsid w:val="003D3396"/>
    <w:rsid w:val="003D34A6"/>
    <w:rsid w:val="003D419A"/>
    <w:rsid w:val="003D59B3"/>
    <w:rsid w:val="003D6FC8"/>
    <w:rsid w:val="003D7886"/>
    <w:rsid w:val="003E3E8F"/>
    <w:rsid w:val="003F2426"/>
    <w:rsid w:val="003F3555"/>
    <w:rsid w:val="003F6F12"/>
    <w:rsid w:val="00400E6F"/>
    <w:rsid w:val="004024C6"/>
    <w:rsid w:val="00402CEB"/>
    <w:rsid w:val="0040652A"/>
    <w:rsid w:val="00410EE6"/>
    <w:rsid w:val="004169B9"/>
    <w:rsid w:val="004179FD"/>
    <w:rsid w:val="00422EAF"/>
    <w:rsid w:val="00424287"/>
    <w:rsid w:val="004271C2"/>
    <w:rsid w:val="00427BF2"/>
    <w:rsid w:val="00430E04"/>
    <w:rsid w:val="004329E1"/>
    <w:rsid w:val="0043569D"/>
    <w:rsid w:val="004367B1"/>
    <w:rsid w:val="00437602"/>
    <w:rsid w:val="00441FF7"/>
    <w:rsid w:val="00442BE0"/>
    <w:rsid w:val="00445533"/>
    <w:rsid w:val="00446DA8"/>
    <w:rsid w:val="004472F0"/>
    <w:rsid w:val="00447486"/>
    <w:rsid w:val="00450EDC"/>
    <w:rsid w:val="00451384"/>
    <w:rsid w:val="00452A17"/>
    <w:rsid w:val="00453CDC"/>
    <w:rsid w:val="0045505B"/>
    <w:rsid w:val="00457DDD"/>
    <w:rsid w:val="004629A9"/>
    <w:rsid w:val="0047064C"/>
    <w:rsid w:val="004715E8"/>
    <w:rsid w:val="00472271"/>
    <w:rsid w:val="0047383E"/>
    <w:rsid w:val="004758AC"/>
    <w:rsid w:val="00477D2F"/>
    <w:rsid w:val="00486793"/>
    <w:rsid w:val="00487BCE"/>
    <w:rsid w:val="00491730"/>
    <w:rsid w:val="0049241B"/>
    <w:rsid w:val="004929EA"/>
    <w:rsid w:val="0049452A"/>
    <w:rsid w:val="00497DA5"/>
    <w:rsid w:val="004A0705"/>
    <w:rsid w:val="004A7696"/>
    <w:rsid w:val="004B08C5"/>
    <w:rsid w:val="004B3F8B"/>
    <w:rsid w:val="004B40F1"/>
    <w:rsid w:val="004B4A7A"/>
    <w:rsid w:val="004B55A4"/>
    <w:rsid w:val="004B5937"/>
    <w:rsid w:val="004C03D0"/>
    <w:rsid w:val="004C0523"/>
    <w:rsid w:val="004C0DFD"/>
    <w:rsid w:val="004C2DCD"/>
    <w:rsid w:val="004C61B8"/>
    <w:rsid w:val="004D0668"/>
    <w:rsid w:val="004D5B6A"/>
    <w:rsid w:val="004E2B5C"/>
    <w:rsid w:val="004E353D"/>
    <w:rsid w:val="004E3A27"/>
    <w:rsid w:val="004E6558"/>
    <w:rsid w:val="004E68C0"/>
    <w:rsid w:val="004E69FC"/>
    <w:rsid w:val="004F2684"/>
    <w:rsid w:val="004F27EF"/>
    <w:rsid w:val="004F3DD7"/>
    <w:rsid w:val="00500B50"/>
    <w:rsid w:val="0050102B"/>
    <w:rsid w:val="00502C4B"/>
    <w:rsid w:val="00502D00"/>
    <w:rsid w:val="00503060"/>
    <w:rsid w:val="00504190"/>
    <w:rsid w:val="00505B0B"/>
    <w:rsid w:val="00506016"/>
    <w:rsid w:val="005074D9"/>
    <w:rsid w:val="00507F1F"/>
    <w:rsid w:val="00512DBA"/>
    <w:rsid w:val="00516F7C"/>
    <w:rsid w:val="00521E59"/>
    <w:rsid w:val="00522687"/>
    <w:rsid w:val="00522F3D"/>
    <w:rsid w:val="00525986"/>
    <w:rsid w:val="0052618D"/>
    <w:rsid w:val="00531668"/>
    <w:rsid w:val="005333E6"/>
    <w:rsid w:val="0053448B"/>
    <w:rsid w:val="0053548F"/>
    <w:rsid w:val="00535BF4"/>
    <w:rsid w:val="005445BD"/>
    <w:rsid w:val="00550154"/>
    <w:rsid w:val="00553E15"/>
    <w:rsid w:val="0055633C"/>
    <w:rsid w:val="0056159A"/>
    <w:rsid w:val="005668A1"/>
    <w:rsid w:val="00567F2B"/>
    <w:rsid w:val="0057283D"/>
    <w:rsid w:val="00572A88"/>
    <w:rsid w:val="005759E9"/>
    <w:rsid w:val="00576C84"/>
    <w:rsid w:val="00577B8E"/>
    <w:rsid w:val="00580550"/>
    <w:rsid w:val="00581CD5"/>
    <w:rsid w:val="00582129"/>
    <w:rsid w:val="00582944"/>
    <w:rsid w:val="00582BAE"/>
    <w:rsid w:val="0058442D"/>
    <w:rsid w:val="00586A73"/>
    <w:rsid w:val="0058703D"/>
    <w:rsid w:val="0059057A"/>
    <w:rsid w:val="005924A7"/>
    <w:rsid w:val="00597D00"/>
    <w:rsid w:val="005A0101"/>
    <w:rsid w:val="005A0F0A"/>
    <w:rsid w:val="005A15D1"/>
    <w:rsid w:val="005B0903"/>
    <w:rsid w:val="005B0C3D"/>
    <w:rsid w:val="005B57BB"/>
    <w:rsid w:val="005C0529"/>
    <w:rsid w:val="005C10CF"/>
    <w:rsid w:val="005C3519"/>
    <w:rsid w:val="005D0192"/>
    <w:rsid w:val="005D0A50"/>
    <w:rsid w:val="005D47A5"/>
    <w:rsid w:val="005D4A4E"/>
    <w:rsid w:val="005D6EE7"/>
    <w:rsid w:val="005E036D"/>
    <w:rsid w:val="005E1A3D"/>
    <w:rsid w:val="005E3A24"/>
    <w:rsid w:val="005E6440"/>
    <w:rsid w:val="005E7FE8"/>
    <w:rsid w:val="005F2DF6"/>
    <w:rsid w:val="005F33B7"/>
    <w:rsid w:val="00602BB3"/>
    <w:rsid w:val="00613A6C"/>
    <w:rsid w:val="00617781"/>
    <w:rsid w:val="00617C2D"/>
    <w:rsid w:val="00627F66"/>
    <w:rsid w:val="0063442B"/>
    <w:rsid w:val="00635091"/>
    <w:rsid w:val="0063562E"/>
    <w:rsid w:val="00635D2F"/>
    <w:rsid w:val="00635D8C"/>
    <w:rsid w:val="00643515"/>
    <w:rsid w:val="00644266"/>
    <w:rsid w:val="006470F9"/>
    <w:rsid w:val="00647D28"/>
    <w:rsid w:val="006509AD"/>
    <w:rsid w:val="006530BB"/>
    <w:rsid w:val="00653B1C"/>
    <w:rsid w:val="006542A2"/>
    <w:rsid w:val="00655575"/>
    <w:rsid w:val="006558B4"/>
    <w:rsid w:val="006564DB"/>
    <w:rsid w:val="006577A8"/>
    <w:rsid w:val="00660BD6"/>
    <w:rsid w:val="006679AF"/>
    <w:rsid w:val="00671ACA"/>
    <w:rsid w:val="006723CB"/>
    <w:rsid w:val="00680740"/>
    <w:rsid w:val="0068224B"/>
    <w:rsid w:val="00683285"/>
    <w:rsid w:val="006849FB"/>
    <w:rsid w:val="006864F1"/>
    <w:rsid w:val="00693171"/>
    <w:rsid w:val="00693376"/>
    <w:rsid w:val="00694224"/>
    <w:rsid w:val="00695610"/>
    <w:rsid w:val="0069565C"/>
    <w:rsid w:val="00695A2C"/>
    <w:rsid w:val="00696697"/>
    <w:rsid w:val="006A3B2C"/>
    <w:rsid w:val="006A55FE"/>
    <w:rsid w:val="006A59D5"/>
    <w:rsid w:val="006A66E4"/>
    <w:rsid w:val="006B5B62"/>
    <w:rsid w:val="006B6EDA"/>
    <w:rsid w:val="006C0316"/>
    <w:rsid w:val="006C0FAA"/>
    <w:rsid w:val="006C2D69"/>
    <w:rsid w:val="006D1F76"/>
    <w:rsid w:val="006D2D91"/>
    <w:rsid w:val="006E34EF"/>
    <w:rsid w:val="006E4D5E"/>
    <w:rsid w:val="006E636E"/>
    <w:rsid w:val="006E7DA5"/>
    <w:rsid w:val="006F2F36"/>
    <w:rsid w:val="006F357E"/>
    <w:rsid w:val="006F4D3D"/>
    <w:rsid w:val="006F66E3"/>
    <w:rsid w:val="00701DAA"/>
    <w:rsid w:val="00710B04"/>
    <w:rsid w:val="00710F2F"/>
    <w:rsid w:val="00714D13"/>
    <w:rsid w:val="007164DA"/>
    <w:rsid w:val="00717C2B"/>
    <w:rsid w:val="00720FA6"/>
    <w:rsid w:val="007224D0"/>
    <w:rsid w:val="00722DB3"/>
    <w:rsid w:val="00726BC9"/>
    <w:rsid w:val="00727059"/>
    <w:rsid w:val="00727E19"/>
    <w:rsid w:val="00730B43"/>
    <w:rsid w:val="00731E08"/>
    <w:rsid w:val="0073236A"/>
    <w:rsid w:val="0073384D"/>
    <w:rsid w:val="00734AE1"/>
    <w:rsid w:val="00735A59"/>
    <w:rsid w:val="007437E6"/>
    <w:rsid w:val="00744FE6"/>
    <w:rsid w:val="007451D9"/>
    <w:rsid w:val="007504B3"/>
    <w:rsid w:val="00750FD3"/>
    <w:rsid w:val="00751E89"/>
    <w:rsid w:val="00754FE5"/>
    <w:rsid w:val="007550C1"/>
    <w:rsid w:val="0075600F"/>
    <w:rsid w:val="0075742F"/>
    <w:rsid w:val="00760E6B"/>
    <w:rsid w:val="00764F47"/>
    <w:rsid w:val="007657EB"/>
    <w:rsid w:val="00771187"/>
    <w:rsid w:val="00772077"/>
    <w:rsid w:val="00772E0C"/>
    <w:rsid w:val="00773263"/>
    <w:rsid w:val="007741C2"/>
    <w:rsid w:val="00775DB9"/>
    <w:rsid w:val="00781885"/>
    <w:rsid w:val="00781E5F"/>
    <w:rsid w:val="00783DEA"/>
    <w:rsid w:val="00783FAE"/>
    <w:rsid w:val="00784C06"/>
    <w:rsid w:val="00787DA4"/>
    <w:rsid w:val="007907B9"/>
    <w:rsid w:val="00791165"/>
    <w:rsid w:val="00793460"/>
    <w:rsid w:val="0079349D"/>
    <w:rsid w:val="007934F4"/>
    <w:rsid w:val="00793839"/>
    <w:rsid w:val="00797D04"/>
    <w:rsid w:val="007A01AB"/>
    <w:rsid w:val="007A0B10"/>
    <w:rsid w:val="007A1FE6"/>
    <w:rsid w:val="007A45F1"/>
    <w:rsid w:val="007A67FE"/>
    <w:rsid w:val="007B0135"/>
    <w:rsid w:val="007B1078"/>
    <w:rsid w:val="007B1B71"/>
    <w:rsid w:val="007B38B9"/>
    <w:rsid w:val="007B44E8"/>
    <w:rsid w:val="007B4C16"/>
    <w:rsid w:val="007B4DAF"/>
    <w:rsid w:val="007B5F60"/>
    <w:rsid w:val="007C1903"/>
    <w:rsid w:val="007C6718"/>
    <w:rsid w:val="007C7332"/>
    <w:rsid w:val="007D360B"/>
    <w:rsid w:val="007E0B9E"/>
    <w:rsid w:val="007E1E32"/>
    <w:rsid w:val="007E23B6"/>
    <w:rsid w:val="007E2A8B"/>
    <w:rsid w:val="007E3CB1"/>
    <w:rsid w:val="007E4591"/>
    <w:rsid w:val="007E6ABF"/>
    <w:rsid w:val="007F357E"/>
    <w:rsid w:val="007F5238"/>
    <w:rsid w:val="007F76E5"/>
    <w:rsid w:val="00800DB0"/>
    <w:rsid w:val="00804286"/>
    <w:rsid w:val="00805127"/>
    <w:rsid w:val="00807E83"/>
    <w:rsid w:val="0081157A"/>
    <w:rsid w:val="00813D83"/>
    <w:rsid w:val="0081520C"/>
    <w:rsid w:val="0081623E"/>
    <w:rsid w:val="00820B7E"/>
    <w:rsid w:val="00823288"/>
    <w:rsid w:val="00826B94"/>
    <w:rsid w:val="00826EFF"/>
    <w:rsid w:val="008361A8"/>
    <w:rsid w:val="008417AC"/>
    <w:rsid w:val="0085216A"/>
    <w:rsid w:val="0085345A"/>
    <w:rsid w:val="0085363F"/>
    <w:rsid w:val="00854B52"/>
    <w:rsid w:val="0086233B"/>
    <w:rsid w:val="0086438C"/>
    <w:rsid w:val="008657BB"/>
    <w:rsid w:val="0086678A"/>
    <w:rsid w:val="0086701C"/>
    <w:rsid w:val="008671D4"/>
    <w:rsid w:val="008739A7"/>
    <w:rsid w:val="00877CC3"/>
    <w:rsid w:val="0088258B"/>
    <w:rsid w:val="00884645"/>
    <w:rsid w:val="008925EC"/>
    <w:rsid w:val="00893BDB"/>
    <w:rsid w:val="00893C53"/>
    <w:rsid w:val="008941DE"/>
    <w:rsid w:val="00895FC7"/>
    <w:rsid w:val="0089600B"/>
    <w:rsid w:val="008A4974"/>
    <w:rsid w:val="008A6FBC"/>
    <w:rsid w:val="008B25BF"/>
    <w:rsid w:val="008B3EDF"/>
    <w:rsid w:val="008B79DC"/>
    <w:rsid w:val="008C1779"/>
    <w:rsid w:val="008C1D44"/>
    <w:rsid w:val="008C356B"/>
    <w:rsid w:val="008C51A8"/>
    <w:rsid w:val="008C5CBD"/>
    <w:rsid w:val="008C7D61"/>
    <w:rsid w:val="008D0AC8"/>
    <w:rsid w:val="008D1683"/>
    <w:rsid w:val="008D3E61"/>
    <w:rsid w:val="008D4ECB"/>
    <w:rsid w:val="008E79AB"/>
    <w:rsid w:val="008E7CD6"/>
    <w:rsid w:val="008F4026"/>
    <w:rsid w:val="008F4191"/>
    <w:rsid w:val="008F6B79"/>
    <w:rsid w:val="008F6E47"/>
    <w:rsid w:val="0090035E"/>
    <w:rsid w:val="009013B3"/>
    <w:rsid w:val="00906D69"/>
    <w:rsid w:val="00906DA6"/>
    <w:rsid w:val="0091431D"/>
    <w:rsid w:val="00914D9D"/>
    <w:rsid w:val="00915EF9"/>
    <w:rsid w:val="00916277"/>
    <w:rsid w:val="00921B60"/>
    <w:rsid w:val="009249A8"/>
    <w:rsid w:val="00933F6C"/>
    <w:rsid w:val="00934931"/>
    <w:rsid w:val="0094638A"/>
    <w:rsid w:val="00946C16"/>
    <w:rsid w:val="00947928"/>
    <w:rsid w:val="00947E39"/>
    <w:rsid w:val="00950E9A"/>
    <w:rsid w:val="00954302"/>
    <w:rsid w:val="00957364"/>
    <w:rsid w:val="00963D1B"/>
    <w:rsid w:val="00965FC3"/>
    <w:rsid w:val="00966600"/>
    <w:rsid w:val="00967207"/>
    <w:rsid w:val="00971B5B"/>
    <w:rsid w:val="00972098"/>
    <w:rsid w:val="00974079"/>
    <w:rsid w:val="00975582"/>
    <w:rsid w:val="00976486"/>
    <w:rsid w:val="009766BA"/>
    <w:rsid w:val="009800B4"/>
    <w:rsid w:val="00981B79"/>
    <w:rsid w:val="00982272"/>
    <w:rsid w:val="00983087"/>
    <w:rsid w:val="0098782C"/>
    <w:rsid w:val="0099127D"/>
    <w:rsid w:val="009924A5"/>
    <w:rsid w:val="00993D7B"/>
    <w:rsid w:val="009940D0"/>
    <w:rsid w:val="00997215"/>
    <w:rsid w:val="009A41D7"/>
    <w:rsid w:val="009A4BCF"/>
    <w:rsid w:val="009A62A3"/>
    <w:rsid w:val="009A7125"/>
    <w:rsid w:val="009A75EF"/>
    <w:rsid w:val="009B2011"/>
    <w:rsid w:val="009C2CAC"/>
    <w:rsid w:val="009C3BBC"/>
    <w:rsid w:val="009C4864"/>
    <w:rsid w:val="009C5EDE"/>
    <w:rsid w:val="009C7C8F"/>
    <w:rsid w:val="009D177F"/>
    <w:rsid w:val="009D484C"/>
    <w:rsid w:val="009D4DDD"/>
    <w:rsid w:val="009D4DE8"/>
    <w:rsid w:val="009D5D05"/>
    <w:rsid w:val="009D66AE"/>
    <w:rsid w:val="009D6F9F"/>
    <w:rsid w:val="009D78FA"/>
    <w:rsid w:val="009E1CCE"/>
    <w:rsid w:val="009F1169"/>
    <w:rsid w:val="009F1FBE"/>
    <w:rsid w:val="009F45D1"/>
    <w:rsid w:val="009F4E5E"/>
    <w:rsid w:val="009F7251"/>
    <w:rsid w:val="009F780C"/>
    <w:rsid w:val="009F7BB5"/>
    <w:rsid w:val="00A0015B"/>
    <w:rsid w:val="00A00AF6"/>
    <w:rsid w:val="00A01098"/>
    <w:rsid w:val="00A058AF"/>
    <w:rsid w:val="00A11DC1"/>
    <w:rsid w:val="00A130E9"/>
    <w:rsid w:val="00A15512"/>
    <w:rsid w:val="00A156E8"/>
    <w:rsid w:val="00A159F5"/>
    <w:rsid w:val="00A1720F"/>
    <w:rsid w:val="00A230F8"/>
    <w:rsid w:val="00A235BF"/>
    <w:rsid w:val="00A272CE"/>
    <w:rsid w:val="00A31FC6"/>
    <w:rsid w:val="00A32EFB"/>
    <w:rsid w:val="00A36557"/>
    <w:rsid w:val="00A40E9F"/>
    <w:rsid w:val="00A508C2"/>
    <w:rsid w:val="00A50F1A"/>
    <w:rsid w:val="00A51EB0"/>
    <w:rsid w:val="00A522BA"/>
    <w:rsid w:val="00A557F8"/>
    <w:rsid w:val="00A56649"/>
    <w:rsid w:val="00A60C08"/>
    <w:rsid w:val="00A618F0"/>
    <w:rsid w:val="00A65C33"/>
    <w:rsid w:val="00A70B36"/>
    <w:rsid w:val="00A70D4A"/>
    <w:rsid w:val="00A715CD"/>
    <w:rsid w:val="00A71CF4"/>
    <w:rsid w:val="00A77B76"/>
    <w:rsid w:val="00A8043E"/>
    <w:rsid w:val="00A85702"/>
    <w:rsid w:val="00A87698"/>
    <w:rsid w:val="00A9186C"/>
    <w:rsid w:val="00A923F9"/>
    <w:rsid w:val="00A9547D"/>
    <w:rsid w:val="00A972E4"/>
    <w:rsid w:val="00AA11B9"/>
    <w:rsid w:val="00AA640C"/>
    <w:rsid w:val="00AA7777"/>
    <w:rsid w:val="00AA7787"/>
    <w:rsid w:val="00AB176C"/>
    <w:rsid w:val="00AB17E7"/>
    <w:rsid w:val="00AB6B02"/>
    <w:rsid w:val="00AB7377"/>
    <w:rsid w:val="00AB76F1"/>
    <w:rsid w:val="00AB7DB2"/>
    <w:rsid w:val="00AC35D4"/>
    <w:rsid w:val="00AC3FF2"/>
    <w:rsid w:val="00AC5304"/>
    <w:rsid w:val="00AC7D8D"/>
    <w:rsid w:val="00AD1169"/>
    <w:rsid w:val="00AD14A1"/>
    <w:rsid w:val="00AD21BE"/>
    <w:rsid w:val="00AD4B46"/>
    <w:rsid w:val="00AD61BA"/>
    <w:rsid w:val="00AE0675"/>
    <w:rsid w:val="00AE122C"/>
    <w:rsid w:val="00AE2606"/>
    <w:rsid w:val="00AE319D"/>
    <w:rsid w:val="00AE65A9"/>
    <w:rsid w:val="00AE6806"/>
    <w:rsid w:val="00AE6CAE"/>
    <w:rsid w:val="00AE7C43"/>
    <w:rsid w:val="00AF52AC"/>
    <w:rsid w:val="00AF67DD"/>
    <w:rsid w:val="00B04DA9"/>
    <w:rsid w:val="00B07360"/>
    <w:rsid w:val="00B12C16"/>
    <w:rsid w:val="00B1677F"/>
    <w:rsid w:val="00B21EC0"/>
    <w:rsid w:val="00B23DA6"/>
    <w:rsid w:val="00B24CCC"/>
    <w:rsid w:val="00B27DE5"/>
    <w:rsid w:val="00B3122E"/>
    <w:rsid w:val="00B36104"/>
    <w:rsid w:val="00B41867"/>
    <w:rsid w:val="00B4320B"/>
    <w:rsid w:val="00B45AA6"/>
    <w:rsid w:val="00B45FA5"/>
    <w:rsid w:val="00B463B5"/>
    <w:rsid w:val="00B4742B"/>
    <w:rsid w:val="00B516FC"/>
    <w:rsid w:val="00B5173E"/>
    <w:rsid w:val="00B526AE"/>
    <w:rsid w:val="00B52BD5"/>
    <w:rsid w:val="00B53FB3"/>
    <w:rsid w:val="00B5464C"/>
    <w:rsid w:val="00B56172"/>
    <w:rsid w:val="00B562FA"/>
    <w:rsid w:val="00B56A17"/>
    <w:rsid w:val="00B57CBE"/>
    <w:rsid w:val="00B65EC8"/>
    <w:rsid w:val="00B67CA2"/>
    <w:rsid w:val="00B7723C"/>
    <w:rsid w:val="00B80E36"/>
    <w:rsid w:val="00B83AB7"/>
    <w:rsid w:val="00B865A3"/>
    <w:rsid w:val="00B9053D"/>
    <w:rsid w:val="00B90AAE"/>
    <w:rsid w:val="00B923B8"/>
    <w:rsid w:val="00B97B26"/>
    <w:rsid w:val="00BA352A"/>
    <w:rsid w:val="00BA3E78"/>
    <w:rsid w:val="00BA49BB"/>
    <w:rsid w:val="00BA50D1"/>
    <w:rsid w:val="00BA7FFE"/>
    <w:rsid w:val="00BB1EBC"/>
    <w:rsid w:val="00BB20A8"/>
    <w:rsid w:val="00BB2543"/>
    <w:rsid w:val="00BB408B"/>
    <w:rsid w:val="00BB4F46"/>
    <w:rsid w:val="00BB5409"/>
    <w:rsid w:val="00BB6114"/>
    <w:rsid w:val="00BC11F1"/>
    <w:rsid w:val="00BC3795"/>
    <w:rsid w:val="00BC38DE"/>
    <w:rsid w:val="00BC460A"/>
    <w:rsid w:val="00BC686B"/>
    <w:rsid w:val="00BD3ACB"/>
    <w:rsid w:val="00BD42E4"/>
    <w:rsid w:val="00BD5AEA"/>
    <w:rsid w:val="00BD75D8"/>
    <w:rsid w:val="00BE392D"/>
    <w:rsid w:val="00BE58AD"/>
    <w:rsid w:val="00BE6755"/>
    <w:rsid w:val="00BF1C38"/>
    <w:rsid w:val="00BF30F2"/>
    <w:rsid w:val="00BF5A7C"/>
    <w:rsid w:val="00C00AFA"/>
    <w:rsid w:val="00C01821"/>
    <w:rsid w:val="00C01BC3"/>
    <w:rsid w:val="00C03971"/>
    <w:rsid w:val="00C04A06"/>
    <w:rsid w:val="00C0578C"/>
    <w:rsid w:val="00C06DDA"/>
    <w:rsid w:val="00C06E14"/>
    <w:rsid w:val="00C12684"/>
    <w:rsid w:val="00C1603C"/>
    <w:rsid w:val="00C160D3"/>
    <w:rsid w:val="00C2507A"/>
    <w:rsid w:val="00C3045E"/>
    <w:rsid w:val="00C3077C"/>
    <w:rsid w:val="00C327BC"/>
    <w:rsid w:val="00C32AAE"/>
    <w:rsid w:val="00C36103"/>
    <w:rsid w:val="00C37507"/>
    <w:rsid w:val="00C40550"/>
    <w:rsid w:val="00C42D26"/>
    <w:rsid w:val="00C44672"/>
    <w:rsid w:val="00C468D2"/>
    <w:rsid w:val="00C4695E"/>
    <w:rsid w:val="00C50918"/>
    <w:rsid w:val="00C51136"/>
    <w:rsid w:val="00C5154B"/>
    <w:rsid w:val="00C51DF2"/>
    <w:rsid w:val="00C52FC5"/>
    <w:rsid w:val="00C5384A"/>
    <w:rsid w:val="00C54542"/>
    <w:rsid w:val="00C55742"/>
    <w:rsid w:val="00C6287C"/>
    <w:rsid w:val="00C62E16"/>
    <w:rsid w:val="00C66573"/>
    <w:rsid w:val="00C66B03"/>
    <w:rsid w:val="00C670DA"/>
    <w:rsid w:val="00C67221"/>
    <w:rsid w:val="00C725F0"/>
    <w:rsid w:val="00C74FA2"/>
    <w:rsid w:val="00C76245"/>
    <w:rsid w:val="00C81780"/>
    <w:rsid w:val="00C8467B"/>
    <w:rsid w:val="00C846F5"/>
    <w:rsid w:val="00C867CD"/>
    <w:rsid w:val="00C97D28"/>
    <w:rsid w:val="00CA1A48"/>
    <w:rsid w:val="00CA3E39"/>
    <w:rsid w:val="00CA53EE"/>
    <w:rsid w:val="00CA6199"/>
    <w:rsid w:val="00CA6236"/>
    <w:rsid w:val="00CA7C76"/>
    <w:rsid w:val="00CB298B"/>
    <w:rsid w:val="00CB303F"/>
    <w:rsid w:val="00CB39EC"/>
    <w:rsid w:val="00CB75BC"/>
    <w:rsid w:val="00CC1EAD"/>
    <w:rsid w:val="00CC344D"/>
    <w:rsid w:val="00CC3A95"/>
    <w:rsid w:val="00CD0BC3"/>
    <w:rsid w:val="00CD1DBC"/>
    <w:rsid w:val="00CD37E8"/>
    <w:rsid w:val="00CD6DAE"/>
    <w:rsid w:val="00CE00B7"/>
    <w:rsid w:val="00CF29ED"/>
    <w:rsid w:val="00CF3646"/>
    <w:rsid w:val="00CF63CB"/>
    <w:rsid w:val="00CF695F"/>
    <w:rsid w:val="00D00478"/>
    <w:rsid w:val="00D01C2A"/>
    <w:rsid w:val="00D02274"/>
    <w:rsid w:val="00D032B8"/>
    <w:rsid w:val="00D06923"/>
    <w:rsid w:val="00D11628"/>
    <w:rsid w:val="00D17631"/>
    <w:rsid w:val="00D20416"/>
    <w:rsid w:val="00D237A7"/>
    <w:rsid w:val="00D302C3"/>
    <w:rsid w:val="00D30512"/>
    <w:rsid w:val="00D314C9"/>
    <w:rsid w:val="00D33BBF"/>
    <w:rsid w:val="00D41587"/>
    <w:rsid w:val="00D41832"/>
    <w:rsid w:val="00D429A6"/>
    <w:rsid w:val="00D4527F"/>
    <w:rsid w:val="00D46EA4"/>
    <w:rsid w:val="00D50A7D"/>
    <w:rsid w:val="00D52C60"/>
    <w:rsid w:val="00D57EF9"/>
    <w:rsid w:val="00D62795"/>
    <w:rsid w:val="00D63D04"/>
    <w:rsid w:val="00D65E94"/>
    <w:rsid w:val="00D660BB"/>
    <w:rsid w:val="00D741B1"/>
    <w:rsid w:val="00D74462"/>
    <w:rsid w:val="00D75AE0"/>
    <w:rsid w:val="00D76058"/>
    <w:rsid w:val="00D7682D"/>
    <w:rsid w:val="00D770DF"/>
    <w:rsid w:val="00D7764E"/>
    <w:rsid w:val="00D816B9"/>
    <w:rsid w:val="00D82773"/>
    <w:rsid w:val="00D858E1"/>
    <w:rsid w:val="00D87A89"/>
    <w:rsid w:val="00D91527"/>
    <w:rsid w:val="00D93B72"/>
    <w:rsid w:val="00D97E58"/>
    <w:rsid w:val="00DA08C5"/>
    <w:rsid w:val="00DA1F89"/>
    <w:rsid w:val="00DA4440"/>
    <w:rsid w:val="00DA5777"/>
    <w:rsid w:val="00DA57CD"/>
    <w:rsid w:val="00DA5A1C"/>
    <w:rsid w:val="00DA5C58"/>
    <w:rsid w:val="00DB11AE"/>
    <w:rsid w:val="00DB1C46"/>
    <w:rsid w:val="00DB768A"/>
    <w:rsid w:val="00DB7BEB"/>
    <w:rsid w:val="00DC7904"/>
    <w:rsid w:val="00DD029D"/>
    <w:rsid w:val="00DD1913"/>
    <w:rsid w:val="00DD25E6"/>
    <w:rsid w:val="00DD5867"/>
    <w:rsid w:val="00DD6848"/>
    <w:rsid w:val="00DE47EA"/>
    <w:rsid w:val="00E04563"/>
    <w:rsid w:val="00E058D4"/>
    <w:rsid w:val="00E1454B"/>
    <w:rsid w:val="00E14B8C"/>
    <w:rsid w:val="00E157F8"/>
    <w:rsid w:val="00E15F88"/>
    <w:rsid w:val="00E17672"/>
    <w:rsid w:val="00E23434"/>
    <w:rsid w:val="00E23B75"/>
    <w:rsid w:val="00E26D82"/>
    <w:rsid w:val="00E31F06"/>
    <w:rsid w:val="00E33CC2"/>
    <w:rsid w:val="00E364FB"/>
    <w:rsid w:val="00E37370"/>
    <w:rsid w:val="00E42BCA"/>
    <w:rsid w:val="00E45641"/>
    <w:rsid w:val="00E544ED"/>
    <w:rsid w:val="00E55350"/>
    <w:rsid w:val="00E5694A"/>
    <w:rsid w:val="00E572F1"/>
    <w:rsid w:val="00E5736C"/>
    <w:rsid w:val="00E57EC3"/>
    <w:rsid w:val="00E612AE"/>
    <w:rsid w:val="00E613CC"/>
    <w:rsid w:val="00E62116"/>
    <w:rsid w:val="00E6221E"/>
    <w:rsid w:val="00E62FC7"/>
    <w:rsid w:val="00E666D0"/>
    <w:rsid w:val="00E70165"/>
    <w:rsid w:val="00E738E2"/>
    <w:rsid w:val="00E73B75"/>
    <w:rsid w:val="00E80438"/>
    <w:rsid w:val="00E82BC0"/>
    <w:rsid w:val="00E82EA9"/>
    <w:rsid w:val="00E865A0"/>
    <w:rsid w:val="00E867B6"/>
    <w:rsid w:val="00E91BA1"/>
    <w:rsid w:val="00E93271"/>
    <w:rsid w:val="00E9553B"/>
    <w:rsid w:val="00E9776D"/>
    <w:rsid w:val="00E97D8E"/>
    <w:rsid w:val="00EA4460"/>
    <w:rsid w:val="00EA6A56"/>
    <w:rsid w:val="00EB06AA"/>
    <w:rsid w:val="00EB39BA"/>
    <w:rsid w:val="00EB4177"/>
    <w:rsid w:val="00EB5315"/>
    <w:rsid w:val="00EB6C19"/>
    <w:rsid w:val="00EC16D5"/>
    <w:rsid w:val="00EC6216"/>
    <w:rsid w:val="00EC759C"/>
    <w:rsid w:val="00ED62CC"/>
    <w:rsid w:val="00EE14E0"/>
    <w:rsid w:val="00EE25A7"/>
    <w:rsid w:val="00EE2B05"/>
    <w:rsid w:val="00EE31F2"/>
    <w:rsid w:val="00EE38AF"/>
    <w:rsid w:val="00EE4338"/>
    <w:rsid w:val="00EE55E0"/>
    <w:rsid w:val="00EE5FC4"/>
    <w:rsid w:val="00EE64C8"/>
    <w:rsid w:val="00EF4EFA"/>
    <w:rsid w:val="00F00476"/>
    <w:rsid w:val="00F03956"/>
    <w:rsid w:val="00F061B8"/>
    <w:rsid w:val="00F07B95"/>
    <w:rsid w:val="00F11C49"/>
    <w:rsid w:val="00F12622"/>
    <w:rsid w:val="00F15A4E"/>
    <w:rsid w:val="00F170D8"/>
    <w:rsid w:val="00F17F6B"/>
    <w:rsid w:val="00F203F8"/>
    <w:rsid w:val="00F21DB6"/>
    <w:rsid w:val="00F22687"/>
    <w:rsid w:val="00F226BB"/>
    <w:rsid w:val="00F23C1E"/>
    <w:rsid w:val="00F23D6C"/>
    <w:rsid w:val="00F25626"/>
    <w:rsid w:val="00F3496A"/>
    <w:rsid w:val="00F3704C"/>
    <w:rsid w:val="00F4117F"/>
    <w:rsid w:val="00F41C15"/>
    <w:rsid w:val="00F42B8F"/>
    <w:rsid w:val="00F556B8"/>
    <w:rsid w:val="00F56E48"/>
    <w:rsid w:val="00F57ADD"/>
    <w:rsid w:val="00F60503"/>
    <w:rsid w:val="00F63FAC"/>
    <w:rsid w:val="00F64803"/>
    <w:rsid w:val="00F65DFF"/>
    <w:rsid w:val="00F67CBE"/>
    <w:rsid w:val="00F7096F"/>
    <w:rsid w:val="00F80A1C"/>
    <w:rsid w:val="00F827DC"/>
    <w:rsid w:val="00F85DBC"/>
    <w:rsid w:val="00F865FA"/>
    <w:rsid w:val="00F911DC"/>
    <w:rsid w:val="00F94FDA"/>
    <w:rsid w:val="00F95A8D"/>
    <w:rsid w:val="00F96BA2"/>
    <w:rsid w:val="00F96BCE"/>
    <w:rsid w:val="00F96C77"/>
    <w:rsid w:val="00FA08B3"/>
    <w:rsid w:val="00FA270F"/>
    <w:rsid w:val="00FB0480"/>
    <w:rsid w:val="00FB1C9D"/>
    <w:rsid w:val="00FB2B01"/>
    <w:rsid w:val="00FB5255"/>
    <w:rsid w:val="00FB598A"/>
    <w:rsid w:val="00FB63C5"/>
    <w:rsid w:val="00FB6557"/>
    <w:rsid w:val="00FB7EF6"/>
    <w:rsid w:val="00FC0C4A"/>
    <w:rsid w:val="00FC29D7"/>
    <w:rsid w:val="00FC2D27"/>
    <w:rsid w:val="00FC5323"/>
    <w:rsid w:val="00FC6B08"/>
    <w:rsid w:val="00FC6D9D"/>
    <w:rsid w:val="00FC7297"/>
    <w:rsid w:val="00FD1322"/>
    <w:rsid w:val="00FD2EC9"/>
    <w:rsid w:val="00FD406E"/>
    <w:rsid w:val="00FD4378"/>
    <w:rsid w:val="00FD6892"/>
    <w:rsid w:val="00FE00EE"/>
    <w:rsid w:val="00FE0EBA"/>
    <w:rsid w:val="00FE1BC5"/>
    <w:rsid w:val="00FE7A0D"/>
    <w:rsid w:val="00FF224E"/>
    <w:rsid w:val="00FF3CCD"/>
    <w:rsid w:val="00FF6D70"/>
    <w:rsid w:val="01060163"/>
    <w:rsid w:val="0184462B"/>
    <w:rsid w:val="01953655"/>
    <w:rsid w:val="02965996"/>
    <w:rsid w:val="02D66C23"/>
    <w:rsid w:val="030A4D42"/>
    <w:rsid w:val="032369AE"/>
    <w:rsid w:val="03353D08"/>
    <w:rsid w:val="037C2B9D"/>
    <w:rsid w:val="03B00680"/>
    <w:rsid w:val="03DC2158"/>
    <w:rsid w:val="04486CA1"/>
    <w:rsid w:val="052F5FEE"/>
    <w:rsid w:val="05C14B22"/>
    <w:rsid w:val="05E32CDD"/>
    <w:rsid w:val="064C4406"/>
    <w:rsid w:val="06917EE7"/>
    <w:rsid w:val="06A62021"/>
    <w:rsid w:val="06C575AD"/>
    <w:rsid w:val="06F17C40"/>
    <w:rsid w:val="07B51252"/>
    <w:rsid w:val="07D20742"/>
    <w:rsid w:val="07D3356B"/>
    <w:rsid w:val="07E508B2"/>
    <w:rsid w:val="07FA534E"/>
    <w:rsid w:val="081472B0"/>
    <w:rsid w:val="08646B0E"/>
    <w:rsid w:val="088A72A2"/>
    <w:rsid w:val="088F73E3"/>
    <w:rsid w:val="08E62FA3"/>
    <w:rsid w:val="09053C81"/>
    <w:rsid w:val="091A016D"/>
    <w:rsid w:val="09371140"/>
    <w:rsid w:val="09EA3C07"/>
    <w:rsid w:val="0A444E74"/>
    <w:rsid w:val="0A7E65AA"/>
    <w:rsid w:val="0ABE611C"/>
    <w:rsid w:val="0ADD10CF"/>
    <w:rsid w:val="0AEC0CDD"/>
    <w:rsid w:val="0B055124"/>
    <w:rsid w:val="0C236475"/>
    <w:rsid w:val="0C425A56"/>
    <w:rsid w:val="0CEECDDE"/>
    <w:rsid w:val="0D400E6D"/>
    <w:rsid w:val="0E6E6ADA"/>
    <w:rsid w:val="0EA55F4B"/>
    <w:rsid w:val="0EDD562F"/>
    <w:rsid w:val="0EF83F4B"/>
    <w:rsid w:val="0EFA4534"/>
    <w:rsid w:val="0F017238"/>
    <w:rsid w:val="0F3D5E7F"/>
    <w:rsid w:val="0FB45F8C"/>
    <w:rsid w:val="0FFA4760"/>
    <w:rsid w:val="10504F14"/>
    <w:rsid w:val="108E69D5"/>
    <w:rsid w:val="108E6FE5"/>
    <w:rsid w:val="10C02B0A"/>
    <w:rsid w:val="113D5349"/>
    <w:rsid w:val="123C7DD5"/>
    <w:rsid w:val="124F0229"/>
    <w:rsid w:val="12813C99"/>
    <w:rsid w:val="12860FD5"/>
    <w:rsid w:val="12946511"/>
    <w:rsid w:val="12AA72CB"/>
    <w:rsid w:val="13265645"/>
    <w:rsid w:val="13502FD4"/>
    <w:rsid w:val="13971621"/>
    <w:rsid w:val="13D57EC3"/>
    <w:rsid w:val="14116419"/>
    <w:rsid w:val="14317BD1"/>
    <w:rsid w:val="14601D0A"/>
    <w:rsid w:val="147F1321"/>
    <w:rsid w:val="14A97C0D"/>
    <w:rsid w:val="14DF713B"/>
    <w:rsid w:val="15036B83"/>
    <w:rsid w:val="151030A8"/>
    <w:rsid w:val="154C7DDF"/>
    <w:rsid w:val="15DD4789"/>
    <w:rsid w:val="15E540F2"/>
    <w:rsid w:val="160647B2"/>
    <w:rsid w:val="16D15929"/>
    <w:rsid w:val="170612C4"/>
    <w:rsid w:val="18123448"/>
    <w:rsid w:val="182E6954"/>
    <w:rsid w:val="18643DE2"/>
    <w:rsid w:val="18644C92"/>
    <w:rsid w:val="18927174"/>
    <w:rsid w:val="19863965"/>
    <w:rsid w:val="199A1C54"/>
    <w:rsid w:val="19AA22AE"/>
    <w:rsid w:val="19E06B75"/>
    <w:rsid w:val="1A19132D"/>
    <w:rsid w:val="1A5148FF"/>
    <w:rsid w:val="1C3E0E6B"/>
    <w:rsid w:val="1C7A2C0C"/>
    <w:rsid w:val="1C870E57"/>
    <w:rsid w:val="1CD75014"/>
    <w:rsid w:val="1D01006A"/>
    <w:rsid w:val="1DDA4C8E"/>
    <w:rsid w:val="1E307913"/>
    <w:rsid w:val="1E467775"/>
    <w:rsid w:val="1EBC1CCE"/>
    <w:rsid w:val="1ED508A3"/>
    <w:rsid w:val="1F14261F"/>
    <w:rsid w:val="20822E67"/>
    <w:rsid w:val="208F389C"/>
    <w:rsid w:val="20A346A5"/>
    <w:rsid w:val="21A7397F"/>
    <w:rsid w:val="21AA4B11"/>
    <w:rsid w:val="21FD3D3A"/>
    <w:rsid w:val="220E2E4A"/>
    <w:rsid w:val="2213476A"/>
    <w:rsid w:val="22236850"/>
    <w:rsid w:val="224519D8"/>
    <w:rsid w:val="23106FC4"/>
    <w:rsid w:val="231A3322"/>
    <w:rsid w:val="234602C5"/>
    <w:rsid w:val="23C15A28"/>
    <w:rsid w:val="23D7382C"/>
    <w:rsid w:val="245739D3"/>
    <w:rsid w:val="24896A36"/>
    <w:rsid w:val="24AB2FA4"/>
    <w:rsid w:val="24B400A9"/>
    <w:rsid w:val="24D05A50"/>
    <w:rsid w:val="24DF0B04"/>
    <w:rsid w:val="255614E8"/>
    <w:rsid w:val="255C2357"/>
    <w:rsid w:val="26525C48"/>
    <w:rsid w:val="27362996"/>
    <w:rsid w:val="278F1119"/>
    <w:rsid w:val="27B725E3"/>
    <w:rsid w:val="27D516D4"/>
    <w:rsid w:val="282D2A89"/>
    <w:rsid w:val="284A0ACF"/>
    <w:rsid w:val="28790F8E"/>
    <w:rsid w:val="289F5A95"/>
    <w:rsid w:val="28C237B9"/>
    <w:rsid w:val="28E30C67"/>
    <w:rsid w:val="291D289D"/>
    <w:rsid w:val="293A1B67"/>
    <w:rsid w:val="29C04F3B"/>
    <w:rsid w:val="2A583349"/>
    <w:rsid w:val="2AAC1AF4"/>
    <w:rsid w:val="2B832029"/>
    <w:rsid w:val="2BC96EDC"/>
    <w:rsid w:val="2BF85660"/>
    <w:rsid w:val="2C3F33D6"/>
    <w:rsid w:val="2C4359E2"/>
    <w:rsid w:val="2C507584"/>
    <w:rsid w:val="2C6C715A"/>
    <w:rsid w:val="2CC15440"/>
    <w:rsid w:val="2D302008"/>
    <w:rsid w:val="2D6E4280"/>
    <w:rsid w:val="2D730E55"/>
    <w:rsid w:val="2DC5190C"/>
    <w:rsid w:val="2E692514"/>
    <w:rsid w:val="2E987592"/>
    <w:rsid w:val="2F2D66AE"/>
    <w:rsid w:val="2F36585B"/>
    <w:rsid w:val="2F3C04F8"/>
    <w:rsid w:val="2F69468C"/>
    <w:rsid w:val="2F8B1C1E"/>
    <w:rsid w:val="2FA91177"/>
    <w:rsid w:val="2FD05556"/>
    <w:rsid w:val="30157B0D"/>
    <w:rsid w:val="301A3599"/>
    <w:rsid w:val="30AC03F1"/>
    <w:rsid w:val="30D120FF"/>
    <w:rsid w:val="30ED104B"/>
    <w:rsid w:val="31CE3A51"/>
    <w:rsid w:val="31FC17DF"/>
    <w:rsid w:val="32230DC5"/>
    <w:rsid w:val="328E39B5"/>
    <w:rsid w:val="329F6BC5"/>
    <w:rsid w:val="32D65953"/>
    <w:rsid w:val="330C4130"/>
    <w:rsid w:val="333B21B8"/>
    <w:rsid w:val="33675792"/>
    <w:rsid w:val="337E039C"/>
    <w:rsid w:val="344B65BB"/>
    <w:rsid w:val="346F0F7B"/>
    <w:rsid w:val="34A65418"/>
    <w:rsid w:val="351B3CC7"/>
    <w:rsid w:val="351C63D6"/>
    <w:rsid w:val="3530372D"/>
    <w:rsid w:val="360D4097"/>
    <w:rsid w:val="36290710"/>
    <w:rsid w:val="36556C97"/>
    <w:rsid w:val="36B82E3E"/>
    <w:rsid w:val="376C5387"/>
    <w:rsid w:val="37763F25"/>
    <w:rsid w:val="37A7095C"/>
    <w:rsid w:val="37C535FF"/>
    <w:rsid w:val="37FF9AEB"/>
    <w:rsid w:val="3873313A"/>
    <w:rsid w:val="39132595"/>
    <w:rsid w:val="393B6D17"/>
    <w:rsid w:val="39CD3809"/>
    <w:rsid w:val="39F76AC7"/>
    <w:rsid w:val="3A2F00CA"/>
    <w:rsid w:val="3A351A3C"/>
    <w:rsid w:val="3A5211A0"/>
    <w:rsid w:val="3A5F1137"/>
    <w:rsid w:val="3B105298"/>
    <w:rsid w:val="3B747CA9"/>
    <w:rsid w:val="3BB00946"/>
    <w:rsid w:val="3BC977D4"/>
    <w:rsid w:val="3BFF3138"/>
    <w:rsid w:val="3C054E09"/>
    <w:rsid w:val="3C7504A5"/>
    <w:rsid w:val="3CBB271B"/>
    <w:rsid w:val="3CE81EB1"/>
    <w:rsid w:val="3D13569A"/>
    <w:rsid w:val="3D3F78E6"/>
    <w:rsid w:val="3DFEA281"/>
    <w:rsid w:val="3EA15B9D"/>
    <w:rsid w:val="3F274167"/>
    <w:rsid w:val="3F3772F4"/>
    <w:rsid w:val="3F4A2EC2"/>
    <w:rsid w:val="3F585789"/>
    <w:rsid w:val="3FBB1807"/>
    <w:rsid w:val="3FD33D76"/>
    <w:rsid w:val="3FFEBD18"/>
    <w:rsid w:val="3FFF8586"/>
    <w:rsid w:val="40355F8C"/>
    <w:rsid w:val="405264E1"/>
    <w:rsid w:val="408C378C"/>
    <w:rsid w:val="4102543C"/>
    <w:rsid w:val="41962AF6"/>
    <w:rsid w:val="425B1386"/>
    <w:rsid w:val="427D402B"/>
    <w:rsid w:val="42FD1BD4"/>
    <w:rsid w:val="430962AD"/>
    <w:rsid w:val="431D0F28"/>
    <w:rsid w:val="438038C1"/>
    <w:rsid w:val="43E95AC4"/>
    <w:rsid w:val="440A11D7"/>
    <w:rsid w:val="442A4F86"/>
    <w:rsid w:val="448315B9"/>
    <w:rsid w:val="44D94505"/>
    <w:rsid w:val="45332ED0"/>
    <w:rsid w:val="45F362D7"/>
    <w:rsid w:val="46187055"/>
    <w:rsid w:val="472353D0"/>
    <w:rsid w:val="474D7557"/>
    <w:rsid w:val="47720D47"/>
    <w:rsid w:val="478521D9"/>
    <w:rsid w:val="47C34941"/>
    <w:rsid w:val="47E7D8CF"/>
    <w:rsid w:val="47FF8643"/>
    <w:rsid w:val="480F6F59"/>
    <w:rsid w:val="486C6B11"/>
    <w:rsid w:val="48A66BD8"/>
    <w:rsid w:val="48FA02B0"/>
    <w:rsid w:val="49947257"/>
    <w:rsid w:val="4A2D25D7"/>
    <w:rsid w:val="4A30529D"/>
    <w:rsid w:val="4A60468C"/>
    <w:rsid w:val="4AD01CEA"/>
    <w:rsid w:val="4AE60AC0"/>
    <w:rsid w:val="4AFBF528"/>
    <w:rsid w:val="4B360608"/>
    <w:rsid w:val="4B7A198D"/>
    <w:rsid w:val="4BD0306C"/>
    <w:rsid w:val="4C757AD9"/>
    <w:rsid w:val="4C8764D1"/>
    <w:rsid w:val="4CB76A3D"/>
    <w:rsid w:val="4CD71A1E"/>
    <w:rsid w:val="4CFD41BB"/>
    <w:rsid w:val="4D0316E2"/>
    <w:rsid w:val="4D0845BC"/>
    <w:rsid w:val="4D320C7B"/>
    <w:rsid w:val="4D822C49"/>
    <w:rsid w:val="4DEF48DD"/>
    <w:rsid w:val="4DF95B7C"/>
    <w:rsid w:val="4E9B3B26"/>
    <w:rsid w:val="4EE52F0A"/>
    <w:rsid w:val="4F01078A"/>
    <w:rsid w:val="4F85781F"/>
    <w:rsid w:val="4F886910"/>
    <w:rsid w:val="4FBE5E61"/>
    <w:rsid w:val="4FD422D2"/>
    <w:rsid w:val="4FE01C09"/>
    <w:rsid w:val="4FE77C3D"/>
    <w:rsid w:val="4FEFDE0D"/>
    <w:rsid w:val="50693865"/>
    <w:rsid w:val="50E104EB"/>
    <w:rsid w:val="516367A0"/>
    <w:rsid w:val="517E4C53"/>
    <w:rsid w:val="51821640"/>
    <w:rsid w:val="5185600F"/>
    <w:rsid w:val="518907AA"/>
    <w:rsid w:val="518D7326"/>
    <w:rsid w:val="52746CF6"/>
    <w:rsid w:val="52884279"/>
    <w:rsid w:val="52A155FE"/>
    <w:rsid w:val="52F16142"/>
    <w:rsid w:val="53076F82"/>
    <w:rsid w:val="53B4151A"/>
    <w:rsid w:val="53E160F6"/>
    <w:rsid w:val="53F85218"/>
    <w:rsid w:val="54A10F25"/>
    <w:rsid w:val="54BA22F3"/>
    <w:rsid w:val="54E21283"/>
    <w:rsid w:val="54FE6263"/>
    <w:rsid w:val="55A356A6"/>
    <w:rsid w:val="55A82131"/>
    <w:rsid w:val="56035344"/>
    <w:rsid w:val="560F1293"/>
    <w:rsid w:val="56C43940"/>
    <w:rsid w:val="56ED14FD"/>
    <w:rsid w:val="56F15EAF"/>
    <w:rsid w:val="57026B91"/>
    <w:rsid w:val="57526F4F"/>
    <w:rsid w:val="5764097C"/>
    <w:rsid w:val="57CE0DE8"/>
    <w:rsid w:val="57DA204B"/>
    <w:rsid w:val="58387465"/>
    <w:rsid w:val="586D2B15"/>
    <w:rsid w:val="58A93B20"/>
    <w:rsid w:val="591945A5"/>
    <w:rsid w:val="59AFE5B6"/>
    <w:rsid w:val="59F33544"/>
    <w:rsid w:val="5A6C3EBF"/>
    <w:rsid w:val="5A9032B9"/>
    <w:rsid w:val="5A925AED"/>
    <w:rsid w:val="5B3C05E0"/>
    <w:rsid w:val="5B7C4887"/>
    <w:rsid w:val="5B7DA8AB"/>
    <w:rsid w:val="5BC03C97"/>
    <w:rsid w:val="5BD26C8F"/>
    <w:rsid w:val="5BDECFAC"/>
    <w:rsid w:val="5CA10DE7"/>
    <w:rsid w:val="5CC00CD8"/>
    <w:rsid w:val="5CDF401B"/>
    <w:rsid w:val="5DF972A4"/>
    <w:rsid w:val="5E0875ED"/>
    <w:rsid w:val="5E8C666F"/>
    <w:rsid w:val="5EA37D73"/>
    <w:rsid w:val="5F003199"/>
    <w:rsid w:val="5F3A7EE1"/>
    <w:rsid w:val="5FB6728E"/>
    <w:rsid w:val="5FBFF06B"/>
    <w:rsid w:val="5FDF569C"/>
    <w:rsid w:val="5FE26F92"/>
    <w:rsid w:val="5FFE14A3"/>
    <w:rsid w:val="5FFF34C8"/>
    <w:rsid w:val="601907F4"/>
    <w:rsid w:val="60317FB1"/>
    <w:rsid w:val="604D2F23"/>
    <w:rsid w:val="60736ECF"/>
    <w:rsid w:val="60B87139"/>
    <w:rsid w:val="615D7C68"/>
    <w:rsid w:val="617A57BB"/>
    <w:rsid w:val="624D41BE"/>
    <w:rsid w:val="629704EC"/>
    <w:rsid w:val="629D1812"/>
    <w:rsid w:val="62C429CF"/>
    <w:rsid w:val="63B6159B"/>
    <w:rsid w:val="63C4773C"/>
    <w:rsid w:val="63EF7282"/>
    <w:rsid w:val="645937CF"/>
    <w:rsid w:val="649C25BA"/>
    <w:rsid w:val="65144231"/>
    <w:rsid w:val="65697239"/>
    <w:rsid w:val="65873EA2"/>
    <w:rsid w:val="65B409CF"/>
    <w:rsid w:val="65D7D356"/>
    <w:rsid w:val="660F3597"/>
    <w:rsid w:val="66116371"/>
    <w:rsid w:val="664849BB"/>
    <w:rsid w:val="66866407"/>
    <w:rsid w:val="668F7355"/>
    <w:rsid w:val="66AE0424"/>
    <w:rsid w:val="672471A7"/>
    <w:rsid w:val="67843147"/>
    <w:rsid w:val="68120C46"/>
    <w:rsid w:val="693D0A5A"/>
    <w:rsid w:val="696E699B"/>
    <w:rsid w:val="698937EB"/>
    <w:rsid w:val="69B76B86"/>
    <w:rsid w:val="69CE642B"/>
    <w:rsid w:val="69ED3ABB"/>
    <w:rsid w:val="69FD1F8D"/>
    <w:rsid w:val="6A7E45D6"/>
    <w:rsid w:val="6ADA370B"/>
    <w:rsid w:val="6BF5B305"/>
    <w:rsid w:val="6C400A9D"/>
    <w:rsid w:val="6C423369"/>
    <w:rsid w:val="6C783FE6"/>
    <w:rsid w:val="6C8824F3"/>
    <w:rsid w:val="6CF10798"/>
    <w:rsid w:val="6D9C0B4D"/>
    <w:rsid w:val="6DF2749B"/>
    <w:rsid w:val="6E2B7128"/>
    <w:rsid w:val="6E5A6DAC"/>
    <w:rsid w:val="6E796D62"/>
    <w:rsid w:val="6EC022AB"/>
    <w:rsid w:val="6F07651E"/>
    <w:rsid w:val="6FE10A1E"/>
    <w:rsid w:val="6FFB37CE"/>
    <w:rsid w:val="6FFFA6CE"/>
    <w:rsid w:val="702526E0"/>
    <w:rsid w:val="70617A60"/>
    <w:rsid w:val="70E61C4B"/>
    <w:rsid w:val="715435B5"/>
    <w:rsid w:val="71E155AC"/>
    <w:rsid w:val="71E64CC2"/>
    <w:rsid w:val="723A5D9E"/>
    <w:rsid w:val="726B6E89"/>
    <w:rsid w:val="727A204D"/>
    <w:rsid w:val="729A02BB"/>
    <w:rsid w:val="72BE02F8"/>
    <w:rsid w:val="72FFEE2C"/>
    <w:rsid w:val="73101C3F"/>
    <w:rsid w:val="733E3113"/>
    <w:rsid w:val="737509C0"/>
    <w:rsid w:val="73C12AEE"/>
    <w:rsid w:val="73F260E0"/>
    <w:rsid w:val="73F7282F"/>
    <w:rsid w:val="745447B3"/>
    <w:rsid w:val="74BF58B9"/>
    <w:rsid w:val="74D25617"/>
    <w:rsid w:val="75657D41"/>
    <w:rsid w:val="765C0863"/>
    <w:rsid w:val="766E45AC"/>
    <w:rsid w:val="76BCCB4C"/>
    <w:rsid w:val="76C5BDD7"/>
    <w:rsid w:val="76F04496"/>
    <w:rsid w:val="7741166D"/>
    <w:rsid w:val="77583717"/>
    <w:rsid w:val="775D7557"/>
    <w:rsid w:val="7791607E"/>
    <w:rsid w:val="77DE56AD"/>
    <w:rsid w:val="77DE960D"/>
    <w:rsid w:val="77F85E37"/>
    <w:rsid w:val="77F919B0"/>
    <w:rsid w:val="77FACE50"/>
    <w:rsid w:val="780438EC"/>
    <w:rsid w:val="78905AD9"/>
    <w:rsid w:val="78F9680E"/>
    <w:rsid w:val="795B0588"/>
    <w:rsid w:val="79C13209"/>
    <w:rsid w:val="7A0A0841"/>
    <w:rsid w:val="7A45402D"/>
    <w:rsid w:val="7A467B47"/>
    <w:rsid w:val="7A5A2326"/>
    <w:rsid w:val="7A6D5B73"/>
    <w:rsid w:val="7A741C7B"/>
    <w:rsid w:val="7A7FE955"/>
    <w:rsid w:val="7ABB0443"/>
    <w:rsid w:val="7AE45BD8"/>
    <w:rsid w:val="7AF626E6"/>
    <w:rsid w:val="7B897AFD"/>
    <w:rsid w:val="7B974A5E"/>
    <w:rsid w:val="7BB55C81"/>
    <w:rsid w:val="7BEB4EAE"/>
    <w:rsid w:val="7BFE92B8"/>
    <w:rsid w:val="7C096B46"/>
    <w:rsid w:val="7C0D5856"/>
    <w:rsid w:val="7C283DFB"/>
    <w:rsid w:val="7CB46CD3"/>
    <w:rsid w:val="7CD93660"/>
    <w:rsid w:val="7CE71598"/>
    <w:rsid w:val="7D0015DE"/>
    <w:rsid w:val="7D122005"/>
    <w:rsid w:val="7D7D5045"/>
    <w:rsid w:val="7D7E5AF9"/>
    <w:rsid w:val="7D9F5B88"/>
    <w:rsid w:val="7DD75913"/>
    <w:rsid w:val="7DEBFA55"/>
    <w:rsid w:val="7E025DF0"/>
    <w:rsid w:val="7E4F2A51"/>
    <w:rsid w:val="7E8938D9"/>
    <w:rsid w:val="7EC91D39"/>
    <w:rsid w:val="7EC93E9B"/>
    <w:rsid w:val="7ED617D7"/>
    <w:rsid w:val="7EEF6B00"/>
    <w:rsid w:val="7EF37F65"/>
    <w:rsid w:val="7F6404F1"/>
    <w:rsid w:val="7F9EAFBC"/>
    <w:rsid w:val="7FE645ED"/>
    <w:rsid w:val="7FEF0302"/>
    <w:rsid w:val="7FF277CD"/>
    <w:rsid w:val="7FFBF7C8"/>
    <w:rsid w:val="7FFEDD4A"/>
    <w:rsid w:val="7FFF5D80"/>
    <w:rsid w:val="7FFF7FEA"/>
    <w:rsid w:val="8FFF8038"/>
    <w:rsid w:val="97974242"/>
    <w:rsid w:val="9E3C7D3E"/>
    <w:rsid w:val="9F5F61C1"/>
    <w:rsid w:val="9FFBD5E9"/>
    <w:rsid w:val="9FFF29CA"/>
    <w:rsid w:val="ACD94FE9"/>
    <w:rsid w:val="AF76F765"/>
    <w:rsid w:val="AFFCE658"/>
    <w:rsid w:val="B0F681AB"/>
    <w:rsid w:val="B79D147A"/>
    <w:rsid w:val="B7F811EC"/>
    <w:rsid w:val="BA7B23C6"/>
    <w:rsid w:val="BFE937E5"/>
    <w:rsid w:val="BFFBF9DB"/>
    <w:rsid w:val="CB3DA0A1"/>
    <w:rsid w:val="CBDF3F83"/>
    <w:rsid w:val="CBF5DAAB"/>
    <w:rsid w:val="D6EDA977"/>
    <w:rsid w:val="D6FBDD05"/>
    <w:rsid w:val="DBAF45BB"/>
    <w:rsid w:val="DC789B38"/>
    <w:rsid w:val="DDA722CF"/>
    <w:rsid w:val="DF5F11A4"/>
    <w:rsid w:val="DFFF11F0"/>
    <w:rsid w:val="E3FB8BD5"/>
    <w:rsid w:val="E577D4D1"/>
    <w:rsid w:val="EDFBB64A"/>
    <w:rsid w:val="F0DA3B3D"/>
    <w:rsid w:val="F3BF3832"/>
    <w:rsid w:val="F3E3FDD2"/>
    <w:rsid w:val="F55782F2"/>
    <w:rsid w:val="F5E31051"/>
    <w:rsid w:val="F66F2F54"/>
    <w:rsid w:val="F69FC8F6"/>
    <w:rsid w:val="F7E48404"/>
    <w:rsid w:val="FB3FD201"/>
    <w:rsid w:val="FBB7E7D9"/>
    <w:rsid w:val="FBBE2C8E"/>
    <w:rsid w:val="FBDEC3A9"/>
    <w:rsid w:val="FBF60D2D"/>
    <w:rsid w:val="FBFB7C82"/>
    <w:rsid w:val="FDF35E07"/>
    <w:rsid w:val="FE56B6DE"/>
    <w:rsid w:val="FE734873"/>
    <w:rsid w:val="FEBF012A"/>
    <w:rsid w:val="FEBFDE2D"/>
    <w:rsid w:val="FEFF576C"/>
    <w:rsid w:val="FEFF591B"/>
    <w:rsid w:val="FFDB82C2"/>
    <w:rsid w:val="FFDF38BF"/>
    <w:rsid w:val="FFE30B48"/>
    <w:rsid w:val="FFFAA3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eastAsia="宋体" w:cs="Times New Roman"/>
      <w:sz w:val="32"/>
      <w:szCs w:val="24"/>
    </w:rPr>
  </w:style>
  <w:style w:type="paragraph" w:styleId="3">
    <w:name w:val="Body Text"/>
    <w:basedOn w:val="1"/>
    <w:unhideWhenUsed/>
    <w:qFormat/>
    <w:uiPriority w:val="99"/>
    <w:pPr>
      <w:spacing w:after="120" w:afterLines="0" w:afterAutospacing="0"/>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ind w:firstLine="0" w:firstLineChars="0"/>
      <w:jc w:val="center"/>
      <w:outlineLvl w:val="0"/>
    </w:pPr>
    <w:rPr>
      <w:rFonts w:eastAsia="方正小标宋_GBK" w:cs="Times New Roman"/>
      <w:bCs/>
      <w:sz w:val="44"/>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页眉 Char"/>
    <w:link w:val="6"/>
    <w:qFormat/>
    <w:uiPriority w:val="99"/>
    <w:rPr>
      <w:rFonts w:ascii="Times New Roman" w:hAnsi="Times New Roman" w:eastAsia="宋体" w:cs="Times New Roman"/>
      <w:sz w:val="18"/>
      <w:szCs w:val="18"/>
    </w:rPr>
  </w:style>
  <w:style w:type="character" w:customStyle="1" w:styleId="14">
    <w:name w:val="页脚 Char"/>
    <w:link w:val="5"/>
    <w:qFormat/>
    <w:uiPriority w:val="99"/>
    <w:rPr>
      <w:rFonts w:ascii="Times New Roman" w:hAnsi="Times New Roman" w:eastAsia="宋体" w:cs="Times New Roman"/>
      <w:sz w:val="18"/>
      <w:szCs w:val="18"/>
    </w:rPr>
  </w:style>
  <w:style w:type="character" w:customStyle="1" w:styleId="15">
    <w:name w:val="批注框文本 Char"/>
    <w:link w:val="4"/>
    <w:semiHidden/>
    <w:qFormat/>
    <w:uiPriority w:val="99"/>
    <w:rPr>
      <w:rFonts w:ascii="Times New Roman" w:hAnsi="Times New Roman" w:eastAsia="仿宋_GB2312" w:cs="Times New Roman"/>
      <w:sz w:val="18"/>
      <w:szCs w:val="18"/>
    </w:rPr>
  </w:style>
  <w:style w:type="character" w:customStyle="1" w:styleId="16">
    <w:name w:val="NormalCharacter"/>
    <w:semiHidden/>
    <w:qFormat/>
    <w:uiPriority w:val="0"/>
  </w:style>
  <w:style w:type="paragraph" w:customStyle="1" w:styleId="17">
    <w:name w:val="List Paragraph"/>
    <w:basedOn w:val="1"/>
    <w:qFormat/>
    <w:uiPriority w:val="1"/>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9">
    <w:name w:val="10"/>
    <w:basedOn w:val="11"/>
    <w:qFormat/>
    <w:uiPriority w:val="0"/>
    <w:rPr>
      <w:rFonts w:hint="default" w:ascii="Calibri" w:hAnsi="Calibri" w:cs="Calibri"/>
    </w:rPr>
  </w:style>
  <w:style w:type="character" w:customStyle="1" w:styleId="20">
    <w:name w:val="15"/>
    <w:basedOn w:val="11"/>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Pages>
  <Words>368</Words>
  <Characters>2100</Characters>
  <Lines>17</Lines>
  <Paragraphs>4</Paragraphs>
  <TotalTime>3</TotalTime>
  <ScaleCrop>false</ScaleCrop>
  <LinksUpToDate>false</LinksUpToDate>
  <CharactersWithSpaces>2464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2020-05-23T03:40:00Z</dcterms:created>
  <dc:creator>HNZZB</dc:creator>
  <cp:lastModifiedBy>secadm</cp:lastModifiedBy>
  <cp:lastPrinted>2026-05-07T11:02:00Z</cp:lastPrinted>
  <dcterms:modified xsi:type="dcterms:W3CDTF">2026-05-25T11:53:54Z</dcterms:modified>
  <dc:title>琼厅字〔2020〕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34F2D0B5EE9D4A51BD2083CB49AC4790</vt:lpwstr>
  </property>
</Properties>
</file>